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FCD43" w14:textId="61B4262A" w:rsidR="003E45E8" w:rsidRDefault="00CA57CA" w:rsidP="00651832">
      <w:pPr>
        <w:keepNext/>
        <w:keepLines/>
        <w:rPr>
          <w:b/>
          <w:color w:val="000000"/>
        </w:rPr>
      </w:pPr>
      <w:r w:rsidRPr="00651832">
        <w:rPr>
          <w:b/>
          <w:color w:val="000000"/>
        </w:rPr>
        <w:t>Assurance Report on Compliance with Regulation 28 of the Pension Funds 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7D7774" w:rsidRPr="00FB6FEC" w14:paraId="69C87FA7" w14:textId="77777777" w:rsidTr="00B92444">
        <w:trPr>
          <w:trHeight w:val="1673"/>
        </w:trPr>
        <w:tc>
          <w:tcPr>
            <w:tcW w:w="9242" w:type="dxa"/>
            <w:shd w:val="clear" w:color="auto" w:fill="D9D9D9"/>
            <w:vAlign w:val="center"/>
          </w:tcPr>
          <w:p w14:paraId="0A1554F8" w14:textId="77777777" w:rsidR="007D7774" w:rsidRPr="00FB6FEC" w:rsidRDefault="007D7774" w:rsidP="00B92444">
            <w:pPr>
              <w:spacing w:line="276" w:lineRule="auto"/>
              <w:rPr>
                <w:b/>
                <w:szCs w:val="20"/>
              </w:rPr>
            </w:pPr>
            <w:r w:rsidRPr="00FB6FEC">
              <w:rPr>
                <w:b/>
                <w:sz w:val="18"/>
                <w:szCs w:val="18"/>
              </w:rPr>
              <w:t>Updated in November 2021 for conforming and consequential amendments to the IAASB’s International Standards arising from the IAASB’s Quality Management Standards</w:t>
            </w:r>
            <w:r w:rsidRPr="00FB6FEC">
              <w:rPr>
                <w:b/>
                <w:bCs/>
                <w:szCs w:val="20"/>
              </w:rPr>
              <w:t>.</w:t>
            </w:r>
          </w:p>
          <w:p w14:paraId="6F6971E7" w14:textId="77777777" w:rsidR="007D7774" w:rsidRPr="00FB6FEC" w:rsidRDefault="007D7774" w:rsidP="00B92444">
            <w:pPr>
              <w:spacing w:line="276" w:lineRule="auto"/>
              <w:rPr>
                <w:sz w:val="18"/>
                <w:szCs w:val="18"/>
              </w:rPr>
            </w:pPr>
            <w:r w:rsidRPr="00FB6FEC">
              <w:rPr>
                <w:sz w:val="18"/>
                <w:szCs w:val="18"/>
              </w:rPr>
              <w:t>Effective date:</w:t>
            </w:r>
          </w:p>
          <w:p w14:paraId="3B439385" w14:textId="77777777" w:rsidR="007D7774" w:rsidRPr="00FB6FEC" w:rsidRDefault="007D7774" w:rsidP="007D7774">
            <w:pPr>
              <w:widowControl w:val="0"/>
              <w:numPr>
                <w:ilvl w:val="0"/>
                <w:numId w:val="23"/>
              </w:numPr>
              <w:autoSpaceDE w:val="0"/>
              <w:autoSpaceDN w:val="0"/>
              <w:adjustRightInd w:val="0"/>
              <w:spacing w:line="276" w:lineRule="auto"/>
              <w:contextualSpacing/>
              <w:rPr>
                <w:sz w:val="18"/>
                <w:szCs w:val="18"/>
              </w:rPr>
            </w:pPr>
            <w:r w:rsidRPr="00FB6FEC">
              <w:rPr>
                <w:sz w:val="18"/>
                <w:szCs w:val="18"/>
              </w:rPr>
              <w:t>Audits and reviews of financial statements for periods beginning on or after 15 December 2022; and</w:t>
            </w:r>
          </w:p>
          <w:p w14:paraId="2A7F1EAC" w14:textId="77777777" w:rsidR="007D7774" w:rsidRPr="00FB6FEC" w:rsidRDefault="007D7774" w:rsidP="007D7774">
            <w:pPr>
              <w:widowControl w:val="0"/>
              <w:numPr>
                <w:ilvl w:val="0"/>
                <w:numId w:val="23"/>
              </w:numPr>
              <w:autoSpaceDE w:val="0"/>
              <w:autoSpaceDN w:val="0"/>
              <w:adjustRightInd w:val="0"/>
              <w:spacing w:line="276" w:lineRule="auto"/>
              <w:contextualSpacing/>
              <w:rPr>
                <w:b/>
                <w:szCs w:val="20"/>
              </w:rPr>
            </w:pPr>
            <w:r w:rsidRPr="00FB6FEC">
              <w:rPr>
                <w:sz w:val="18"/>
                <w:szCs w:val="18"/>
              </w:rPr>
              <w:t>Other assurance and related services engagements beginning on or after 15 December 2022.</w:t>
            </w:r>
          </w:p>
        </w:tc>
      </w:tr>
    </w:tbl>
    <w:p w14:paraId="64A9BE44" w14:textId="77777777" w:rsidR="002361E1" w:rsidRDefault="002361E1" w:rsidP="002361E1">
      <w:pPr>
        <w:spacing w:line="268" w:lineRule="auto"/>
        <w:rPr>
          <w:rFonts w:eastAsia="Verdana"/>
          <w:b/>
          <w:i/>
          <w:color w:val="000000"/>
        </w:rPr>
      </w:pPr>
    </w:p>
    <w:p w14:paraId="7661CBAB" w14:textId="04561A03" w:rsidR="002361E1" w:rsidRPr="00053A44" w:rsidRDefault="00E74039" w:rsidP="002361E1">
      <w:pPr>
        <w:spacing w:line="268" w:lineRule="auto"/>
        <w:rPr>
          <w:color w:val="000000"/>
        </w:rPr>
      </w:pPr>
      <w:r>
        <w:rPr>
          <w:b/>
        </w:rPr>
        <w:t>Approval</w:t>
      </w:r>
      <w:r w:rsidR="0082228E" w:rsidRPr="0082228E">
        <w:rPr>
          <w:b/>
        </w:rPr>
        <w:t xml:space="preserve"> </w:t>
      </w:r>
      <w:r w:rsidR="004B7880">
        <w:rPr>
          <w:b/>
        </w:rPr>
        <w:t>D</w:t>
      </w:r>
      <w:r w:rsidR="0082228E" w:rsidRPr="0082228E">
        <w:rPr>
          <w:b/>
        </w:rPr>
        <w:t>ate:</w:t>
      </w:r>
      <w:r w:rsidR="0082228E">
        <w:t xml:space="preserve"> </w:t>
      </w:r>
      <w:bookmarkStart w:id="0" w:name="_Hlk36393421"/>
      <w:r>
        <w:t>In March 2019, the Independent Regulatory Board for Auditors’ (IRBA) Committee for Auditing Standards (</w:t>
      </w:r>
      <w:r w:rsidRPr="0087691B">
        <w:t>CFAS</w:t>
      </w:r>
      <w:r>
        <w:t xml:space="preserve">), subject to the </w:t>
      </w:r>
      <w:r w:rsidRPr="00154833">
        <w:rPr>
          <w:color w:val="000000"/>
        </w:rPr>
        <w:t>Financial Sector Conduct Authority (Authority)</w:t>
      </w:r>
      <w:r>
        <w:rPr>
          <w:color w:val="000000"/>
        </w:rPr>
        <w:t xml:space="preserve"> issuing the appropriate exemption notice, approved</w:t>
      </w:r>
      <w:r w:rsidRPr="00154833">
        <w:t xml:space="preserve"> th</w:t>
      </w:r>
      <w:r>
        <w:t xml:space="preserve">is retirement fund </w:t>
      </w:r>
      <w:r w:rsidR="007B0F95">
        <w:t xml:space="preserve">Regulation 28 </w:t>
      </w:r>
      <w:r>
        <w:t>report to be used by registered auditors</w:t>
      </w:r>
      <w:r w:rsidR="0082228E">
        <w:t>.</w:t>
      </w:r>
      <w:r w:rsidR="007B0F95">
        <w:t xml:space="preserve"> Thereafter at its meeting in November 2019</w:t>
      </w:r>
      <w:r w:rsidR="00E84D5B">
        <w:t>,</w:t>
      </w:r>
      <w:r w:rsidR="007B0F95">
        <w:t xml:space="preserve"> CFAS noted the</w:t>
      </w:r>
      <w:r w:rsidR="004B7880">
        <w:t xml:space="preserve"> </w:t>
      </w:r>
      <w:r w:rsidR="00CE559E">
        <w:t>update</w:t>
      </w:r>
      <w:r w:rsidR="00F90F21">
        <w:t>d</w:t>
      </w:r>
      <w:r w:rsidR="00CE559E">
        <w:t xml:space="preserve"> </w:t>
      </w:r>
      <w:r w:rsidR="007B0F95">
        <w:t>report</w:t>
      </w:r>
      <w:r w:rsidR="00CE559E">
        <w:t xml:space="preserve">, </w:t>
      </w:r>
      <w:r w:rsidR="00F90F21">
        <w:t xml:space="preserve">which is </w:t>
      </w:r>
      <w:r w:rsidR="007B0F95" w:rsidRPr="00D1614F">
        <w:rPr>
          <w:lang w:val="en-ZA"/>
        </w:rPr>
        <w:t>align</w:t>
      </w:r>
      <w:r w:rsidR="00CE559E">
        <w:rPr>
          <w:lang w:val="en-ZA"/>
        </w:rPr>
        <w:t>ed</w:t>
      </w:r>
      <w:r w:rsidR="007B0F95" w:rsidRPr="00D1614F">
        <w:rPr>
          <w:lang w:val="en-ZA"/>
        </w:rPr>
        <w:t xml:space="preserve"> to the IRBA Code of Professional Conduct </w:t>
      </w:r>
      <w:r w:rsidR="007B0F95">
        <w:rPr>
          <w:lang w:val="en-ZA"/>
        </w:rPr>
        <w:t xml:space="preserve">for Registered Auditors </w:t>
      </w:r>
      <w:r w:rsidR="007B0F95" w:rsidRPr="00D1614F">
        <w:rPr>
          <w:lang w:val="en-ZA"/>
        </w:rPr>
        <w:t>(Revised November 2018)</w:t>
      </w:r>
      <w:r w:rsidR="00F90F21">
        <w:rPr>
          <w:lang w:val="en-ZA"/>
        </w:rPr>
        <w:t xml:space="preserve">. In the report, the committee also noted the </w:t>
      </w:r>
      <w:r w:rsidR="00F90F21" w:rsidRPr="006A43EA">
        <w:rPr>
          <w:lang w:val="en-ZA"/>
        </w:rPr>
        <w:t>reference</w:t>
      </w:r>
      <w:r w:rsidR="00F90F21">
        <w:rPr>
          <w:lang w:val="en-ZA"/>
        </w:rPr>
        <w:t>s</w:t>
      </w:r>
      <w:r w:rsidR="00F90F21" w:rsidRPr="006A43EA">
        <w:rPr>
          <w:lang w:val="en-ZA"/>
        </w:rPr>
        <w:t xml:space="preserve"> to the</w:t>
      </w:r>
      <w:r w:rsidR="00F90F21">
        <w:rPr>
          <w:lang w:val="en-ZA"/>
        </w:rPr>
        <w:t xml:space="preserve"> Financial Sector Conduct Authority (FSCA) as the</w:t>
      </w:r>
      <w:r w:rsidR="00F90F21" w:rsidRPr="006A43EA">
        <w:rPr>
          <w:lang w:val="en-ZA"/>
        </w:rPr>
        <w:t xml:space="preserve"> “Authority”</w:t>
      </w:r>
      <w:r w:rsidR="007B0F95">
        <w:rPr>
          <w:lang w:val="en-ZA"/>
        </w:rPr>
        <w:t>.</w:t>
      </w:r>
      <w:r w:rsidR="005013A7">
        <w:rPr>
          <w:lang w:val="en-ZA"/>
        </w:rPr>
        <w:t xml:space="preserve"> </w:t>
      </w:r>
      <w:r w:rsidR="00BF7271">
        <w:rPr>
          <w:lang w:val="en-ZA"/>
        </w:rPr>
        <w:t>Auditors are</w:t>
      </w:r>
      <w:r w:rsidR="005013A7">
        <w:rPr>
          <w:lang w:val="en-ZA"/>
        </w:rPr>
        <w:t xml:space="preserve"> </w:t>
      </w:r>
      <w:r w:rsidR="00E70D72">
        <w:rPr>
          <w:lang w:val="en-ZA"/>
        </w:rPr>
        <w:t>referred</w:t>
      </w:r>
      <w:r w:rsidR="005013A7">
        <w:rPr>
          <w:lang w:val="en-ZA"/>
        </w:rPr>
        <w:t xml:space="preserve"> to the </w:t>
      </w:r>
      <w:r w:rsidR="005013A7" w:rsidRPr="00CF79CF">
        <w:rPr>
          <w:color w:val="000000"/>
        </w:rPr>
        <w:t>FSCA RF Notice 5 of 2020</w:t>
      </w:r>
      <w:r w:rsidR="005013A7">
        <w:rPr>
          <w:color w:val="000000"/>
        </w:rPr>
        <w:t xml:space="preserve"> and the </w:t>
      </w:r>
      <w:r w:rsidR="005013A7" w:rsidRPr="00CF79CF">
        <w:rPr>
          <w:color w:val="000000"/>
        </w:rPr>
        <w:t>FSCA Communication 6 of 2020</w:t>
      </w:r>
      <w:r w:rsidR="005013A7">
        <w:rPr>
          <w:color w:val="000000"/>
        </w:rPr>
        <w:t xml:space="preserve"> </w:t>
      </w:r>
      <w:bookmarkEnd w:id="0"/>
      <w:r w:rsidR="00C07EF9" w:rsidRPr="00053A44">
        <w:rPr>
          <w:color w:val="000000"/>
        </w:rPr>
        <w:t>for the Authority’s exemption notice allowing for the use and early adoption of the IRBA approved retirement fund Regulation 28 report</w:t>
      </w:r>
      <w:r w:rsidR="005013A7">
        <w:rPr>
          <w:color w:val="000000"/>
        </w:rPr>
        <w:t>.</w:t>
      </w:r>
    </w:p>
    <w:p w14:paraId="50702A2B" w14:textId="77777777" w:rsidR="002361E1" w:rsidRPr="00651832" w:rsidRDefault="002361E1" w:rsidP="00651832">
      <w:pPr>
        <w:keepNext/>
        <w:keepLines/>
        <w:rPr>
          <w:b/>
          <w:color w:val="00000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E45E8" w:rsidRPr="00651832" w14:paraId="0330ADC4" w14:textId="77777777">
        <w:tc>
          <w:tcPr>
            <w:tcW w:w="9016" w:type="dxa"/>
          </w:tcPr>
          <w:p w14:paraId="67E26E56" w14:textId="21272B14" w:rsidR="003E45E8" w:rsidRPr="00651832" w:rsidRDefault="00CA57CA" w:rsidP="00651832">
            <w:pPr>
              <w:spacing w:after="120" w:line="271" w:lineRule="auto"/>
              <w:rPr>
                <w:rFonts w:ascii="Arial" w:eastAsia="Arial" w:hAnsi="Arial" w:cs="Arial"/>
                <w:b/>
                <w:color w:val="000000"/>
                <w:sz w:val="22"/>
                <w:szCs w:val="22"/>
              </w:rPr>
            </w:pPr>
            <w:r w:rsidRPr="00651832">
              <w:rPr>
                <w:rFonts w:ascii="Arial" w:eastAsia="Arial" w:hAnsi="Arial" w:cs="Arial"/>
                <w:b/>
                <w:color w:val="000000"/>
                <w:sz w:val="22"/>
                <w:szCs w:val="22"/>
              </w:rPr>
              <w:t>Circumstances</w:t>
            </w:r>
          </w:p>
          <w:p w14:paraId="5BC56FF4" w14:textId="77777777" w:rsidR="00F538E8" w:rsidRPr="00651832" w:rsidRDefault="00F538E8" w:rsidP="00651832">
            <w:pPr>
              <w:numPr>
                <w:ilvl w:val="0"/>
                <w:numId w:val="2"/>
              </w:numPr>
              <w:spacing w:after="120" w:line="271" w:lineRule="auto"/>
              <w:rPr>
                <w:rFonts w:ascii="Arial" w:hAnsi="Arial" w:cs="Arial"/>
                <w:color w:val="000000"/>
                <w:sz w:val="22"/>
                <w:szCs w:val="22"/>
              </w:rPr>
            </w:pPr>
            <w:r w:rsidRPr="00651832">
              <w:rPr>
                <w:rFonts w:ascii="Arial" w:eastAsia="Arial" w:hAnsi="Arial" w:cs="Arial"/>
                <w:color w:val="000000"/>
                <w:sz w:val="22"/>
                <w:szCs w:val="22"/>
              </w:rPr>
              <w:t>Reasonable assurance engagement conducted in terms of ISAE 3000 (Revised)</w:t>
            </w:r>
            <w:r w:rsidRPr="00651832">
              <w:rPr>
                <w:rFonts w:ascii="Arial" w:hAnsi="Arial" w:cs="Arial"/>
                <w:color w:val="000000"/>
                <w:sz w:val="22"/>
                <w:szCs w:val="22"/>
              </w:rPr>
              <w:t xml:space="preserve"> that:</w:t>
            </w:r>
          </w:p>
          <w:p w14:paraId="4064C220" w14:textId="01F2F3A2" w:rsidR="00F538E8" w:rsidRPr="00651832" w:rsidRDefault="00F538E8" w:rsidP="00651832">
            <w:pPr>
              <w:numPr>
                <w:ilvl w:val="1"/>
                <w:numId w:val="2"/>
              </w:numPr>
              <w:spacing w:after="120" w:line="271" w:lineRule="auto"/>
              <w:ind w:left="1057"/>
              <w:rPr>
                <w:rFonts w:ascii="Arial" w:eastAsia="Arial" w:hAnsi="Arial" w:cs="Arial"/>
                <w:color w:val="000000"/>
                <w:sz w:val="22"/>
                <w:szCs w:val="22"/>
              </w:rPr>
            </w:pPr>
            <w:r w:rsidRPr="00651832">
              <w:rPr>
                <w:rFonts w:ascii="Arial" w:hAnsi="Arial" w:cs="Arial"/>
                <w:color w:val="000000"/>
                <w:sz w:val="22"/>
                <w:szCs w:val="22"/>
              </w:rPr>
              <w:t xml:space="preserve">Schedule IB is prepared in all material respects in accordance with </w:t>
            </w:r>
            <w:r w:rsidR="00413038" w:rsidRPr="00651832">
              <w:rPr>
                <w:rFonts w:ascii="Arial" w:hAnsi="Arial" w:cs="Arial"/>
                <w:color w:val="000000"/>
                <w:sz w:val="22"/>
                <w:szCs w:val="22"/>
              </w:rPr>
              <w:t xml:space="preserve">Regulation 28 </w:t>
            </w:r>
            <w:r w:rsidR="0010470C" w:rsidRPr="00651832">
              <w:rPr>
                <w:rFonts w:ascii="Arial" w:hAnsi="Arial" w:cs="Arial"/>
                <w:color w:val="000000"/>
                <w:sz w:val="22"/>
                <w:szCs w:val="22"/>
              </w:rPr>
              <w:t>(3</w:t>
            </w:r>
            <w:r w:rsidR="0010470C">
              <w:rPr>
                <w:rFonts w:ascii="Arial" w:hAnsi="Arial" w:cs="Arial"/>
                <w:color w:val="000000"/>
                <w:sz w:val="22"/>
                <w:szCs w:val="22"/>
              </w:rPr>
              <w:t>)</w:t>
            </w:r>
            <w:r w:rsidR="0010470C" w:rsidRPr="00651832">
              <w:rPr>
                <w:rFonts w:ascii="Arial" w:hAnsi="Arial" w:cs="Arial"/>
                <w:color w:val="000000"/>
                <w:sz w:val="22"/>
                <w:szCs w:val="22"/>
              </w:rPr>
              <w:t>(a), (3</w:t>
            </w:r>
            <w:r w:rsidR="0010470C">
              <w:rPr>
                <w:rFonts w:ascii="Arial" w:hAnsi="Arial" w:cs="Arial"/>
                <w:color w:val="000000"/>
                <w:sz w:val="22"/>
                <w:szCs w:val="22"/>
              </w:rPr>
              <w:t>)</w:t>
            </w:r>
            <w:r w:rsidR="0010470C" w:rsidRPr="00651832">
              <w:rPr>
                <w:rFonts w:ascii="Arial" w:hAnsi="Arial" w:cs="Arial"/>
                <w:color w:val="000000"/>
                <w:sz w:val="22"/>
                <w:szCs w:val="22"/>
              </w:rPr>
              <w:t xml:space="preserve">(c), </w:t>
            </w:r>
            <w:r w:rsidR="0010470C">
              <w:rPr>
                <w:rFonts w:ascii="Arial" w:hAnsi="Arial" w:cs="Arial"/>
                <w:color w:val="000000"/>
                <w:sz w:val="22"/>
                <w:szCs w:val="22"/>
              </w:rPr>
              <w:t>(3)</w:t>
            </w:r>
            <w:r w:rsidR="0010470C" w:rsidRPr="00651832">
              <w:rPr>
                <w:rFonts w:ascii="Arial" w:hAnsi="Arial" w:cs="Arial"/>
                <w:color w:val="000000"/>
                <w:sz w:val="22"/>
                <w:szCs w:val="22"/>
              </w:rPr>
              <w:t>(e)-(j), (4), (8) and (9)</w:t>
            </w:r>
            <w:r w:rsidRPr="00651832">
              <w:rPr>
                <w:rFonts w:ascii="Arial" w:hAnsi="Arial" w:cs="Arial"/>
                <w:color w:val="000000"/>
                <w:sz w:val="22"/>
                <w:szCs w:val="22"/>
              </w:rPr>
              <w:t>; and</w:t>
            </w:r>
          </w:p>
          <w:p w14:paraId="74782156" w14:textId="60794DB0" w:rsidR="00F538E8" w:rsidRPr="00651832" w:rsidRDefault="00F538E8" w:rsidP="00651832">
            <w:pPr>
              <w:numPr>
                <w:ilvl w:val="1"/>
                <w:numId w:val="2"/>
              </w:numPr>
              <w:spacing w:after="120" w:line="271" w:lineRule="auto"/>
              <w:ind w:left="1057"/>
              <w:rPr>
                <w:rFonts w:ascii="Arial" w:eastAsia="Arial" w:hAnsi="Arial" w:cs="Arial"/>
                <w:color w:val="000000"/>
                <w:sz w:val="22"/>
                <w:szCs w:val="22"/>
              </w:rPr>
            </w:pPr>
            <w:r w:rsidRPr="00651832">
              <w:rPr>
                <w:rFonts w:ascii="Arial" w:hAnsi="Arial" w:cs="Arial"/>
                <w:color w:val="000000"/>
                <w:sz w:val="22"/>
                <w:szCs w:val="22"/>
              </w:rPr>
              <w:t xml:space="preserve">The Fund has complied, in all material respects, with Regulation </w:t>
            </w:r>
            <w:r w:rsidR="00413038" w:rsidRPr="00651832">
              <w:rPr>
                <w:rFonts w:ascii="Arial" w:hAnsi="Arial" w:cs="Arial"/>
                <w:color w:val="000000"/>
                <w:sz w:val="22"/>
                <w:szCs w:val="22"/>
              </w:rPr>
              <w:t xml:space="preserve">28 </w:t>
            </w:r>
            <w:r w:rsidR="0010470C" w:rsidRPr="00651832">
              <w:rPr>
                <w:rFonts w:ascii="Arial" w:hAnsi="Arial" w:cs="Arial"/>
                <w:color w:val="000000"/>
                <w:sz w:val="22"/>
                <w:szCs w:val="22"/>
              </w:rPr>
              <w:t>(3</w:t>
            </w:r>
            <w:r w:rsidR="0010470C">
              <w:rPr>
                <w:rFonts w:ascii="Arial" w:hAnsi="Arial" w:cs="Arial"/>
                <w:color w:val="000000"/>
                <w:sz w:val="22"/>
                <w:szCs w:val="22"/>
              </w:rPr>
              <w:t>)</w:t>
            </w:r>
            <w:r w:rsidR="0010470C" w:rsidRPr="00651832">
              <w:rPr>
                <w:rFonts w:ascii="Arial" w:hAnsi="Arial" w:cs="Arial"/>
                <w:color w:val="000000"/>
                <w:sz w:val="22"/>
                <w:szCs w:val="22"/>
              </w:rPr>
              <w:t>(a), (3</w:t>
            </w:r>
            <w:r w:rsidR="0010470C">
              <w:rPr>
                <w:rFonts w:ascii="Arial" w:hAnsi="Arial" w:cs="Arial"/>
                <w:color w:val="000000"/>
                <w:sz w:val="22"/>
                <w:szCs w:val="22"/>
              </w:rPr>
              <w:t>)</w:t>
            </w:r>
            <w:r w:rsidR="0010470C" w:rsidRPr="00651832">
              <w:rPr>
                <w:rFonts w:ascii="Arial" w:hAnsi="Arial" w:cs="Arial"/>
                <w:color w:val="000000"/>
                <w:sz w:val="22"/>
                <w:szCs w:val="22"/>
              </w:rPr>
              <w:t xml:space="preserve">(c), </w:t>
            </w:r>
            <w:r w:rsidR="0010470C">
              <w:rPr>
                <w:rFonts w:ascii="Arial" w:hAnsi="Arial" w:cs="Arial"/>
                <w:color w:val="000000"/>
                <w:sz w:val="22"/>
                <w:szCs w:val="22"/>
              </w:rPr>
              <w:t>(3)</w:t>
            </w:r>
            <w:r w:rsidR="0010470C" w:rsidRPr="00651832">
              <w:rPr>
                <w:rFonts w:ascii="Arial" w:hAnsi="Arial" w:cs="Arial"/>
                <w:color w:val="000000"/>
                <w:sz w:val="22"/>
                <w:szCs w:val="22"/>
              </w:rPr>
              <w:t>(e)-(j), (4), (8) and (9)</w:t>
            </w:r>
            <w:r w:rsidRPr="00651832">
              <w:rPr>
                <w:rFonts w:ascii="Arial" w:hAnsi="Arial" w:cs="Arial"/>
                <w:color w:val="000000"/>
                <w:sz w:val="22"/>
                <w:szCs w:val="22"/>
              </w:rPr>
              <w:t>.</w:t>
            </w:r>
          </w:p>
          <w:p w14:paraId="474B37DB" w14:textId="77777777" w:rsidR="00F538E8" w:rsidRPr="00651832" w:rsidRDefault="00F538E8" w:rsidP="00651832">
            <w:pPr>
              <w:numPr>
                <w:ilvl w:val="0"/>
                <w:numId w:val="2"/>
              </w:numPr>
              <w:spacing w:after="120" w:line="271" w:lineRule="auto"/>
              <w:rPr>
                <w:rFonts w:ascii="Arial" w:hAnsi="Arial" w:cs="Arial"/>
                <w:color w:val="000000"/>
                <w:sz w:val="22"/>
                <w:szCs w:val="22"/>
              </w:rPr>
            </w:pPr>
            <w:r w:rsidRPr="00651832">
              <w:rPr>
                <w:rFonts w:ascii="Arial" w:eastAsia="Arial" w:hAnsi="Arial" w:cs="Arial"/>
                <w:color w:val="000000"/>
                <w:sz w:val="22"/>
                <w:szCs w:val="22"/>
              </w:rPr>
              <w:t xml:space="preserve">Materiality for the preparation of Schedule IB is determined using the auditor’s professional judgement. </w:t>
            </w:r>
          </w:p>
          <w:p w14:paraId="2BAA9F95" w14:textId="1115206F" w:rsidR="00F538E8" w:rsidRPr="00651832" w:rsidRDefault="00F538E8" w:rsidP="00651832">
            <w:pPr>
              <w:numPr>
                <w:ilvl w:val="0"/>
                <w:numId w:val="2"/>
              </w:numPr>
              <w:spacing w:after="120" w:line="271" w:lineRule="auto"/>
              <w:rPr>
                <w:rFonts w:ascii="Arial" w:hAnsi="Arial" w:cs="Arial"/>
                <w:color w:val="000000"/>
                <w:sz w:val="22"/>
                <w:szCs w:val="22"/>
              </w:rPr>
            </w:pPr>
            <w:r w:rsidRPr="00651832">
              <w:rPr>
                <w:rFonts w:ascii="Arial" w:eastAsia="Arial" w:hAnsi="Arial" w:cs="Arial"/>
                <w:color w:val="000000"/>
                <w:sz w:val="22"/>
                <w:szCs w:val="22"/>
              </w:rPr>
              <w:t>Materiality for the compliance of the Fund with Regulation 28 is set as one, as any non-compliance is required to be reported to the Financial Sector Conduct Authority (FSCA)</w:t>
            </w:r>
            <w:r w:rsidRPr="00651832">
              <w:rPr>
                <w:rStyle w:val="EndnoteReference"/>
                <w:rFonts w:ascii="Arial" w:eastAsia="Arial" w:hAnsi="Arial" w:cs="Arial"/>
                <w:color w:val="000000"/>
                <w:sz w:val="22"/>
                <w:szCs w:val="22"/>
              </w:rPr>
              <w:endnoteReference w:id="1"/>
            </w:r>
            <w:r w:rsidRPr="00651832">
              <w:rPr>
                <w:rFonts w:ascii="Arial" w:eastAsia="Arial" w:hAnsi="Arial" w:cs="Arial"/>
                <w:color w:val="000000"/>
                <w:sz w:val="22"/>
                <w:szCs w:val="22"/>
              </w:rPr>
              <w:t>.</w:t>
            </w:r>
          </w:p>
          <w:p w14:paraId="69A4ADF2" w14:textId="37FB39FD" w:rsidR="003E45E8" w:rsidRPr="00651832" w:rsidRDefault="00A11B9A" w:rsidP="00651832">
            <w:pPr>
              <w:numPr>
                <w:ilvl w:val="0"/>
                <w:numId w:val="2"/>
              </w:numPr>
              <w:spacing w:after="120" w:line="271" w:lineRule="auto"/>
              <w:rPr>
                <w:rFonts w:ascii="Arial" w:hAnsi="Arial" w:cs="Arial"/>
                <w:color w:val="000000"/>
                <w:sz w:val="22"/>
                <w:szCs w:val="22"/>
              </w:rPr>
            </w:pPr>
            <w:r w:rsidRPr="00651832">
              <w:rPr>
                <w:rFonts w:ascii="Arial" w:eastAsia="Arial" w:hAnsi="Arial" w:cs="Arial"/>
                <w:color w:val="000000"/>
                <w:sz w:val="22"/>
                <w:szCs w:val="22"/>
              </w:rPr>
              <w:t xml:space="preserve">The report includes illustrative wording for </w:t>
            </w:r>
            <w:r w:rsidR="00CA3081">
              <w:rPr>
                <w:rFonts w:ascii="Arial" w:eastAsia="Arial" w:hAnsi="Arial" w:cs="Arial"/>
                <w:color w:val="000000"/>
                <w:sz w:val="22"/>
                <w:szCs w:val="22"/>
              </w:rPr>
              <w:t xml:space="preserve">an </w:t>
            </w:r>
            <w:r w:rsidRPr="00651832">
              <w:rPr>
                <w:rFonts w:ascii="Arial" w:eastAsia="Arial" w:hAnsi="Arial" w:cs="Arial"/>
                <w:color w:val="000000"/>
                <w:sz w:val="22"/>
                <w:szCs w:val="22"/>
              </w:rPr>
              <w:t>u</w:t>
            </w:r>
            <w:r w:rsidR="00CA57CA" w:rsidRPr="00651832">
              <w:rPr>
                <w:rFonts w:ascii="Arial" w:eastAsia="Arial" w:hAnsi="Arial" w:cs="Arial"/>
                <w:color w:val="000000"/>
                <w:sz w:val="22"/>
                <w:szCs w:val="22"/>
              </w:rPr>
              <w:t xml:space="preserve">nmodified auditor’s </w:t>
            </w:r>
            <w:r w:rsidR="00CA57CA" w:rsidRPr="00651832">
              <w:rPr>
                <w:rFonts w:ascii="Arial" w:hAnsi="Arial" w:cs="Arial"/>
                <w:sz w:val="22"/>
                <w:szCs w:val="22"/>
              </w:rPr>
              <w:t>opinion</w:t>
            </w:r>
            <w:r w:rsidRPr="00651832">
              <w:rPr>
                <w:rFonts w:ascii="Arial" w:hAnsi="Arial" w:cs="Arial"/>
                <w:sz w:val="22"/>
                <w:szCs w:val="22"/>
              </w:rPr>
              <w:t>, a qualified opinion, a disclaimer of opinion and an adverse opinion</w:t>
            </w:r>
            <w:r w:rsidRPr="00651832">
              <w:rPr>
                <w:rFonts w:ascii="Arial" w:eastAsia="Arial" w:hAnsi="Arial" w:cs="Arial"/>
                <w:color w:val="000000"/>
                <w:sz w:val="22"/>
                <w:szCs w:val="22"/>
              </w:rPr>
              <w:t>; and illustrative examples for bases for modified opinion paragraphs.</w:t>
            </w:r>
          </w:p>
          <w:p w14:paraId="6DB20596" w14:textId="77777777" w:rsidR="003E45E8" w:rsidRPr="00651832" w:rsidRDefault="00CA57CA" w:rsidP="00651832">
            <w:pPr>
              <w:numPr>
                <w:ilvl w:val="0"/>
                <w:numId w:val="2"/>
              </w:numPr>
              <w:spacing w:after="120" w:line="271" w:lineRule="auto"/>
              <w:rPr>
                <w:rFonts w:ascii="Arial" w:hAnsi="Arial" w:cs="Arial"/>
                <w:color w:val="000000"/>
                <w:sz w:val="22"/>
                <w:szCs w:val="22"/>
              </w:rPr>
            </w:pPr>
            <w:r w:rsidRPr="00651832">
              <w:rPr>
                <w:rFonts w:ascii="Arial" w:eastAsia="Arial" w:hAnsi="Arial" w:cs="Arial"/>
                <w:color w:val="000000"/>
                <w:sz w:val="22"/>
                <w:szCs w:val="22"/>
              </w:rPr>
              <w:t>The information in Schedule IB agrees with the underlying records that were the subject of the audit engagement on the retirement fund.</w:t>
            </w:r>
          </w:p>
          <w:p w14:paraId="618D422D" w14:textId="57658BD0" w:rsidR="003E45E8" w:rsidRPr="00651832" w:rsidRDefault="00CA57CA" w:rsidP="00651832">
            <w:pPr>
              <w:numPr>
                <w:ilvl w:val="0"/>
                <w:numId w:val="2"/>
              </w:numPr>
              <w:spacing w:after="120" w:line="271" w:lineRule="auto"/>
              <w:rPr>
                <w:rFonts w:ascii="Arial" w:hAnsi="Arial" w:cs="Arial"/>
                <w:color w:val="000000"/>
                <w:sz w:val="22"/>
                <w:szCs w:val="22"/>
              </w:rPr>
            </w:pPr>
            <w:r w:rsidRPr="00651832">
              <w:rPr>
                <w:rFonts w:ascii="Arial" w:eastAsia="Arial" w:hAnsi="Arial" w:cs="Arial"/>
                <w:color w:val="000000"/>
                <w:sz w:val="22"/>
                <w:szCs w:val="22"/>
              </w:rPr>
              <w:t xml:space="preserve">Use of the </w:t>
            </w:r>
            <w:r w:rsidR="00D406D0" w:rsidRPr="00651832">
              <w:rPr>
                <w:rFonts w:ascii="Arial" w:eastAsia="Arial" w:hAnsi="Arial" w:cs="Arial"/>
                <w:color w:val="000000"/>
                <w:sz w:val="22"/>
                <w:szCs w:val="22"/>
              </w:rPr>
              <w:t xml:space="preserve">assurance </w:t>
            </w:r>
            <w:r w:rsidRPr="00651832">
              <w:rPr>
                <w:rFonts w:ascii="Arial" w:eastAsia="Arial" w:hAnsi="Arial" w:cs="Arial"/>
                <w:color w:val="000000"/>
                <w:sz w:val="22"/>
                <w:szCs w:val="22"/>
              </w:rPr>
              <w:t>report is restricted.</w:t>
            </w:r>
          </w:p>
        </w:tc>
      </w:tr>
    </w:tbl>
    <w:p w14:paraId="7D86DD84" w14:textId="77777777" w:rsidR="003E45E8" w:rsidRPr="00651832" w:rsidRDefault="003E45E8" w:rsidP="00651832">
      <w:pPr>
        <w:rPr>
          <w:color w:val="000000"/>
        </w:rPr>
      </w:pPr>
    </w:p>
    <w:p w14:paraId="39ECFC54" w14:textId="6388ADFB" w:rsidR="003E45E8" w:rsidRPr="00651832" w:rsidRDefault="00CA57CA" w:rsidP="00651832">
      <w:pPr>
        <w:rPr>
          <w:b/>
          <w:color w:val="000000"/>
        </w:rPr>
      </w:pPr>
      <w:r w:rsidRPr="00651832">
        <w:rPr>
          <w:b/>
          <w:color w:val="000000"/>
        </w:rPr>
        <w:t>Independent Auditor’s Reasonable Assurance Report on Assets Held in Compliance with Regulation 28 of the Pension Funds Act No. 24 of 1956, as amended</w:t>
      </w:r>
    </w:p>
    <w:p w14:paraId="0D876A2D" w14:textId="77777777" w:rsidR="00875130" w:rsidRPr="00651832" w:rsidRDefault="00875130" w:rsidP="00651832">
      <w:pPr>
        <w:rPr>
          <w:b/>
          <w:color w:val="000000"/>
        </w:rPr>
      </w:pPr>
    </w:p>
    <w:p w14:paraId="2E7507F9" w14:textId="77777777" w:rsidR="003E45E8" w:rsidRPr="00651832" w:rsidRDefault="00CA57CA" w:rsidP="00651832">
      <w:pPr>
        <w:rPr>
          <w:color w:val="000000"/>
        </w:rPr>
      </w:pPr>
      <w:r w:rsidRPr="00651832">
        <w:rPr>
          <w:color w:val="000000"/>
        </w:rPr>
        <w:t xml:space="preserve">To the Board of Fund of &lt;insert name of the fund&gt; </w:t>
      </w:r>
    </w:p>
    <w:p w14:paraId="5ABFB572" w14:textId="77777777" w:rsidR="003E45E8" w:rsidRPr="00651832" w:rsidRDefault="00CA57CA" w:rsidP="00651832">
      <w:pPr>
        <w:rPr>
          <w:b/>
          <w:i/>
          <w:color w:val="000000"/>
        </w:rPr>
      </w:pPr>
      <w:r w:rsidRPr="00651832">
        <w:rPr>
          <w:b/>
          <w:i/>
          <w:color w:val="000000"/>
        </w:rPr>
        <w:lastRenderedPageBreak/>
        <w:t>Report on Compliance of Schedule IB with Regulation 28 of the Act</w:t>
      </w:r>
    </w:p>
    <w:p w14:paraId="07A0B607" w14:textId="77777777" w:rsidR="003E45E8" w:rsidRPr="00651832" w:rsidRDefault="003E45E8" w:rsidP="00651832">
      <w:pPr>
        <w:rPr>
          <w:color w:val="000000"/>
        </w:rPr>
      </w:pPr>
    </w:p>
    <w:p w14:paraId="67F26675" w14:textId="3BEC6FE9" w:rsidR="004C0B07" w:rsidRPr="00651832" w:rsidRDefault="004C0B07" w:rsidP="00651832">
      <w:pPr>
        <w:rPr>
          <w:color w:val="000000"/>
        </w:rPr>
      </w:pPr>
      <w:r w:rsidRPr="00651832">
        <w:rPr>
          <w:color w:val="000000"/>
        </w:rPr>
        <w:t xml:space="preserve">We have undertaken our engagement in accordance with Section 15 of the Pension Funds Act No. 24 of 1956, as amended (the Act) in order to provide the Board of Fund </w:t>
      </w:r>
      <w:r w:rsidR="007F275C" w:rsidRPr="00651832">
        <w:rPr>
          <w:color w:val="000000"/>
        </w:rPr>
        <w:t xml:space="preserve">of &lt;insert name of fund&gt; (the Fund) </w:t>
      </w:r>
      <w:r w:rsidRPr="00651832">
        <w:rPr>
          <w:color w:val="000000"/>
        </w:rPr>
        <w:t>with a reasonable assurance opinion that Schedule IB “Assets held in compliance with Regulation 28” (the Schedule) on pages &lt;xx&gt; to &lt;xx&gt; at &lt;insert year-end date&gt; is prepared in all material</w:t>
      </w:r>
      <w:r w:rsidR="00346CC5" w:rsidRPr="00651832">
        <w:rPr>
          <w:rStyle w:val="EndnoteReference"/>
          <w:color w:val="000000"/>
        </w:rPr>
        <w:endnoteReference w:id="2"/>
      </w:r>
      <w:r w:rsidRPr="00651832">
        <w:rPr>
          <w:color w:val="000000"/>
        </w:rPr>
        <w:t xml:space="preserve"> respects in accordance </w:t>
      </w:r>
      <w:r w:rsidR="006B6213" w:rsidRPr="00651832">
        <w:rPr>
          <w:color w:val="000000"/>
        </w:rPr>
        <w:t xml:space="preserve">with Regulation </w:t>
      </w:r>
      <w:r w:rsidR="00CA3081">
        <w:rPr>
          <w:color w:val="000000"/>
        </w:rPr>
        <w:t xml:space="preserve">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3A512D">
        <w:rPr>
          <w:color w:val="000000"/>
        </w:rPr>
        <w:t xml:space="preserve"> of the Act</w:t>
      </w:r>
      <w:r w:rsidR="006B6213" w:rsidRPr="00651832">
        <w:rPr>
          <w:color w:val="000000"/>
        </w:rPr>
        <w:t xml:space="preserve">, </w:t>
      </w:r>
      <w:r w:rsidR="007F275C" w:rsidRPr="00651832">
        <w:rPr>
          <w:color w:val="000000"/>
        </w:rPr>
        <w:t>and the F</w:t>
      </w:r>
      <w:r w:rsidR="006B6213" w:rsidRPr="00651832">
        <w:rPr>
          <w:color w:val="000000"/>
        </w:rPr>
        <w:t xml:space="preserve">und </w:t>
      </w:r>
      <w:r w:rsidR="00186511" w:rsidRPr="00651832">
        <w:rPr>
          <w:color w:val="000000"/>
        </w:rPr>
        <w:t>has complied, in all material</w:t>
      </w:r>
      <w:r w:rsidR="00346CC5" w:rsidRPr="00651832">
        <w:rPr>
          <w:rStyle w:val="EndnoteReference"/>
          <w:color w:val="000000"/>
        </w:rPr>
        <w:endnoteReference w:id="3"/>
      </w:r>
      <w:r w:rsidR="00186511" w:rsidRPr="00651832">
        <w:rPr>
          <w:color w:val="000000"/>
        </w:rPr>
        <w:t xml:space="preserve"> respects, </w:t>
      </w:r>
      <w:r w:rsidR="006B6213" w:rsidRPr="00651832">
        <w:rPr>
          <w:color w:val="000000"/>
        </w:rPr>
        <w:t>with Regulation 28</w:t>
      </w:r>
      <w:r w:rsidR="007F275C" w:rsidRPr="00651832">
        <w:rPr>
          <w:color w:val="000000"/>
        </w:rPr>
        <w:t xml:space="preserve">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10470C" w:rsidRPr="00651832" w:rsidDel="0010470C">
        <w:rPr>
          <w:color w:val="000000"/>
        </w:rPr>
        <w:t xml:space="preserve"> </w:t>
      </w:r>
      <w:r w:rsidR="007F275C" w:rsidRPr="00651832">
        <w:rPr>
          <w:color w:val="000000"/>
        </w:rPr>
        <w:t>as at &lt;insert year-end date&gt;</w:t>
      </w:r>
      <w:r w:rsidR="00346CC5" w:rsidRPr="00651832">
        <w:rPr>
          <w:rStyle w:val="EndnoteReference"/>
          <w:color w:val="000000"/>
        </w:rPr>
        <w:endnoteReference w:id="4"/>
      </w:r>
      <w:r w:rsidR="007F275C" w:rsidRPr="00651832">
        <w:rPr>
          <w:color w:val="000000"/>
        </w:rPr>
        <w:t>.</w:t>
      </w:r>
    </w:p>
    <w:p w14:paraId="48D3126D" w14:textId="77777777" w:rsidR="004C0B07" w:rsidRPr="00651832" w:rsidRDefault="004C0B07" w:rsidP="00651832">
      <w:pPr>
        <w:rPr>
          <w:i/>
          <w:color w:val="000000"/>
        </w:rPr>
      </w:pPr>
    </w:p>
    <w:p w14:paraId="558A947B" w14:textId="77777777" w:rsidR="003E45E8" w:rsidRPr="00651832" w:rsidRDefault="00CA57CA" w:rsidP="00C834E4">
      <w:pPr>
        <w:keepNext/>
        <w:rPr>
          <w:i/>
          <w:color w:val="000000"/>
        </w:rPr>
      </w:pPr>
      <w:r w:rsidRPr="00651832">
        <w:rPr>
          <w:i/>
          <w:color w:val="000000"/>
        </w:rPr>
        <w:t>The Board of Fund’s responsibility for the Schedule</w:t>
      </w:r>
    </w:p>
    <w:p w14:paraId="406F222D" w14:textId="4F26C722" w:rsidR="003E45E8" w:rsidRPr="00651832" w:rsidRDefault="00CA57CA" w:rsidP="00C834E4">
      <w:pPr>
        <w:keepNext/>
        <w:rPr>
          <w:color w:val="000000"/>
        </w:rPr>
      </w:pPr>
      <w:r w:rsidRPr="00651832">
        <w:rPr>
          <w:color w:val="000000"/>
        </w:rPr>
        <w:t xml:space="preserve">The Board of Fund is responsible for ensuring that the Schedule is prepared in </w:t>
      </w:r>
      <w:r w:rsidR="00AF1758" w:rsidRPr="00651832">
        <w:rPr>
          <w:color w:val="000000"/>
        </w:rPr>
        <w:t xml:space="preserve">accordance 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3A512D">
        <w:rPr>
          <w:color w:val="000000"/>
        </w:rPr>
        <w:t xml:space="preserve"> </w:t>
      </w:r>
      <w:r w:rsidR="00AF1758" w:rsidRPr="00651832">
        <w:rPr>
          <w:color w:val="000000"/>
        </w:rPr>
        <w:t>and for compliance of the Fund with</w:t>
      </w:r>
      <w:r w:rsidRPr="00651832">
        <w:rPr>
          <w:color w:val="000000"/>
        </w:rPr>
        <w:t xml:space="preserve"> Regulation 28</w:t>
      </w:r>
      <w:r w:rsidR="003A512D">
        <w:rPr>
          <w:color w:val="000000"/>
        </w:rPr>
        <w:t xml:space="preserve">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Pr="00651832">
        <w:rPr>
          <w:color w:val="000000"/>
        </w:rPr>
        <w:t>. This responsibility includes the design, implementation and maintenance of internal controls relevant to the preparation of the Schedule that is free from material misstatement, whether due to fraud or error</w:t>
      </w:r>
      <w:r w:rsidR="00AF1758" w:rsidRPr="00651832">
        <w:rPr>
          <w:color w:val="000000"/>
        </w:rPr>
        <w:t>.</w:t>
      </w:r>
    </w:p>
    <w:p w14:paraId="027EFCFB" w14:textId="77777777" w:rsidR="003E45E8" w:rsidRPr="00651832" w:rsidRDefault="003E45E8" w:rsidP="00651832">
      <w:pPr>
        <w:ind w:left="540" w:hanging="540"/>
        <w:rPr>
          <w:i/>
          <w:color w:val="000000"/>
        </w:rPr>
      </w:pPr>
    </w:p>
    <w:p w14:paraId="5CBBDA7C" w14:textId="36C90A42" w:rsidR="003E45E8" w:rsidRPr="00651832" w:rsidRDefault="00CA57CA" w:rsidP="00651832">
      <w:pPr>
        <w:keepNext/>
        <w:ind w:left="540" w:hanging="540"/>
        <w:rPr>
          <w:i/>
          <w:color w:val="000000"/>
        </w:rPr>
      </w:pPr>
      <w:r w:rsidRPr="00651832">
        <w:rPr>
          <w:i/>
          <w:color w:val="000000"/>
        </w:rPr>
        <w:t xml:space="preserve">Our Independence and Quality </w:t>
      </w:r>
      <w:r w:rsidR="007D7774">
        <w:rPr>
          <w:i/>
          <w:color w:val="000000"/>
        </w:rPr>
        <w:t>Management</w:t>
      </w:r>
      <w:r w:rsidR="00B520CE" w:rsidRPr="00651832">
        <w:rPr>
          <w:rStyle w:val="EndnoteReference"/>
          <w:i/>
          <w:color w:val="000000"/>
        </w:rPr>
        <w:endnoteReference w:id="5"/>
      </w:r>
    </w:p>
    <w:p w14:paraId="619B318E" w14:textId="5E5DD16D" w:rsidR="00CA3081" w:rsidRPr="00651832" w:rsidRDefault="008267BC" w:rsidP="00651832">
      <w:pPr>
        <w:widowControl w:val="0"/>
        <w:autoSpaceDE w:val="0"/>
        <w:autoSpaceDN w:val="0"/>
        <w:adjustRightInd w:val="0"/>
      </w:pPr>
      <w:r w:rsidRPr="00543759">
        <w:rPr>
          <w:bCs/>
          <w:spacing w:val="1"/>
        </w:rPr>
        <w:t xml:space="preserve">We have complied with the independence and other ethical requirements of the </w:t>
      </w:r>
      <w:r w:rsidRPr="00543759">
        <w:rPr>
          <w:bCs/>
          <w:i/>
          <w:iCs/>
          <w:spacing w:val="1"/>
        </w:rPr>
        <w:t>Code of Professional Conduct for Registered Auditors</w:t>
      </w:r>
      <w:r w:rsidRPr="00543759">
        <w:rPr>
          <w:bCs/>
          <w:spacing w:val="1"/>
        </w:rPr>
        <w:t xml:space="preserve"> issued by the Independent Regulatory Board for Auditors (IRBA Code), which is founded on fundamental principles of integrity, objectivity, professional competence and due care, confidentiality and professional behaviour. The IRBA Code is consistent with the corresponding sections of the International Ethics Standards Board for Accountants’ </w:t>
      </w:r>
      <w:r w:rsidRPr="00543759">
        <w:rPr>
          <w:bCs/>
          <w:i/>
          <w:iCs/>
          <w:spacing w:val="1"/>
        </w:rPr>
        <w:t>International Code of Ethics for Professional Accountants (including International Independence Standards)</w:t>
      </w:r>
      <w:r w:rsidRPr="00543759">
        <w:rPr>
          <w:bCs/>
          <w:spacing w:val="1"/>
        </w:rPr>
        <w:t>.</w:t>
      </w:r>
    </w:p>
    <w:p w14:paraId="485AAABD" w14:textId="38F6D1A4" w:rsidR="003E45E8" w:rsidRPr="00651832" w:rsidRDefault="00CA57CA" w:rsidP="00651832">
      <w:pPr>
        <w:keepNext/>
        <w:keepLines/>
        <w:rPr>
          <w:i/>
          <w:color w:val="000000"/>
        </w:rPr>
      </w:pPr>
      <w:r w:rsidRPr="00651832">
        <w:rPr>
          <w:color w:val="000000"/>
        </w:rPr>
        <w:t>&lt;Insert name of firm&gt;/&lt;The firm&gt;</w:t>
      </w:r>
      <w:r w:rsidRPr="00651832">
        <w:rPr>
          <w:i/>
          <w:color w:val="000000"/>
        </w:rPr>
        <w:t xml:space="preserve"> </w:t>
      </w:r>
      <w:r w:rsidRPr="00651832">
        <w:rPr>
          <w:color w:val="000000"/>
        </w:rPr>
        <w:t xml:space="preserve">applies the International Standard on Quality </w:t>
      </w:r>
      <w:r w:rsidR="007D7774">
        <w:rPr>
          <w:color w:val="000000"/>
        </w:rPr>
        <w:t>Management</w:t>
      </w:r>
      <w:r w:rsidR="008267BC">
        <w:rPr>
          <w:color w:val="000000"/>
        </w:rPr>
        <w:t xml:space="preserve"> </w:t>
      </w:r>
      <w:r w:rsidRPr="00651832">
        <w:rPr>
          <w:color w:val="000000"/>
        </w:rPr>
        <w:t>1</w:t>
      </w:r>
      <w:r w:rsidR="00A07D08">
        <w:rPr>
          <w:color w:val="000000"/>
        </w:rPr>
        <w:t>,</w:t>
      </w:r>
      <w:r w:rsidRPr="00651832">
        <w:rPr>
          <w:color w:val="000000"/>
        </w:rPr>
        <w:t xml:space="preserve"> </w:t>
      </w:r>
      <w:r w:rsidR="007D7774" w:rsidRPr="007D7774">
        <w:rPr>
          <w:color w:val="000000"/>
        </w:rPr>
        <w:t xml:space="preserve">which requires the firm to design, implement and operate a system of quality management including policies or </w:t>
      </w:r>
      <w:r w:rsidRPr="00651832">
        <w:rPr>
          <w:color w:val="000000"/>
        </w:rPr>
        <w:t>procedures regarding compliance with ethical requirements, professional standards and applicable legal and regulatory requirements.</w:t>
      </w:r>
    </w:p>
    <w:p w14:paraId="5954F551" w14:textId="77777777" w:rsidR="003E45E8" w:rsidRPr="00651832" w:rsidRDefault="003E45E8" w:rsidP="00651832">
      <w:pPr>
        <w:rPr>
          <w:i/>
          <w:color w:val="000000"/>
        </w:rPr>
      </w:pPr>
    </w:p>
    <w:p w14:paraId="2B540A68" w14:textId="38FED11C" w:rsidR="003E45E8" w:rsidRPr="00651832" w:rsidRDefault="00CA57CA" w:rsidP="00651832">
      <w:pPr>
        <w:keepNext/>
        <w:rPr>
          <w:i/>
          <w:color w:val="000000"/>
        </w:rPr>
      </w:pPr>
      <w:r w:rsidRPr="00651832">
        <w:rPr>
          <w:i/>
          <w:color w:val="000000"/>
        </w:rPr>
        <w:t>Auditor’s Responsibility</w:t>
      </w:r>
      <w:r w:rsidR="00A3589D" w:rsidRPr="00651832">
        <w:rPr>
          <w:rStyle w:val="EndnoteReference"/>
          <w:i/>
          <w:color w:val="000000"/>
        </w:rPr>
        <w:endnoteReference w:id="6"/>
      </w:r>
    </w:p>
    <w:p w14:paraId="521FF36C" w14:textId="0813F76C" w:rsidR="003E45E8" w:rsidRPr="00651832" w:rsidRDefault="00CA57CA" w:rsidP="00651832">
      <w:pPr>
        <w:keepNext/>
        <w:rPr>
          <w:color w:val="000000"/>
        </w:rPr>
      </w:pPr>
      <w:r w:rsidRPr="00651832">
        <w:rPr>
          <w:color w:val="000000"/>
        </w:rPr>
        <w:t>Our responsibility is to express a</w:t>
      </w:r>
      <w:r w:rsidR="00CD3839" w:rsidRPr="00651832">
        <w:rPr>
          <w:color w:val="000000"/>
        </w:rPr>
        <w:t>n</w:t>
      </w:r>
      <w:r w:rsidRPr="00651832">
        <w:rPr>
          <w:color w:val="000000"/>
        </w:rPr>
        <w:t xml:space="preserve"> </w:t>
      </w:r>
      <w:r w:rsidRPr="00651832">
        <w:t>opinion</w:t>
      </w:r>
      <w:r w:rsidRPr="00651832">
        <w:rPr>
          <w:color w:val="000000"/>
        </w:rPr>
        <w:t xml:space="preserve"> on whether the </w:t>
      </w:r>
      <w:r w:rsidR="00865BA9" w:rsidRPr="00651832">
        <w:rPr>
          <w:color w:val="000000"/>
        </w:rPr>
        <w:t xml:space="preserve">Schedule is prepared in accordance 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3A512D">
        <w:rPr>
          <w:color w:val="000000"/>
        </w:rPr>
        <w:t xml:space="preserve"> </w:t>
      </w:r>
      <w:r w:rsidR="00865BA9" w:rsidRPr="00651832">
        <w:rPr>
          <w:color w:val="000000"/>
        </w:rPr>
        <w:t xml:space="preserve">and </w:t>
      </w:r>
      <w:r w:rsidR="00066D21" w:rsidRPr="00651832">
        <w:rPr>
          <w:color w:val="000000"/>
        </w:rPr>
        <w:t xml:space="preserve">whether the Fund complies with </w:t>
      </w:r>
      <w:r w:rsidR="00865BA9" w:rsidRPr="00651832">
        <w:rPr>
          <w:color w:val="000000"/>
        </w:rPr>
        <w:t xml:space="preserve">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3A512D">
        <w:rPr>
          <w:color w:val="000000"/>
        </w:rPr>
        <w:t xml:space="preserve"> </w:t>
      </w:r>
      <w:r w:rsidRPr="00651832">
        <w:rPr>
          <w:color w:val="000000"/>
        </w:rPr>
        <w:t>base</w:t>
      </w:r>
      <w:r w:rsidRPr="00651832">
        <w:t xml:space="preserve">d on </w:t>
      </w:r>
      <w:r w:rsidR="004C0B07" w:rsidRPr="00651832">
        <w:t>performing</w:t>
      </w:r>
      <w:r w:rsidRPr="00651832">
        <w:t xml:space="preserve"> a reasonable assurance engagement</w:t>
      </w:r>
      <w:r w:rsidRPr="00651832">
        <w:rPr>
          <w:color w:val="000000"/>
        </w:rPr>
        <w:t>.</w:t>
      </w:r>
    </w:p>
    <w:p w14:paraId="2ECA668E" w14:textId="35E42C20" w:rsidR="003E45E8" w:rsidRPr="00651832" w:rsidRDefault="00CA57CA" w:rsidP="00651832">
      <w:pPr>
        <w:rPr>
          <w:color w:val="000000"/>
        </w:rPr>
      </w:pPr>
      <w:r w:rsidRPr="00651832">
        <w:rPr>
          <w:color w:val="000000"/>
        </w:rPr>
        <w:t xml:space="preserve">We </w:t>
      </w:r>
      <w:r w:rsidRPr="00651832">
        <w:t>performed</w:t>
      </w:r>
      <w:r w:rsidRPr="00651832">
        <w:rPr>
          <w:color w:val="000000"/>
        </w:rPr>
        <w:t xml:space="preserve"> our reasonable assurance engagement in accordance with the International Standard on Assurance Engagements 3000 (Revised), </w:t>
      </w:r>
      <w:r w:rsidRPr="00651832">
        <w:rPr>
          <w:i/>
          <w:color w:val="000000"/>
        </w:rPr>
        <w:t>Assurance Engagements</w:t>
      </w:r>
      <w:r w:rsidRPr="00651832">
        <w:rPr>
          <w:color w:val="000000"/>
        </w:rPr>
        <w:t xml:space="preserve"> </w:t>
      </w:r>
      <w:r w:rsidRPr="00651832">
        <w:rPr>
          <w:i/>
          <w:color w:val="000000"/>
        </w:rPr>
        <w:t>Other than Audits or Reviews of Historical Financial Information</w:t>
      </w:r>
      <w:r w:rsidRPr="00651832">
        <w:rPr>
          <w:color w:val="000000"/>
        </w:rPr>
        <w:t xml:space="preserve"> (ISAE 3000 (Revised)) issued by the International Auditing and Assurance Standards Board. </w:t>
      </w:r>
      <w:r w:rsidRPr="00651832">
        <w:t>Tha</w:t>
      </w:r>
      <w:r w:rsidRPr="00651832">
        <w:rPr>
          <w:color w:val="000000"/>
        </w:rPr>
        <w:t xml:space="preserve">t standard requires that we plan and perform this engagement to obtain reasonable assurance about whether </w:t>
      </w:r>
      <w:r w:rsidR="00BA254A" w:rsidRPr="00651832">
        <w:rPr>
          <w:color w:val="000000"/>
        </w:rPr>
        <w:t xml:space="preserve">the Schedule is prepared in accordance 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3A512D">
        <w:rPr>
          <w:color w:val="000000"/>
        </w:rPr>
        <w:t xml:space="preserve"> </w:t>
      </w:r>
      <w:r w:rsidR="00BA254A" w:rsidRPr="00651832">
        <w:rPr>
          <w:color w:val="000000"/>
        </w:rPr>
        <w:t>and whether the Fund complies with Regulation 28</w:t>
      </w:r>
      <w:r w:rsidR="003A512D">
        <w:rPr>
          <w:color w:val="000000"/>
        </w:rPr>
        <w:t xml:space="preserve">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0E2787" w:rsidRPr="00651832">
        <w:rPr>
          <w:color w:val="000000"/>
        </w:rPr>
        <w:t>.</w:t>
      </w:r>
    </w:p>
    <w:p w14:paraId="25CD13C7" w14:textId="5D3EC5E5" w:rsidR="003E45E8" w:rsidRPr="00651832" w:rsidRDefault="00CA57CA" w:rsidP="00651832">
      <w:pPr>
        <w:rPr>
          <w:color w:val="000000"/>
        </w:rPr>
      </w:pPr>
      <w:r w:rsidRPr="00651832">
        <w:lastRenderedPageBreak/>
        <w:t>A</w:t>
      </w:r>
      <w:r w:rsidRPr="00651832">
        <w:rPr>
          <w:color w:val="000000"/>
        </w:rPr>
        <w:t xml:space="preserve"> reasonable assurance engagement in accordance with ISAE 3000 (Revised) involves performing procedures to obtain sufficient appropriate evidence </w:t>
      </w:r>
      <w:r w:rsidR="00BA254A" w:rsidRPr="00651832">
        <w:rPr>
          <w:color w:val="000000"/>
        </w:rPr>
        <w:t xml:space="preserve">that the Schedule is prepared in accordance 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10470C" w:rsidRPr="00651832" w:rsidDel="0010470C">
        <w:rPr>
          <w:color w:val="000000"/>
        </w:rPr>
        <w:t xml:space="preserve"> </w:t>
      </w:r>
      <w:r w:rsidR="00BA254A" w:rsidRPr="00651832">
        <w:rPr>
          <w:color w:val="000000"/>
        </w:rPr>
        <w:t xml:space="preserve">and that the Fund complies 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Pr="00651832">
        <w:rPr>
          <w:color w:val="000000"/>
        </w:rPr>
        <w:t>. The nature, timing and extent of procedures selected depend on the auditor’s judgement, including the assessment of the risks of non-compliance with Regulation 28</w:t>
      </w:r>
      <w:r w:rsidR="00BD7E28">
        <w:rPr>
          <w:color w:val="000000"/>
        </w:rPr>
        <w:t xml:space="preserve">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Pr="00651832">
        <w:rPr>
          <w:color w:val="000000"/>
        </w:rPr>
        <w:t xml:space="preserve">, whether due to fraud and error. In making those risk assessments we consider internal control relevant to the engagement in order to design procedures that are appropriate in the circumstances, but not for the purpose of expressing </w:t>
      </w:r>
      <w:r w:rsidRPr="00651832">
        <w:t>an opinion</w:t>
      </w:r>
      <w:r w:rsidRPr="00651832">
        <w:rPr>
          <w:color w:val="000000"/>
        </w:rPr>
        <w:t xml:space="preserve"> on the effectiveness of internal control. </w:t>
      </w:r>
    </w:p>
    <w:p w14:paraId="477C89FE" w14:textId="77777777" w:rsidR="003E45E8" w:rsidRPr="00651832" w:rsidRDefault="003E45E8" w:rsidP="00651832"/>
    <w:p w14:paraId="0FC6A0CE" w14:textId="77777777" w:rsidR="003E45E8" w:rsidRPr="00651832" w:rsidRDefault="00CA57CA" w:rsidP="00651832">
      <w:pPr>
        <w:rPr>
          <w:i/>
        </w:rPr>
      </w:pPr>
      <w:r w:rsidRPr="00651832">
        <w:rPr>
          <w:i/>
        </w:rPr>
        <w:t>Summary of work performed</w:t>
      </w:r>
    </w:p>
    <w:p w14:paraId="3C372B71" w14:textId="14994D4C" w:rsidR="000E629F" w:rsidRPr="00651832" w:rsidRDefault="00CA57CA" w:rsidP="00651832">
      <w:r w:rsidRPr="00651832">
        <w:t xml:space="preserve">We completed our audit of the annual financial statements of the </w:t>
      </w:r>
      <w:r w:rsidRPr="00651832">
        <w:rPr>
          <w:color w:val="000000"/>
        </w:rPr>
        <w:t>&lt;insert name of fund&gt; for the year ended &lt;insert year-end date&gt;</w:t>
      </w:r>
      <w:r w:rsidRPr="00651832">
        <w:t xml:space="preserve">, prepared in accordance with the </w:t>
      </w:r>
      <w:r w:rsidRPr="00651832">
        <w:rPr>
          <w:color w:val="000000"/>
        </w:rPr>
        <w:t>Regulatory Reporting Requirements for Retirement Funds in South Africa</w:t>
      </w:r>
      <w:r w:rsidRPr="00651832">
        <w:t xml:space="preserve">, on which we issued an </w:t>
      </w:r>
      <w:r w:rsidR="00B079C5" w:rsidRPr="00651832">
        <w:t>&lt;</w:t>
      </w:r>
      <w:r w:rsidRPr="00651832">
        <w:rPr>
          <w:color w:val="000000"/>
        </w:rPr>
        <w:t>unmodified</w:t>
      </w:r>
      <w:r w:rsidR="00CA3220" w:rsidRPr="00651832">
        <w:rPr>
          <w:color w:val="000000"/>
        </w:rPr>
        <w:t xml:space="preserve"> </w:t>
      </w:r>
      <w:r w:rsidR="00B079C5" w:rsidRPr="00651832">
        <w:rPr>
          <w:color w:val="000000"/>
        </w:rPr>
        <w:t>/qualified</w:t>
      </w:r>
      <w:r w:rsidR="00CA3220" w:rsidRPr="00651832">
        <w:rPr>
          <w:color w:val="000000"/>
        </w:rPr>
        <w:t xml:space="preserve"> </w:t>
      </w:r>
      <w:r w:rsidR="00B079C5" w:rsidRPr="00651832">
        <w:rPr>
          <w:color w:val="000000"/>
        </w:rPr>
        <w:t>/disclaimer of/adverse&gt;</w:t>
      </w:r>
      <w:r w:rsidRPr="00651832">
        <w:rPr>
          <w:color w:val="000000"/>
        </w:rPr>
        <w:t xml:space="preserve"> opinion</w:t>
      </w:r>
      <w:r w:rsidRPr="00651832">
        <w:t xml:space="preserve"> on &lt;insert date of auditor’s report&gt;. </w:t>
      </w:r>
      <w:r w:rsidR="00CA3220" w:rsidRPr="00651832">
        <w:t xml:space="preserve">That </w:t>
      </w:r>
      <w:r w:rsidRPr="00651832">
        <w:t xml:space="preserve">audit was performed in accordance with International Standards on Auditing. Where appropriate, we have drawn on evidence obtained regarding </w:t>
      </w:r>
      <w:r w:rsidRPr="00651832">
        <w:rPr>
          <w:color w:val="000000"/>
        </w:rPr>
        <w:t>information contained in the Schedule that has been extracted from the Fund’s underlying accounting records that were the subject of our audit engagement on the annual financial statements and forms the subject matter of this engagement.</w:t>
      </w:r>
      <w:r w:rsidRPr="00651832">
        <w:t xml:space="preserve"> </w:t>
      </w:r>
    </w:p>
    <w:p w14:paraId="59367287" w14:textId="2B8A529D" w:rsidR="003E45E8" w:rsidRPr="00651832" w:rsidRDefault="00CA57CA" w:rsidP="00651832">
      <w:pPr>
        <w:rPr>
          <w:color w:val="000000"/>
        </w:rPr>
      </w:pPr>
      <w:r w:rsidRPr="00651832">
        <w:t>We have performed such additional procedures as we considered necessary which included</w:t>
      </w:r>
      <w:r w:rsidR="00B520CE" w:rsidRPr="00651832">
        <w:rPr>
          <w:rStyle w:val="EndnoteReference"/>
        </w:rPr>
        <w:endnoteReference w:id="7"/>
      </w:r>
      <w:r w:rsidRPr="00651832">
        <w:t xml:space="preserve">: </w:t>
      </w:r>
      <w:r w:rsidRPr="00651832">
        <w:rPr>
          <w:color w:val="000000"/>
        </w:rPr>
        <w:t xml:space="preserve"> </w:t>
      </w:r>
    </w:p>
    <w:p w14:paraId="2A1D40E6" w14:textId="440A5D83" w:rsidR="003E45E8" w:rsidRPr="00651832" w:rsidRDefault="00CA57CA" w:rsidP="00651832">
      <w:pPr>
        <w:numPr>
          <w:ilvl w:val="0"/>
          <w:numId w:val="1"/>
        </w:numPr>
        <w:ind w:left="630" w:hanging="562"/>
        <w:rPr>
          <w:color w:val="000000"/>
        </w:rPr>
      </w:pPr>
      <w:bookmarkStart w:id="1" w:name="_gjdgxs" w:colFirst="0" w:colLast="0"/>
      <w:bookmarkEnd w:id="1"/>
      <w:r w:rsidRPr="00651832">
        <w:rPr>
          <w:color w:val="000000"/>
        </w:rPr>
        <w:t xml:space="preserve">Evaluating whether confirmations from financial institutions </w:t>
      </w:r>
      <w:r w:rsidR="000B21F7" w:rsidRPr="00651832">
        <w:rPr>
          <w:color w:val="000000"/>
        </w:rPr>
        <w:t xml:space="preserve">are </w:t>
      </w:r>
      <w:r w:rsidRPr="00651832">
        <w:rPr>
          <w:color w:val="000000"/>
        </w:rPr>
        <w:t>in support of the records made available to us</w:t>
      </w:r>
      <w:r w:rsidR="003C3D31" w:rsidRPr="00651832">
        <w:rPr>
          <w:color w:val="000000"/>
        </w:rPr>
        <w:t>;</w:t>
      </w:r>
    </w:p>
    <w:p w14:paraId="7435F005" w14:textId="5CB23EBC" w:rsidR="009F649A" w:rsidRPr="00651832" w:rsidRDefault="009F649A" w:rsidP="00651832">
      <w:pPr>
        <w:numPr>
          <w:ilvl w:val="0"/>
          <w:numId w:val="1"/>
        </w:numPr>
        <w:ind w:left="630" w:hanging="562"/>
        <w:rPr>
          <w:color w:val="000000"/>
        </w:rPr>
      </w:pPr>
      <w:r w:rsidRPr="00651832">
        <w:rPr>
          <w:color w:val="000000"/>
        </w:rPr>
        <w:t>Inspecting</w:t>
      </w:r>
      <w:r w:rsidR="00E32991" w:rsidRPr="00651832">
        <w:rPr>
          <w:color w:val="000000"/>
        </w:rPr>
        <w:t xml:space="preserve"> the required</w:t>
      </w:r>
      <w:r w:rsidRPr="00651832">
        <w:rPr>
          <w:color w:val="000000"/>
        </w:rPr>
        <w:t xml:space="preserve"> documentation </w:t>
      </w:r>
      <w:r w:rsidR="00E32991" w:rsidRPr="00651832">
        <w:rPr>
          <w:color w:val="000000"/>
        </w:rPr>
        <w:t xml:space="preserve">in terms of Regulation 28(8)(b) </w:t>
      </w:r>
      <w:r w:rsidRPr="00651832">
        <w:rPr>
          <w:color w:val="000000"/>
        </w:rPr>
        <w:t>for investments excluded from total assets in terms of Regulation 28(8)(b)</w:t>
      </w:r>
      <w:r w:rsidR="00F538E8" w:rsidRPr="00651832">
        <w:rPr>
          <w:color w:val="000000"/>
        </w:rPr>
        <w:t>);</w:t>
      </w:r>
    </w:p>
    <w:p w14:paraId="0DD8CE1D" w14:textId="3D1D8B76" w:rsidR="00574414" w:rsidRPr="00651832" w:rsidRDefault="00F538E8" w:rsidP="00651832">
      <w:pPr>
        <w:numPr>
          <w:ilvl w:val="0"/>
          <w:numId w:val="1"/>
        </w:numPr>
        <w:ind w:left="630" w:hanging="562"/>
        <w:rPr>
          <w:color w:val="000000"/>
        </w:rPr>
      </w:pPr>
      <w:r w:rsidRPr="00651832">
        <w:rPr>
          <w:color w:val="000000"/>
        </w:rPr>
        <w:t>E</w:t>
      </w:r>
      <w:r w:rsidR="00574414" w:rsidRPr="00651832">
        <w:rPr>
          <w:color w:val="000000"/>
        </w:rPr>
        <w:t>valuating whether the investments are classified correctly per the categories of Schedule IB</w:t>
      </w:r>
      <w:r w:rsidR="00E81721" w:rsidRPr="00651832">
        <w:rPr>
          <w:color w:val="000000"/>
        </w:rPr>
        <w:t xml:space="preserve"> based on information obtained </w:t>
      </w:r>
      <w:r w:rsidRPr="00651832">
        <w:rPr>
          <w:color w:val="000000"/>
        </w:rPr>
        <w:t xml:space="preserve">about the nature of investments </w:t>
      </w:r>
      <w:r w:rsidR="00E81721" w:rsidRPr="00651832">
        <w:rPr>
          <w:color w:val="000000"/>
        </w:rPr>
        <w:t xml:space="preserve">from the </w:t>
      </w:r>
      <w:r w:rsidR="00690217" w:rsidRPr="00651832">
        <w:rPr>
          <w:color w:val="000000"/>
        </w:rPr>
        <w:t>financial institutions</w:t>
      </w:r>
      <w:r w:rsidR="003C3D31" w:rsidRPr="00651832">
        <w:rPr>
          <w:color w:val="000000"/>
        </w:rPr>
        <w:t>;</w:t>
      </w:r>
    </w:p>
    <w:p w14:paraId="6E8B05A9" w14:textId="468D301B" w:rsidR="00D907CF" w:rsidRPr="00651832" w:rsidRDefault="00D907CF" w:rsidP="00651832">
      <w:pPr>
        <w:numPr>
          <w:ilvl w:val="0"/>
          <w:numId w:val="1"/>
        </w:numPr>
        <w:ind w:left="630" w:hanging="562"/>
        <w:rPr>
          <w:color w:val="000000"/>
        </w:rPr>
      </w:pPr>
      <w:r w:rsidRPr="00651832">
        <w:rPr>
          <w:color w:val="000000"/>
        </w:rPr>
        <w:t>Recalculating the percentages of assets held in relation to total assets</w:t>
      </w:r>
      <w:r w:rsidR="00CA3081">
        <w:rPr>
          <w:color w:val="000000"/>
        </w:rPr>
        <w:t>; and</w:t>
      </w:r>
    </w:p>
    <w:p w14:paraId="65007C1B" w14:textId="317B6516" w:rsidR="008D7FD9" w:rsidRPr="00651832" w:rsidRDefault="008D7FD9" w:rsidP="00651832">
      <w:pPr>
        <w:numPr>
          <w:ilvl w:val="0"/>
          <w:numId w:val="1"/>
        </w:numPr>
        <w:ind w:left="630" w:hanging="562"/>
        <w:rPr>
          <w:color w:val="000000"/>
        </w:rPr>
      </w:pPr>
      <w:r w:rsidRPr="00651832">
        <w:rPr>
          <w:color w:val="000000"/>
        </w:rPr>
        <w:t>Compar</w:t>
      </w:r>
      <w:r w:rsidR="00CA3081">
        <w:rPr>
          <w:color w:val="000000"/>
        </w:rPr>
        <w:t>ing</w:t>
      </w:r>
      <w:r w:rsidRPr="00651832">
        <w:rPr>
          <w:color w:val="000000"/>
        </w:rPr>
        <w:t xml:space="preserve"> the percentages calculated to the prescribed limits.</w:t>
      </w:r>
    </w:p>
    <w:p w14:paraId="3F4F73B9" w14:textId="051BCE2D" w:rsidR="003E45E8" w:rsidRPr="00651832" w:rsidRDefault="003E45E8" w:rsidP="00651832">
      <w:pPr>
        <w:ind w:left="68"/>
      </w:pPr>
    </w:p>
    <w:p w14:paraId="66175493" w14:textId="14B20D64" w:rsidR="003E45E8" w:rsidRPr="00651832" w:rsidRDefault="00CA57CA" w:rsidP="00651832">
      <w:pPr>
        <w:rPr>
          <w:color w:val="000000"/>
        </w:rPr>
      </w:pPr>
      <w:r w:rsidRPr="00651832">
        <w:t xml:space="preserve">We believe that the evidence we have obtained </w:t>
      </w:r>
      <w:r w:rsidRPr="00651832">
        <w:rPr>
          <w:color w:val="000000"/>
        </w:rPr>
        <w:t xml:space="preserve">is sufficient and appropriate to provide a basis for our </w:t>
      </w:r>
      <w:r w:rsidR="00487D3D" w:rsidRPr="00651832">
        <w:rPr>
          <w:color w:val="000000"/>
        </w:rPr>
        <w:t>&lt;unqualified/qualified/</w:t>
      </w:r>
      <w:r w:rsidR="00CA3081">
        <w:rPr>
          <w:color w:val="000000"/>
        </w:rPr>
        <w:t>disclaimer of/</w:t>
      </w:r>
      <w:r w:rsidR="00487D3D" w:rsidRPr="00651832">
        <w:rPr>
          <w:color w:val="000000"/>
        </w:rPr>
        <w:t xml:space="preserve">adverse&gt; </w:t>
      </w:r>
      <w:r w:rsidRPr="00651832">
        <w:t>opinion</w:t>
      </w:r>
      <w:r w:rsidRPr="00651832">
        <w:rPr>
          <w:color w:val="000000"/>
        </w:rPr>
        <w:t>.</w:t>
      </w:r>
    </w:p>
    <w:p w14:paraId="624A2E68" w14:textId="77777777" w:rsidR="00425580" w:rsidRPr="00651832" w:rsidRDefault="00425580" w:rsidP="00651832">
      <w:pPr>
        <w:rPr>
          <w:i/>
        </w:rPr>
      </w:pPr>
    </w:p>
    <w:p w14:paraId="6228CC93" w14:textId="77777777" w:rsidR="00775D09" w:rsidRPr="00651832" w:rsidRDefault="00775D09" w:rsidP="00651832">
      <w:pPr>
        <w:keepNext/>
        <w:widowControl w:val="0"/>
        <w:pBdr>
          <w:top w:val="single" w:sz="4" w:space="1" w:color="auto"/>
          <w:left w:val="single" w:sz="4" w:space="4" w:color="auto"/>
          <w:bottom w:val="single" w:sz="4" w:space="1" w:color="auto"/>
          <w:right w:val="single" w:sz="4" w:space="4" w:color="auto"/>
        </w:pBdr>
        <w:autoSpaceDE w:val="0"/>
        <w:autoSpaceDN w:val="0"/>
        <w:adjustRightInd w:val="0"/>
        <w:rPr>
          <w:b/>
          <w:color w:val="000000"/>
          <w:lang w:eastAsia="ja-JP"/>
        </w:rPr>
      </w:pPr>
      <w:r w:rsidRPr="00651832">
        <w:rPr>
          <w:b/>
          <w:color w:val="000000"/>
          <w:lang w:eastAsia="ja-JP"/>
        </w:rPr>
        <w:t>[Delete block if not applicable]</w:t>
      </w:r>
    </w:p>
    <w:p w14:paraId="28147979" w14:textId="31EB3A87" w:rsidR="003E45E8" w:rsidRPr="00651832" w:rsidRDefault="00CA57CA" w:rsidP="00651832">
      <w:pPr>
        <w:keepNext/>
        <w:pBdr>
          <w:top w:val="single" w:sz="4" w:space="1" w:color="auto"/>
          <w:left w:val="single" w:sz="4" w:space="4" w:color="auto"/>
          <w:bottom w:val="single" w:sz="4" w:space="1" w:color="auto"/>
          <w:right w:val="single" w:sz="4" w:space="4" w:color="auto"/>
        </w:pBdr>
        <w:rPr>
          <w:color w:val="000000"/>
        </w:rPr>
      </w:pPr>
      <w:r w:rsidRPr="00651832">
        <w:rPr>
          <w:i/>
        </w:rPr>
        <w:t>Opinion</w:t>
      </w:r>
      <w:r w:rsidR="008C7AA6" w:rsidRPr="00651832">
        <w:rPr>
          <w:rStyle w:val="EndnoteReference"/>
          <w:i/>
        </w:rPr>
        <w:endnoteReference w:id="8"/>
      </w:r>
      <w:r w:rsidR="00C35D07" w:rsidRPr="00C35D07">
        <w:rPr>
          <w:i/>
          <w:vertAlign w:val="superscript"/>
        </w:rPr>
        <w:t>,</w:t>
      </w:r>
      <w:r w:rsidR="00F846BC">
        <w:rPr>
          <w:rStyle w:val="EndnoteReference"/>
          <w:i/>
        </w:rPr>
        <w:endnoteReference w:id="9"/>
      </w:r>
    </w:p>
    <w:p w14:paraId="2248484B" w14:textId="05CD7F41" w:rsidR="00E5064E" w:rsidRPr="00651832" w:rsidRDefault="00CA57CA" w:rsidP="00651832">
      <w:pPr>
        <w:keepNext/>
        <w:pBdr>
          <w:top w:val="single" w:sz="4" w:space="1" w:color="auto"/>
          <w:left w:val="single" w:sz="4" w:space="4" w:color="auto"/>
          <w:bottom w:val="single" w:sz="4" w:space="1" w:color="auto"/>
          <w:right w:val="single" w:sz="4" w:space="4" w:color="auto"/>
        </w:pBdr>
        <w:rPr>
          <w:color w:val="000000"/>
        </w:rPr>
      </w:pPr>
      <w:r w:rsidRPr="00651832">
        <w:rPr>
          <w:color w:val="000000"/>
        </w:rPr>
        <w:t xml:space="preserve">In our opinion, </w:t>
      </w:r>
      <w:r w:rsidR="00E5064E" w:rsidRPr="00651832">
        <w:rPr>
          <w:color w:val="000000"/>
        </w:rPr>
        <w:t xml:space="preserve">the </w:t>
      </w:r>
      <w:r w:rsidR="002E64A7" w:rsidRPr="00651832">
        <w:rPr>
          <w:color w:val="000000"/>
        </w:rPr>
        <w:t xml:space="preserve">Schedule IB “Assets held in compliance with Regulation 28” </w:t>
      </w:r>
      <w:r w:rsidR="00E5064E" w:rsidRPr="00651832">
        <w:rPr>
          <w:color w:val="000000"/>
        </w:rPr>
        <w:t xml:space="preserve">at &lt;insert year-end date&gt; is prepared in all material respects in accordance 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lastRenderedPageBreak/>
        <w:t>(3)</w:t>
      </w:r>
      <w:r w:rsidR="0010470C" w:rsidRPr="00651832">
        <w:rPr>
          <w:color w:val="000000"/>
        </w:rPr>
        <w:t>(e)-(j), (4), (8) and (9)</w:t>
      </w:r>
      <w:r w:rsidR="00E5064E" w:rsidRPr="00651832">
        <w:rPr>
          <w:color w:val="000000"/>
        </w:rPr>
        <w:t xml:space="preserve"> of the Act</w:t>
      </w:r>
      <w:r w:rsidR="00BD7E28">
        <w:rPr>
          <w:color w:val="000000"/>
        </w:rPr>
        <w:t>,</w:t>
      </w:r>
      <w:r w:rsidR="00E5064E" w:rsidRPr="00651832">
        <w:rPr>
          <w:color w:val="000000"/>
        </w:rPr>
        <w:t xml:space="preserve"> and the Fund </w:t>
      </w:r>
      <w:r w:rsidR="00B507E9" w:rsidRPr="00651832">
        <w:rPr>
          <w:color w:val="000000"/>
        </w:rPr>
        <w:t xml:space="preserve">has complied, in all material respects, </w:t>
      </w:r>
      <w:r w:rsidR="00E5064E" w:rsidRPr="00651832">
        <w:rPr>
          <w:color w:val="000000"/>
        </w:rPr>
        <w:t xml:space="preserve">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BD7E28">
        <w:rPr>
          <w:color w:val="000000"/>
        </w:rPr>
        <w:t xml:space="preserve"> </w:t>
      </w:r>
      <w:r w:rsidR="00E5064E" w:rsidRPr="00651832">
        <w:rPr>
          <w:color w:val="000000"/>
        </w:rPr>
        <w:t>as at &lt;insert year-end date&gt;.</w:t>
      </w:r>
      <w:r w:rsidR="00BD7E28">
        <w:rPr>
          <w:color w:val="000000"/>
        </w:rPr>
        <w:t xml:space="preserve"> </w:t>
      </w:r>
    </w:p>
    <w:p w14:paraId="3648A8D7" w14:textId="77777777" w:rsidR="00F51EBE" w:rsidRPr="00651832" w:rsidRDefault="00F51EBE" w:rsidP="00651832">
      <w:pPr>
        <w:keepNext/>
        <w:rPr>
          <w:color w:val="000000"/>
        </w:rPr>
      </w:pPr>
    </w:p>
    <w:p w14:paraId="5BB3302F" w14:textId="318ECF27" w:rsidR="009351E4" w:rsidRPr="00651832" w:rsidRDefault="009351E4" w:rsidP="00651832">
      <w:pPr>
        <w:rPr>
          <w:b/>
          <w:color w:val="000000"/>
        </w:rPr>
      </w:pPr>
      <w:r w:rsidRPr="00651832">
        <w:rPr>
          <w:b/>
          <w:color w:val="000000"/>
        </w:rPr>
        <w:t>OR</w:t>
      </w:r>
    </w:p>
    <w:p w14:paraId="1C820292" w14:textId="77777777" w:rsidR="00F51EBE" w:rsidRPr="00651832" w:rsidRDefault="00F51EBE" w:rsidP="00651832">
      <w:pPr>
        <w:rPr>
          <w:b/>
          <w:color w:val="000000"/>
        </w:rPr>
      </w:pPr>
    </w:p>
    <w:p w14:paraId="523D0C14" w14:textId="77777777" w:rsidR="00775D09" w:rsidRPr="00651832" w:rsidRDefault="00775D09" w:rsidP="00651832">
      <w:pPr>
        <w:widowControl w:val="0"/>
        <w:pBdr>
          <w:top w:val="single" w:sz="4" w:space="1" w:color="auto"/>
          <w:left w:val="single" w:sz="4" w:space="4" w:color="auto"/>
          <w:bottom w:val="single" w:sz="4" w:space="1" w:color="auto"/>
          <w:right w:val="single" w:sz="4" w:space="4" w:color="auto"/>
        </w:pBdr>
        <w:autoSpaceDE w:val="0"/>
        <w:autoSpaceDN w:val="0"/>
        <w:adjustRightInd w:val="0"/>
        <w:rPr>
          <w:b/>
          <w:color w:val="000000"/>
          <w:lang w:eastAsia="ja-JP"/>
        </w:rPr>
      </w:pPr>
      <w:r w:rsidRPr="00651832">
        <w:rPr>
          <w:b/>
          <w:color w:val="000000"/>
          <w:lang w:eastAsia="ja-JP"/>
        </w:rPr>
        <w:t>[Delete block if not applicable]</w:t>
      </w:r>
    </w:p>
    <w:p w14:paraId="5873D775" w14:textId="64EAA6AD" w:rsidR="009C70BD" w:rsidRPr="00651832" w:rsidRDefault="00635ECD" w:rsidP="00651832">
      <w:pPr>
        <w:pBdr>
          <w:top w:val="single" w:sz="4" w:space="1" w:color="auto"/>
          <w:left w:val="single" w:sz="4" w:space="4" w:color="auto"/>
          <w:bottom w:val="single" w:sz="4" w:space="1" w:color="auto"/>
          <w:right w:val="single" w:sz="4" w:space="4" w:color="auto"/>
        </w:pBdr>
        <w:rPr>
          <w:i/>
          <w:color w:val="000000"/>
        </w:rPr>
      </w:pPr>
      <w:r w:rsidRPr="00651832">
        <w:rPr>
          <w:i/>
          <w:color w:val="000000"/>
        </w:rPr>
        <w:t>Basis for</w:t>
      </w:r>
      <w:r w:rsidR="009C70BD" w:rsidRPr="00651832">
        <w:rPr>
          <w:i/>
          <w:color w:val="000000"/>
        </w:rPr>
        <w:t xml:space="preserve"> </w:t>
      </w:r>
      <w:r w:rsidR="007A4A27" w:rsidRPr="00651832">
        <w:rPr>
          <w:i/>
          <w:color w:val="000000"/>
        </w:rPr>
        <w:t xml:space="preserve">qualified </w:t>
      </w:r>
      <w:r w:rsidR="009C70BD" w:rsidRPr="00651832">
        <w:rPr>
          <w:i/>
          <w:color w:val="000000"/>
        </w:rPr>
        <w:t>opinion</w:t>
      </w:r>
      <w:r w:rsidR="00F51EBE" w:rsidRPr="00651832">
        <w:rPr>
          <w:rStyle w:val="EndnoteReference"/>
          <w:i/>
          <w:color w:val="000000"/>
        </w:rPr>
        <w:endnoteReference w:id="10"/>
      </w:r>
    </w:p>
    <w:p w14:paraId="31B034DD" w14:textId="5E8DFE69" w:rsidR="00B76E15" w:rsidRPr="00651832" w:rsidRDefault="00B76E15" w:rsidP="00651832">
      <w:pPr>
        <w:keepNext/>
        <w:keepLines/>
        <w:pBdr>
          <w:top w:val="single" w:sz="4" w:space="1" w:color="auto"/>
          <w:left w:val="single" w:sz="4" w:space="4" w:color="auto"/>
          <w:bottom w:val="single" w:sz="4" w:space="1" w:color="auto"/>
          <w:right w:val="single" w:sz="4" w:space="4" w:color="auto"/>
        </w:pBdr>
        <w:autoSpaceDE w:val="0"/>
        <w:autoSpaceDN w:val="0"/>
        <w:adjustRightInd w:val="0"/>
        <w:rPr>
          <w:bCs/>
        </w:rPr>
      </w:pPr>
      <w:r w:rsidRPr="00651832">
        <w:t>&lt;</w:t>
      </w:r>
      <w:r w:rsidR="00B1027F" w:rsidRPr="00651832">
        <w:t xml:space="preserve">List </w:t>
      </w:r>
      <w:r w:rsidRPr="00651832">
        <w:t xml:space="preserve">instances of </w:t>
      </w:r>
      <w:r w:rsidR="002A340B" w:rsidRPr="00651832">
        <w:t>incorrect preparation</w:t>
      </w:r>
      <w:r w:rsidR="00CA3081">
        <w:t xml:space="preserve"> </w:t>
      </w:r>
      <w:r w:rsidRPr="00651832">
        <w:t>identified, including those subsequently resolved&gt;</w:t>
      </w:r>
    </w:p>
    <w:p w14:paraId="2D362A56" w14:textId="77D21097" w:rsidR="00CA3081" w:rsidRPr="00651832" w:rsidRDefault="00CA3081" w:rsidP="00CA3081">
      <w:pPr>
        <w:keepNext/>
        <w:keepLines/>
        <w:pBdr>
          <w:top w:val="single" w:sz="4" w:space="1" w:color="auto"/>
          <w:left w:val="single" w:sz="4" w:space="4" w:color="auto"/>
          <w:bottom w:val="single" w:sz="4" w:space="1" w:color="auto"/>
          <w:right w:val="single" w:sz="4" w:space="4" w:color="auto"/>
        </w:pBdr>
        <w:autoSpaceDE w:val="0"/>
        <w:autoSpaceDN w:val="0"/>
        <w:adjustRightInd w:val="0"/>
        <w:rPr>
          <w:bCs/>
        </w:rPr>
      </w:pPr>
      <w:r w:rsidRPr="00651832">
        <w:t>&lt;List instances of non-compliance identified, including those subsequently resolved&gt;</w:t>
      </w:r>
    </w:p>
    <w:p w14:paraId="45AE9CEA" w14:textId="77777777" w:rsidR="007A4A27" w:rsidRPr="00651832" w:rsidRDefault="007A4A27" w:rsidP="00651832">
      <w:pPr>
        <w:pBdr>
          <w:top w:val="single" w:sz="4" w:space="1" w:color="auto"/>
          <w:left w:val="single" w:sz="4" w:space="4" w:color="auto"/>
          <w:bottom w:val="single" w:sz="4" w:space="1" w:color="auto"/>
          <w:right w:val="single" w:sz="4" w:space="4" w:color="auto"/>
        </w:pBdr>
        <w:rPr>
          <w:i/>
          <w:color w:val="000000"/>
        </w:rPr>
      </w:pPr>
    </w:p>
    <w:p w14:paraId="5858D668" w14:textId="331B50F3" w:rsidR="009C70BD" w:rsidRPr="00651832" w:rsidRDefault="008521D0" w:rsidP="00651832">
      <w:pPr>
        <w:pBdr>
          <w:top w:val="single" w:sz="4" w:space="1" w:color="auto"/>
          <w:left w:val="single" w:sz="4" w:space="4" w:color="auto"/>
          <w:bottom w:val="single" w:sz="4" w:space="1" w:color="auto"/>
          <w:right w:val="single" w:sz="4" w:space="4" w:color="auto"/>
        </w:pBdr>
        <w:rPr>
          <w:i/>
          <w:color w:val="000000"/>
        </w:rPr>
      </w:pPr>
      <w:r w:rsidRPr="00651832">
        <w:rPr>
          <w:i/>
          <w:color w:val="000000"/>
        </w:rPr>
        <w:t>Qualified opinion</w:t>
      </w:r>
    </w:p>
    <w:p w14:paraId="4F17CBBD" w14:textId="4AC322ED" w:rsidR="009C70BD" w:rsidRPr="00651832" w:rsidRDefault="00B76E15" w:rsidP="00651832">
      <w:pPr>
        <w:pBdr>
          <w:top w:val="single" w:sz="4" w:space="1" w:color="auto"/>
          <w:left w:val="single" w:sz="4" w:space="4" w:color="auto"/>
          <w:bottom w:val="single" w:sz="4" w:space="1" w:color="auto"/>
          <w:right w:val="single" w:sz="4" w:space="4" w:color="auto"/>
        </w:pBdr>
        <w:rPr>
          <w:color w:val="000000"/>
        </w:rPr>
      </w:pPr>
      <w:r w:rsidRPr="00651832">
        <w:rPr>
          <w:bCs/>
        </w:rPr>
        <w:t xml:space="preserve">In our opinion, except for the </w:t>
      </w:r>
      <w:r w:rsidR="002A340B" w:rsidRPr="00651832">
        <w:rPr>
          <w:bCs/>
        </w:rPr>
        <w:t>matter/s</w:t>
      </w:r>
      <w:r w:rsidRPr="00651832">
        <w:rPr>
          <w:bCs/>
        </w:rPr>
        <w:t xml:space="preserve"> listed in the </w:t>
      </w:r>
      <w:r w:rsidR="00B1027F" w:rsidRPr="00651832">
        <w:rPr>
          <w:bCs/>
          <w:i/>
        </w:rPr>
        <w:t>B</w:t>
      </w:r>
      <w:r w:rsidR="00063B7C" w:rsidRPr="00651832">
        <w:rPr>
          <w:bCs/>
          <w:i/>
        </w:rPr>
        <w:t>asis for qualified o</w:t>
      </w:r>
      <w:r w:rsidR="00B1027F" w:rsidRPr="00651832">
        <w:rPr>
          <w:bCs/>
          <w:i/>
        </w:rPr>
        <w:t>pinion</w:t>
      </w:r>
      <w:r w:rsidR="00B1027F" w:rsidRPr="00651832">
        <w:rPr>
          <w:bCs/>
        </w:rPr>
        <w:t xml:space="preserve"> </w:t>
      </w:r>
      <w:r w:rsidR="00063B7C" w:rsidRPr="00651832">
        <w:rPr>
          <w:bCs/>
        </w:rPr>
        <w:t>section of our report</w:t>
      </w:r>
      <w:r w:rsidRPr="00651832">
        <w:rPr>
          <w:bCs/>
        </w:rPr>
        <w:t xml:space="preserve">, </w:t>
      </w:r>
      <w:r w:rsidRPr="00651832">
        <w:rPr>
          <w:color w:val="000000"/>
        </w:rPr>
        <w:t xml:space="preserve">the Schedule IB “Assets held in compliance with Regulation 28” at &lt;insert year-end date&gt; is prepared in all material respects in accordance 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Pr="00651832">
        <w:rPr>
          <w:color w:val="000000"/>
        </w:rPr>
        <w:t xml:space="preserve">, and the Fund </w:t>
      </w:r>
      <w:r w:rsidR="00F52E4D" w:rsidRPr="00651832">
        <w:rPr>
          <w:color w:val="000000"/>
        </w:rPr>
        <w:t xml:space="preserve">has complied, in all material respects, </w:t>
      </w:r>
      <w:r w:rsidRPr="00651832">
        <w:rPr>
          <w:color w:val="000000"/>
        </w:rPr>
        <w:t>with Regulation 28</w:t>
      </w:r>
      <w:r w:rsidR="00BD7E28">
        <w:rPr>
          <w:color w:val="000000"/>
        </w:rPr>
        <w:t xml:space="preserve">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Pr="00651832">
        <w:rPr>
          <w:color w:val="000000"/>
        </w:rPr>
        <w:t xml:space="preserve"> as at &lt;insert year-end date&gt;.</w:t>
      </w:r>
    </w:p>
    <w:p w14:paraId="5EEFE6DA" w14:textId="77777777" w:rsidR="009C70BD" w:rsidRPr="00651832" w:rsidRDefault="009C70BD" w:rsidP="00651832">
      <w:pPr>
        <w:rPr>
          <w:color w:val="000000"/>
        </w:rPr>
      </w:pPr>
    </w:p>
    <w:p w14:paraId="34782731" w14:textId="77777777" w:rsidR="009C70BD" w:rsidRPr="00651832" w:rsidRDefault="009C70BD" w:rsidP="00651832">
      <w:pPr>
        <w:rPr>
          <w:b/>
          <w:color w:val="000000"/>
        </w:rPr>
      </w:pPr>
      <w:r w:rsidRPr="00651832">
        <w:rPr>
          <w:b/>
          <w:color w:val="000000"/>
        </w:rPr>
        <w:t>OR</w:t>
      </w:r>
    </w:p>
    <w:p w14:paraId="47530F04" w14:textId="77777777" w:rsidR="009C70BD" w:rsidRPr="00651832" w:rsidRDefault="009C70BD" w:rsidP="00651832">
      <w:pPr>
        <w:rPr>
          <w:color w:val="000000"/>
        </w:rPr>
      </w:pPr>
    </w:p>
    <w:p w14:paraId="0B052B98" w14:textId="77777777" w:rsidR="00775D09" w:rsidRPr="00651832" w:rsidRDefault="00775D09" w:rsidP="00C834E4">
      <w:pPr>
        <w:keepNext/>
        <w:widowControl w:val="0"/>
        <w:pBdr>
          <w:top w:val="single" w:sz="4" w:space="1" w:color="auto"/>
          <w:left w:val="single" w:sz="4" w:space="4" w:color="auto"/>
          <w:bottom w:val="single" w:sz="4" w:space="1" w:color="auto"/>
          <w:right w:val="single" w:sz="4" w:space="4" w:color="auto"/>
        </w:pBdr>
        <w:autoSpaceDE w:val="0"/>
        <w:autoSpaceDN w:val="0"/>
        <w:adjustRightInd w:val="0"/>
        <w:rPr>
          <w:b/>
          <w:color w:val="000000"/>
          <w:lang w:eastAsia="ja-JP"/>
        </w:rPr>
      </w:pPr>
      <w:r w:rsidRPr="00651832">
        <w:rPr>
          <w:b/>
          <w:color w:val="000000"/>
          <w:lang w:eastAsia="ja-JP"/>
        </w:rPr>
        <w:t>[Delete block if not applicable]</w:t>
      </w:r>
    </w:p>
    <w:p w14:paraId="2A8EE763" w14:textId="0FF4ECE0" w:rsidR="009351E4" w:rsidRPr="00651832" w:rsidRDefault="00635ECD" w:rsidP="00C834E4">
      <w:pPr>
        <w:keepNext/>
        <w:pBdr>
          <w:top w:val="single" w:sz="4" w:space="1" w:color="auto"/>
          <w:left w:val="single" w:sz="4" w:space="4" w:color="auto"/>
          <w:bottom w:val="single" w:sz="4" w:space="1" w:color="auto"/>
          <w:right w:val="single" w:sz="4" w:space="4" w:color="auto"/>
        </w:pBdr>
        <w:rPr>
          <w:i/>
          <w:color w:val="000000"/>
        </w:rPr>
      </w:pPr>
      <w:r w:rsidRPr="00651832">
        <w:rPr>
          <w:i/>
          <w:color w:val="000000"/>
        </w:rPr>
        <w:t>Basis for</w:t>
      </w:r>
      <w:r w:rsidR="009351E4" w:rsidRPr="00651832">
        <w:rPr>
          <w:i/>
          <w:color w:val="000000"/>
        </w:rPr>
        <w:t xml:space="preserve"> </w:t>
      </w:r>
      <w:r w:rsidR="009C1109" w:rsidRPr="00651832">
        <w:rPr>
          <w:i/>
          <w:color w:val="000000"/>
        </w:rPr>
        <w:t xml:space="preserve">disclaimer of </w:t>
      </w:r>
      <w:r w:rsidR="009351E4" w:rsidRPr="00651832">
        <w:rPr>
          <w:i/>
          <w:color w:val="000000"/>
        </w:rPr>
        <w:t>opinion</w:t>
      </w:r>
      <w:r w:rsidR="009C1109" w:rsidRPr="00651832">
        <w:rPr>
          <w:rStyle w:val="EndnoteReference"/>
          <w:i/>
          <w:color w:val="000000"/>
        </w:rPr>
        <w:endnoteReference w:id="11"/>
      </w:r>
    </w:p>
    <w:p w14:paraId="1FFE3EF5" w14:textId="6A07A441" w:rsidR="009C1109" w:rsidRPr="00651832" w:rsidRDefault="009C1109" w:rsidP="00C834E4">
      <w:pPr>
        <w:keepNext/>
        <w:pBdr>
          <w:top w:val="single" w:sz="4" w:space="1" w:color="auto"/>
          <w:left w:val="single" w:sz="4" w:space="4" w:color="auto"/>
          <w:bottom w:val="single" w:sz="4" w:space="1" w:color="auto"/>
          <w:right w:val="single" w:sz="4" w:space="4" w:color="auto"/>
        </w:pBdr>
        <w:rPr>
          <w:color w:val="000000"/>
        </w:rPr>
      </w:pPr>
      <w:r w:rsidRPr="00651832">
        <w:rPr>
          <w:color w:val="000000"/>
        </w:rPr>
        <w:t>&lt;Insert basis of disclaimer of opinion&gt;</w:t>
      </w:r>
    </w:p>
    <w:p w14:paraId="7CA59B3D" w14:textId="77777777" w:rsidR="009351E4" w:rsidRPr="00651832" w:rsidRDefault="009351E4" w:rsidP="00651832">
      <w:pPr>
        <w:pBdr>
          <w:top w:val="single" w:sz="4" w:space="1" w:color="auto"/>
          <w:left w:val="single" w:sz="4" w:space="4" w:color="auto"/>
          <w:bottom w:val="single" w:sz="4" w:space="1" w:color="auto"/>
          <w:right w:val="single" w:sz="4" w:space="4" w:color="auto"/>
        </w:pBdr>
        <w:rPr>
          <w:i/>
          <w:color w:val="000000"/>
        </w:rPr>
      </w:pPr>
    </w:p>
    <w:p w14:paraId="4E6464B7" w14:textId="3CADC455" w:rsidR="009351E4" w:rsidRPr="00651832" w:rsidRDefault="009351E4" w:rsidP="00651832">
      <w:pPr>
        <w:keepNext/>
        <w:pBdr>
          <w:top w:val="single" w:sz="4" w:space="1" w:color="auto"/>
          <w:left w:val="single" w:sz="4" w:space="4" w:color="auto"/>
          <w:bottom w:val="single" w:sz="4" w:space="1" w:color="auto"/>
          <w:right w:val="single" w:sz="4" w:space="4" w:color="auto"/>
        </w:pBdr>
        <w:rPr>
          <w:i/>
          <w:color w:val="000000"/>
        </w:rPr>
      </w:pPr>
      <w:r w:rsidRPr="00651832">
        <w:rPr>
          <w:i/>
          <w:color w:val="000000"/>
        </w:rPr>
        <w:t>Disclaimer</w:t>
      </w:r>
      <w:r w:rsidR="009C1109" w:rsidRPr="00651832">
        <w:rPr>
          <w:i/>
          <w:color w:val="000000"/>
        </w:rPr>
        <w:t xml:space="preserve"> of opinion</w:t>
      </w:r>
    </w:p>
    <w:p w14:paraId="5CA399E1" w14:textId="535A79B9" w:rsidR="009C70BD" w:rsidRPr="00651832" w:rsidRDefault="002A3263" w:rsidP="00651832">
      <w:pPr>
        <w:keepNext/>
        <w:pBdr>
          <w:top w:val="single" w:sz="4" w:space="1" w:color="auto"/>
          <w:left w:val="single" w:sz="4" w:space="4" w:color="auto"/>
          <w:bottom w:val="single" w:sz="4" w:space="1" w:color="auto"/>
          <w:right w:val="single" w:sz="4" w:space="4" w:color="auto"/>
        </w:pBdr>
        <w:rPr>
          <w:color w:val="000000"/>
        </w:rPr>
      </w:pPr>
      <w:r w:rsidRPr="00651832">
        <w:rPr>
          <w:bCs/>
        </w:rPr>
        <w:t xml:space="preserve">We do not express an opinion on </w:t>
      </w:r>
      <w:r w:rsidR="003D2887" w:rsidRPr="00651832">
        <w:rPr>
          <w:bCs/>
        </w:rPr>
        <w:t xml:space="preserve">the preparation of </w:t>
      </w:r>
      <w:r w:rsidRPr="00651832">
        <w:rPr>
          <w:bCs/>
        </w:rPr>
        <w:t xml:space="preserve">Schedule </w:t>
      </w:r>
      <w:r w:rsidRPr="00651832">
        <w:rPr>
          <w:color w:val="000000"/>
        </w:rPr>
        <w:t xml:space="preserve">IB “Assets held in compliance with Regulation 28” at &lt;insert year-end date&gt; </w:t>
      </w:r>
      <w:r w:rsidR="00063B7C" w:rsidRPr="00651832">
        <w:rPr>
          <w:color w:val="000000"/>
        </w:rPr>
        <w:t>and</w:t>
      </w:r>
      <w:r w:rsidRPr="00651832">
        <w:rPr>
          <w:color w:val="000000"/>
        </w:rPr>
        <w:t xml:space="preserve"> on the Fund’s compliance with Regulation</w:t>
      </w:r>
      <w:r w:rsidR="0010470C">
        <w:rPr>
          <w:color w:val="000000"/>
        </w:rPr>
        <w:t> </w:t>
      </w:r>
      <w:r w:rsidRPr="00651832">
        <w:rPr>
          <w:color w:val="000000"/>
        </w:rPr>
        <w:t xml:space="preserve">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BD7E28">
        <w:rPr>
          <w:color w:val="000000"/>
        </w:rPr>
        <w:t xml:space="preserve"> </w:t>
      </w:r>
      <w:r w:rsidRPr="00651832">
        <w:rPr>
          <w:color w:val="000000"/>
        </w:rPr>
        <w:t xml:space="preserve">as at &lt;insert year-end date&gt;. </w:t>
      </w:r>
      <w:r w:rsidRPr="00651832">
        <w:rPr>
          <w:bCs/>
        </w:rPr>
        <w:t xml:space="preserve">Because of the significance of the matter described in the </w:t>
      </w:r>
      <w:r w:rsidRPr="00651832">
        <w:rPr>
          <w:bCs/>
          <w:i/>
        </w:rPr>
        <w:t xml:space="preserve">Basis for disclaimer of opinion </w:t>
      </w:r>
      <w:r w:rsidRPr="00651832">
        <w:rPr>
          <w:bCs/>
        </w:rPr>
        <w:t xml:space="preserve">section of our report, we have not been able to obtain sufficient appropriate audit evidence to provide a basis for an assurance opinion. </w:t>
      </w:r>
    </w:p>
    <w:p w14:paraId="510F6263" w14:textId="77777777" w:rsidR="009351E4" w:rsidRPr="00651832" w:rsidRDefault="009351E4" w:rsidP="00651832">
      <w:pPr>
        <w:rPr>
          <w:color w:val="000000"/>
        </w:rPr>
      </w:pPr>
    </w:p>
    <w:p w14:paraId="563E4708" w14:textId="4EADC875" w:rsidR="009351E4" w:rsidRPr="00651832" w:rsidRDefault="009351E4" w:rsidP="00651832">
      <w:pPr>
        <w:rPr>
          <w:b/>
          <w:color w:val="000000"/>
        </w:rPr>
      </w:pPr>
      <w:r w:rsidRPr="00651832">
        <w:rPr>
          <w:b/>
          <w:color w:val="000000"/>
        </w:rPr>
        <w:t>OR</w:t>
      </w:r>
    </w:p>
    <w:p w14:paraId="2FBE47AA" w14:textId="77777777" w:rsidR="009351E4" w:rsidRPr="00651832" w:rsidRDefault="009351E4" w:rsidP="00651832">
      <w:pPr>
        <w:rPr>
          <w:color w:val="000000"/>
        </w:rPr>
      </w:pPr>
    </w:p>
    <w:p w14:paraId="60660EE7" w14:textId="77777777" w:rsidR="00775D09" w:rsidRPr="00651832" w:rsidRDefault="00775D09" w:rsidP="00651832">
      <w:pPr>
        <w:widowControl w:val="0"/>
        <w:pBdr>
          <w:top w:val="single" w:sz="4" w:space="1" w:color="auto"/>
          <w:left w:val="single" w:sz="4" w:space="4" w:color="auto"/>
          <w:bottom w:val="single" w:sz="4" w:space="1" w:color="auto"/>
          <w:right w:val="single" w:sz="4" w:space="4" w:color="auto"/>
        </w:pBdr>
        <w:autoSpaceDE w:val="0"/>
        <w:autoSpaceDN w:val="0"/>
        <w:adjustRightInd w:val="0"/>
        <w:rPr>
          <w:b/>
          <w:color w:val="000000"/>
          <w:lang w:eastAsia="ja-JP"/>
        </w:rPr>
      </w:pPr>
      <w:r w:rsidRPr="00651832">
        <w:rPr>
          <w:b/>
          <w:color w:val="000000"/>
          <w:lang w:eastAsia="ja-JP"/>
        </w:rPr>
        <w:t>[Delete block if not applicable]</w:t>
      </w:r>
    </w:p>
    <w:p w14:paraId="09080A99" w14:textId="477AD2E9" w:rsidR="009351E4" w:rsidRPr="00651832" w:rsidRDefault="00635ECD" w:rsidP="00651832">
      <w:pPr>
        <w:pBdr>
          <w:top w:val="single" w:sz="4" w:space="1" w:color="auto"/>
          <w:left w:val="single" w:sz="4" w:space="4" w:color="auto"/>
          <w:bottom w:val="single" w:sz="4" w:space="1" w:color="auto"/>
          <w:right w:val="single" w:sz="4" w:space="4" w:color="auto"/>
        </w:pBdr>
        <w:rPr>
          <w:i/>
          <w:color w:val="000000"/>
        </w:rPr>
      </w:pPr>
      <w:r w:rsidRPr="00651832">
        <w:rPr>
          <w:i/>
          <w:color w:val="000000"/>
        </w:rPr>
        <w:t>Basis for</w:t>
      </w:r>
      <w:r w:rsidR="009351E4" w:rsidRPr="00651832">
        <w:rPr>
          <w:i/>
          <w:color w:val="000000"/>
        </w:rPr>
        <w:t xml:space="preserve"> </w:t>
      </w:r>
      <w:r w:rsidR="009C1109" w:rsidRPr="00651832">
        <w:rPr>
          <w:i/>
          <w:color w:val="000000"/>
        </w:rPr>
        <w:t xml:space="preserve">adverse </w:t>
      </w:r>
      <w:r w:rsidR="009351E4" w:rsidRPr="00651832">
        <w:rPr>
          <w:i/>
          <w:color w:val="000000"/>
        </w:rPr>
        <w:t>opinion</w:t>
      </w:r>
      <w:r w:rsidR="009C1109" w:rsidRPr="00651832">
        <w:rPr>
          <w:rStyle w:val="EndnoteReference"/>
          <w:i/>
          <w:color w:val="000000"/>
        </w:rPr>
        <w:endnoteReference w:id="12"/>
      </w:r>
    </w:p>
    <w:p w14:paraId="3658F5DA" w14:textId="346D1523" w:rsidR="009C1109" w:rsidRPr="00651832" w:rsidRDefault="009C1109" w:rsidP="00651832">
      <w:pPr>
        <w:pBdr>
          <w:top w:val="single" w:sz="4" w:space="1" w:color="auto"/>
          <w:left w:val="single" w:sz="4" w:space="4" w:color="auto"/>
          <w:bottom w:val="single" w:sz="4" w:space="1" w:color="auto"/>
          <w:right w:val="single" w:sz="4" w:space="4" w:color="auto"/>
        </w:pBdr>
        <w:rPr>
          <w:color w:val="000000"/>
        </w:rPr>
      </w:pPr>
      <w:r w:rsidRPr="00651832">
        <w:rPr>
          <w:color w:val="000000"/>
        </w:rPr>
        <w:t xml:space="preserve">&lt;Insert basis of </w:t>
      </w:r>
      <w:r w:rsidR="00FE62ED" w:rsidRPr="00651832">
        <w:rPr>
          <w:color w:val="000000"/>
        </w:rPr>
        <w:t xml:space="preserve">adverse </w:t>
      </w:r>
      <w:r w:rsidRPr="00651832">
        <w:rPr>
          <w:color w:val="000000"/>
        </w:rPr>
        <w:t>opinion&gt;</w:t>
      </w:r>
    </w:p>
    <w:p w14:paraId="36609044" w14:textId="77777777" w:rsidR="009C1109" w:rsidRPr="00651832" w:rsidRDefault="009C1109" w:rsidP="00651832">
      <w:pPr>
        <w:pBdr>
          <w:top w:val="single" w:sz="4" w:space="1" w:color="auto"/>
          <w:left w:val="single" w:sz="4" w:space="4" w:color="auto"/>
          <w:bottom w:val="single" w:sz="4" w:space="1" w:color="auto"/>
          <w:right w:val="single" w:sz="4" w:space="4" w:color="auto"/>
        </w:pBdr>
        <w:rPr>
          <w:color w:val="000000"/>
        </w:rPr>
      </w:pPr>
    </w:p>
    <w:p w14:paraId="6BDBCD12" w14:textId="565CFBFF" w:rsidR="009351E4" w:rsidRPr="00651832" w:rsidRDefault="009351E4" w:rsidP="00651832">
      <w:pPr>
        <w:pBdr>
          <w:top w:val="single" w:sz="4" w:space="1" w:color="auto"/>
          <w:left w:val="single" w:sz="4" w:space="4" w:color="auto"/>
          <w:bottom w:val="single" w:sz="4" w:space="1" w:color="auto"/>
          <w:right w:val="single" w:sz="4" w:space="4" w:color="auto"/>
        </w:pBdr>
        <w:rPr>
          <w:i/>
          <w:color w:val="000000"/>
        </w:rPr>
      </w:pPr>
      <w:r w:rsidRPr="00651832">
        <w:rPr>
          <w:i/>
          <w:color w:val="000000"/>
        </w:rPr>
        <w:lastRenderedPageBreak/>
        <w:t>Adverse</w:t>
      </w:r>
      <w:r w:rsidR="009C1109" w:rsidRPr="00651832">
        <w:rPr>
          <w:i/>
          <w:color w:val="000000"/>
        </w:rPr>
        <w:t xml:space="preserve"> opinion</w:t>
      </w:r>
    </w:p>
    <w:p w14:paraId="4ED45D04" w14:textId="050A0E5E" w:rsidR="002A3263" w:rsidRPr="00651832" w:rsidRDefault="002A3263" w:rsidP="00651832">
      <w:pPr>
        <w:pBdr>
          <w:top w:val="single" w:sz="4" w:space="1" w:color="auto"/>
          <w:left w:val="single" w:sz="4" w:space="4" w:color="auto"/>
          <w:bottom w:val="single" w:sz="4" w:space="1" w:color="auto"/>
          <w:right w:val="single" w:sz="4" w:space="4" w:color="auto"/>
        </w:pBdr>
        <w:rPr>
          <w:bCs/>
        </w:rPr>
      </w:pPr>
      <w:r w:rsidRPr="00651832">
        <w:rPr>
          <w:bCs/>
        </w:rPr>
        <w:t xml:space="preserve">In our opinion, because of the significance of the matter discussed in the </w:t>
      </w:r>
      <w:r w:rsidRPr="00651832">
        <w:rPr>
          <w:bCs/>
          <w:i/>
        </w:rPr>
        <w:t>Basis for adverse opinion</w:t>
      </w:r>
      <w:r w:rsidRPr="00651832">
        <w:rPr>
          <w:bCs/>
        </w:rPr>
        <w:t xml:space="preserve"> section of our report, </w:t>
      </w:r>
      <w:r w:rsidRPr="00651832">
        <w:rPr>
          <w:color w:val="000000"/>
        </w:rPr>
        <w:t xml:space="preserve">Schedule IB “Assets held in compliance with Regulation 28” at &lt;insert year-end date&gt; is not prepared in accordance 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Pr="00651832">
        <w:rPr>
          <w:color w:val="000000"/>
        </w:rPr>
        <w:t xml:space="preserve">, </w:t>
      </w:r>
      <w:r w:rsidR="00FE62ED" w:rsidRPr="00651832">
        <w:rPr>
          <w:color w:val="000000"/>
        </w:rPr>
        <w:t>and</w:t>
      </w:r>
      <w:r w:rsidRPr="00651832">
        <w:rPr>
          <w:color w:val="000000"/>
        </w:rPr>
        <w:t xml:space="preserve"> the Fund is not in compliance 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BD7E28">
        <w:rPr>
          <w:color w:val="000000"/>
        </w:rPr>
        <w:t xml:space="preserve"> </w:t>
      </w:r>
      <w:r w:rsidRPr="00651832">
        <w:rPr>
          <w:color w:val="000000"/>
        </w:rPr>
        <w:t>as at &lt;insert year-end date&gt;.</w:t>
      </w:r>
      <w:r w:rsidRPr="00651832">
        <w:rPr>
          <w:bCs/>
        </w:rPr>
        <w:t xml:space="preserve"> </w:t>
      </w:r>
    </w:p>
    <w:p w14:paraId="6A5718EF" w14:textId="77777777" w:rsidR="009351E4" w:rsidRPr="00651832" w:rsidRDefault="009351E4" w:rsidP="00651832">
      <w:pPr>
        <w:rPr>
          <w:color w:val="000000"/>
        </w:rPr>
      </w:pPr>
    </w:p>
    <w:p w14:paraId="5D43CB55" w14:textId="77777777" w:rsidR="00425580" w:rsidRPr="00651832" w:rsidRDefault="00425580" w:rsidP="00651832">
      <w:pPr>
        <w:keepNext/>
        <w:rPr>
          <w:i/>
        </w:rPr>
      </w:pPr>
      <w:r w:rsidRPr="00651832">
        <w:rPr>
          <w:i/>
        </w:rPr>
        <w:t>Emphasis of matter</w:t>
      </w:r>
    </w:p>
    <w:p w14:paraId="564D6F0E" w14:textId="7F144BBF" w:rsidR="002E3D64" w:rsidRPr="00651832" w:rsidRDefault="002E3D64" w:rsidP="00651832">
      <w:pPr>
        <w:keepNext/>
      </w:pPr>
      <w:r w:rsidRPr="00651832">
        <w:t>&lt;</w:t>
      </w:r>
      <w:r w:rsidR="00B520CE" w:rsidRPr="00651832">
        <w:rPr>
          <w:color w:val="000000"/>
        </w:rPr>
        <w:t>Insert if</w:t>
      </w:r>
      <w:r w:rsidRPr="00651832">
        <w:t xml:space="preserve"> applicable&gt;</w:t>
      </w:r>
      <w:r w:rsidR="008C5F48" w:rsidRPr="00651832">
        <w:rPr>
          <w:rStyle w:val="EndnoteReference"/>
        </w:rPr>
        <w:endnoteReference w:id="13"/>
      </w:r>
    </w:p>
    <w:p w14:paraId="4387A0D6" w14:textId="77777777" w:rsidR="00425580" w:rsidRPr="00651832" w:rsidRDefault="00425580" w:rsidP="00651832">
      <w:pPr>
        <w:rPr>
          <w:i/>
        </w:rPr>
      </w:pPr>
    </w:p>
    <w:p w14:paraId="67E1D20B" w14:textId="2AC83241" w:rsidR="00425580" w:rsidRPr="00651832" w:rsidRDefault="00425580" w:rsidP="00651832">
      <w:pPr>
        <w:rPr>
          <w:i/>
          <w:color w:val="000000"/>
        </w:rPr>
      </w:pPr>
      <w:r w:rsidRPr="00651832">
        <w:rPr>
          <w:i/>
          <w:color w:val="000000"/>
        </w:rPr>
        <w:t>Other matter</w:t>
      </w:r>
    </w:p>
    <w:p w14:paraId="4FC6A4C8" w14:textId="067C37FD" w:rsidR="00425580" w:rsidRPr="00651832" w:rsidRDefault="00425580" w:rsidP="00651832">
      <w:r w:rsidRPr="00651832">
        <w:t>&lt;</w:t>
      </w:r>
      <w:r w:rsidR="00B520CE" w:rsidRPr="00651832">
        <w:rPr>
          <w:color w:val="000000"/>
        </w:rPr>
        <w:t>Insert if</w:t>
      </w:r>
      <w:r w:rsidR="002E3D64" w:rsidRPr="00651832">
        <w:t xml:space="preserve"> applicable</w:t>
      </w:r>
      <w:r w:rsidRPr="00651832">
        <w:t>&gt;</w:t>
      </w:r>
      <w:r w:rsidR="000A774A" w:rsidRPr="00651832">
        <w:rPr>
          <w:rStyle w:val="EndnoteReference"/>
        </w:rPr>
        <w:endnoteReference w:id="14"/>
      </w:r>
    </w:p>
    <w:p w14:paraId="5D3CA13B" w14:textId="77777777" w:rsidR="00425580" w:rsidRPr="00651832" w:rsidRDefault="00425580" w:rsidP="00651832">
      <w:pPr>
        <w:rPr>
          <w:color w:val="000000"/>
        </w:rPr>
      </w:pPr>
    </w:p>
    <w:p w14:paraId="030651BF" w14:textId="52EE288E" w:rsidR="005067E4" w:rsidRPr="00651832" w:rsidRDefault="005067E4" w:rsidP="00651832">
      <w:pPr>
        <w:rPr>
          <w:color w:val="000000"/>
        </w:rPr>
      </w:pPr>
      <w:r w:rsidRPr="00651832">
        <w:rPr>
          <w:i/>
          <w:color w:val="000000"/>
        </w:rPr>
        <w:t>Restriction on use</w:t>
      </w:r>
    </w:p>
    <w:p w14:paraId="247AC256" w14:textId="5D22D76B" w:rsidR="005067E4" w:rsidRPr="00651832" w:rsidRDefault="005067E4" w:rsidP="00651832">
      <w:pPr>
        <w:rPr>
          <w:color w:val="000000"/>
        </w:rPr>
      </w:pPr>
      <w:r w:rsidRPr="00651832">
        <w:t xml:space="preserve">Without modifying our opinion we emphasise that </w:t>
      </w:r>
      <w:r w:rsidR="00AE68A4" w:rsidRPr="00651832">
        <w:t>Schedule IB</w:t>
      </w:r>
      <w:r w:rsidRPr="00651832">
        <w:t xml:space="preserve"> is designed to meet the information needs of the Board of Fund for the purpose of reporting to the Financial Sector Conduct Authority (FSCA). As a result our report is not suitable for another purpose. Our report is presented solely for the information of the Board of Fund for the purpose of reporting to the FSCA.</w:t>
      </w:r>
      <w:r w:rsidRPr="00651832">
        <w:rPr>
          <w:color w:val="000000"/>
        </w:rPr>
        <w:t xml:space="preserve"> </w:t>
      </w:r>
    </w:p>
    <w:p w14:paraId="147E2EB2" w14:textId="77777777" w:rsidR="005067E4" w:rsidRPr="00651832" w:rsidRDefault="005067E4" w:rsidP="00651832">
      <w:pPr>
        <w:rPr>
          <w:b/>
          <w:i/>
          <w:color w:val="000000"/>
        </w:rPr>
      </w:pPr>
    </w:p>
    <w:p w14:paraId="62423C8E" w14:textId="77777777" w:rsidR="003E45E8" w:rsidRPr="00651832" w:rsidRDefault="00CA57CA" w:rsidP="00651832">
      <w:pPr>
        <w:rPr>
          <w:b/>
          <w:i/>
          <w:color w:val="000000"/>
        </w:rPr>
      </w:pPr>
      <w:r w:rsidRPr="00651832">
        <w:rPr>
          <w:b/>
          <w:i/>
          <w:color w:val="000000"/>
        </w:rPr>
        <w:t xml:space="preserve">Report on Other Legal and Regulatory Requirements </w:t>
      </w:r>
    </w:p>
    <w:p w14:paraId="221A0DF2" w14:textId="4EDE5C97" w:rsidR="003E45E8" w:rsidRPr="00651832" w:rsidRDefault="00CA57CA" w:rsidP="00D66BDA">
      <w:pPr>
        <w:rPr>
          <w:color w:val="000000"/>
        </w:rPr>
      </w:pPr>
      <w:r w:rsidRPr="00651832">
        <w:rPr>
          <w:color w:val="000000"/>
        </w:rPr>
        <w:t xml:space="preserve">&lt;The form and content of this section of the </w:t>
      </w:r>
      <w:r w:rsidR="00D406D0" w:rsidRPr="00651832">
        <w:rPr>
          <w:color w:val="000000"/>
        </w:rPr>
        <w:t xml:space="preserve">assurance </w:t>
      </w:r>
      <w:r w:rsidRPr="00651832">
        <w:rPr>
          <w:color w:val="000000"/>
        </w:rPr>
        <w:t>report will vary depending on the nature of the auditor’s other reporting responsibilities.&gt;</w:t>
      </w:r>
      <w:r w:rsidR="008C7AA6" w:rsidRPr="00651832">
        <w:rPr>
          <w:rStyle w:val="EndnoteReference"/>
          <w:color w:val="000000"/>
        </w:rPr>
        <w:endnoteReference w:id="15"/>
      </w:r>
    </w:p>
    <w:p w14:paraId="4431FC0D" w14:textId="77777777" w:rsidR="003E45E8" w:rsidRPr="00651832" w:rsidRDefault="003E45E8" w:rsidP="00D66BDA">
      <w:pPr>
        <w:keepNext/>
        <w:keepLines/>
        <w:rPr>
          <w:i/>
          <w:color w:val="000000"/>
        </w:rPr>
      </w:pPr>
    </w:p>
    <w:p w14:paraId="554F41A4" w14:textId="77777777" w:rsidR="00D66BDA" w:rsidRPr="006554C5" w:rsidRDefault="00D66BDA" w:rsidP="00D66BDA">
      <w:pPr>
        <w:keepNext/>
        <w:keepLines/>
      </w:pPr>
      <w:r w:rsidRPr="006554C5">
        <w:t>[</w:t>
      </w:r>
      <w:r w:rsidRPr="006554C5">
        <w:rPr>
          <w:i/>
        </w:rPr>
        <w:t>Auditor’s Signature</w:t>
      </w:r>
      <w:r w:rsidRPr="006554C5">
        <w:t>]</w:t>
      </w:r>
    </w:p>
    <w:p w14:paraId="5C9615CE" w14:textId="77777777" w:rsidR="00D66BDA" w:rsidRPr="006554C5" w:rsidRDefault="00D66BDA" w:rsidP="00D66BDA">
      <w:pPr>
        <w:keepNext/>
        <w:keepLines/>
      </w:pPr>
      <w:r w:rsidRPr="006554C5">
        <w:t>[</w:t>
      </w:r>
      <w:r w:rsidRPr="006554C5">
        <w:rPr>
          <w:i/>
        </w:rPr>
        <w:t>Name of individual registered auditor</w:t>
      </w:r>
      <w:r w:rsidRPr="006554C5">
        <w:t>]</w:t>
      </w:r>
    </w:p>
    <w:p w14:paraId="04CF68E4" w14:textId="77777777" w:rsidR="00D66BDA" w:rsidRPr="006554C5" w:rsidRDefault="00D66BDA" w:rsidP="00D66BDA">
      <w:pPr>
        <w:keepNext/>
        <w:keepLines/>
      </w:pPr>
      <w:r w:rsidRPr="006554C5">
        <w:t>[</w:t>
      </w:r>
      <w:r w:rsidRPr="006554C5">
        <w:rPr>
          <w:i/>
        </w:rPr>
        <w:t>Capacity if not a sole practitioner: e.g. Director or Partner</w:t>
      </w:r>
      <w:r w:rsidRPr="006554C5">
        <w:t>]</w:t>
      </w:r>
    </w:p>
    <w:p w14:paraId="23F79945" w14:textId="77777777" w:rsidR="00D66BDA" w:rsidRPr="006554C5" w:rsidRDefault="00D66BDA" w:rsidP="00D66BDA">
      <w:pPr>
        <w:keepNext/>
        <w:keepLines/>
      </w:pPr>
      <w:r w:rsidRPr="006554C5">
        <w:t>Registered Auditor</w:t>
      </w:r>
    </w:p>
    <w:p w14:paraId="6CBFA682" w14:textId="77777777" w:rsidR="00D66BDA" w:rsidRPr="006554C5" w:rsidRDefault="00D66BDA" w:rsidP="00D66BDA">
      <w:pPr>
        <w:keepNext/>
        <w:keepLines/>
      </w:pPr>
      <w:r w:rsidRPr="006554C5">
        <w:t>[</w:t>
      </w:r>
      <w:r w:rsidRPr="006554C5">
        <w:rPr>
          <w:i/>
        </w:rPr>
        <w:t>Date of auditor’s report</w:t>
      </w:r>
      <w:r w:rsidRPr="006554C5">
        <w:t>]</w:t>
      </w:r>
    </w:p>
    <w:p w14:paraId="0F63BD25" w14:textId="77777777" w:rsidR="00D66BDA" w:rsidRPr="006554C5" w:rsidRDefault="00D66BDA" w:rsidP="00D66BDA">
      <w:pPr>
        <w:keepNext/>
        <w:keepLines/>
        <w:rPr>
          <w:rStyle w:val="Strong"/>
          <w:iCs/>
          <w:kern w:val="32"/>
        </w:rPr>
      </w:pPr>
      <w:bookmarkStart w:id="2" w:name="_Toc299654355"/>
      <w:r w:rsidRPr="006554C5">
        <w:t>[</w:t>
      </w:r>
      <w:r w:rsidRPr="006554C5">
        <w:rPr>
          <w:i/>
        </w:rPr>
        <w:t>Auditor’s address</w:t>
      </w:r>
      <w:bookmarkEnd w:id="2"/>
      <w:r w:rsidRPr="006554C5">
        <w:t>]</w:t>
      </w:r>
    </w:p>
    <w:p w14:paraId="448C20A5" w14:textId="498D7293" w:rsidR="003E45E8" w:rsidRPr="00651832" w:rsidRDefault="003E45E8" w:rsidP="00D66BDA">
      <w:pPr>
        <w:rPr>
          <w:color w:val="000000"/>
        </w:rPr>
      </w:pPr>
    </w:p>
    <w:sectPr w:rsidR="003E45E8" w:rsidRPr="0065183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04196" w14:textId="77777777" w:rsidR="00E57DA5" w:rsidRDefault="00E57DA5">
      <w:pPr>
        <w:spacing w:after="0" w:line="240" w:lineRule="auto"/>
      </w:pPr>
      <w:r>
        <w:separator/>
      </w:r>
    </w:p>
  </w:endnote>
  <w:endnote w:type="continuationSeparator" w:id="0">
    <w:p w14:paraId="2589B0B5" w14:textId="77777777" w:rsidR="00E57DA5" w:rsidRDefault="00E57DA5">
      <w:pPr>
        <w:spacing w:after="0" w:line="240" w:lineRule="auto"/>
      </w:pPr>
      <w:r>
        <w:continuationSeparator/>
      </w:r>
    </w:p>
  </w:endnote>
  <w:endnote w:id="1">
    <w:p w14:paraId="4BB8D47F" w14:textId="77777777" w:rsidR="00F538E8" w:rsidRPr="00504333" w:rsidRDefault="00F538E8" w:rsidP="00F538E8"/>
    <w:p w14:paraId="0CBCDCEA" w14:textId="50D37B66" w:rsidR="00F538E8" w:rsidRPr="00504333" w:rsidRDefault="00F538E8" w:rsidP="00F538E8">
      <w:pPr>
        <w:rPr>
          <w:b/>
        </w:rPr>
      </w:pPr>
      <w:r w:rsidRPr="00504333">
        <w:rPr>
          <w:b/>
        </w:rPr>
        <w:t>NOTES</w:t>
      </w:r>
      <w:r w:rsidR="00CA3081">
        <w:rPr>
          <w:b/>
        </w:rPr>
        <w:t xml:space="preserve"> (TO BE DELETED FROM THE REPORT)</w:t>
      </w:r>
    </w:p>
    <w:p w14:paraId="4473A924" w14:textId="3DB62919" w:rsidR="00F538E8" w:rsidRPr="00422F28" w:rsidRDefault="00F538E8" w:rsidP="00F538E8">
      <w:pPr>
        <w:ind w:left="360" w:hanging="360"/>
        <w:rPr>
          <w:color w:val="000000"/>
        </w:rPr>
      </w:pPr>
      <w:r w:rsidRPr="00504333">
        <w:rPr>
          <w:rStyle w:val="EndnoteReference"/>
        </w:rPr>
        <w:endnoteRef/>
      </w:r>
      <w:r w:rsidRPr="00504333">
        <w:t xml:space="preserve"> </w:t>
      </w:r>
      <w:r w:rsidRPr="00504333">
        <w:tab/>
      </w:r>
      <w:r w:rsidRPr="00504333">
        <w:rPr>
          <w:color w:val="000000"/>
        </w:rPr>
        <w:t>The</w:t>
      </w:r>
      <w:r w:rsidRPr="00422F28">
        <w:rPr>
          <w:color w:val="000000"/>
        </w:rPr>
        <w:t xml:space="preserve"> assurance opinion addresses the two parts of the engagement: 1) that Schedule IB is prepared in all </w:t>
      </w:r>
      <w:r w:rsidRPr="00422F28">
        <w:rPr>
          <w:color w:val="000000"/>
          <w:u w:val="single"/>
        </w:rPr>
        <w:t>material</w:t>
      </w:r>
      <w:r w:rsidRPr="00422F28">
        <w:t xml:space="preserve"> </w:t>
      </w:r>
      <w:r w:rsidRPr="00422F28">
        <w:rPr>
          <w:color w:val="000000"/>
        </w:rPr>
        <w:t>respects in accordance with Regulation 28</w:t>
      </w:r>
      <w:r w:rsidR="00BD7E28">
        <w:rPr>
          <w:color w:val="000000"/>
        </w:rPr>
        <w:t xml:space="preserve">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Pr="00422F28">
        <w:rPr>
          <w:color w:val="000000"/>
        </w:rPr>
        <w:t xml:space="preserve"> and 2) that the Fund has complied, in all </w:t>
      </w:r>
      <w:r w:rsidRPr="00422F28">
        <w:rPr>
          <w:color w:val="000000"/>
          <w:u w:val="single"/>
        </w:rPr>
        <w:t>material</w:t>
      </w:r>
      <w:r w:rsidRPr="00422F28">
        <w:rPr>
          <w:color w:val="000000"/>
        </w:rPr>
        <w:t xml:space="preserve"> respects, with Regulation</w:t>
      </w:r>
      <w:r w:rsidR="0010470C">
        <w:rPr>
          <w:color w:val="000000"/>
        </w:rPr>
        <w:t> </w:t>
      </w:r>
      <w:r w:rsidRPr="00422F28">
        <w:rPr>
          <w:color w:val="000000"/>
        </w:rPr>
        <w:t>28</w:t>
      </w:r>
      <w:r w:rsidR="00BD7E28">
        <w:rPr>
          <w:color w:val="000000"/>
        </w:rPr>
        <w:t xml:space="preserve">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Pr="00422F28">
        <w:rPr>
          <w:color w:val="000000"/>
        </w:rPr>
        <w:t>.</w:t>
      </w:r>
    </w:p>
    <w:p w14:paraId="242CA365" w14:textId="77777777" w:rsidR="00F538E8" w:rsidRPr="00422F28" w:rsidRDefault="00F538E8" w:rsidP="00F538E8">
      <w:pPr>
        <w:ind w:left="360" w:hanging="360"/>
        <w:rPr>
          <w:i/>
          <w:u w:val="single"/>
        </w:rPr>
      </w:pPr>
      <w:r w:rsidRPr="00422F28">
        <w:tab/>
      </w:r>
      <w:r w:rsidRPr="00422F28">
        <w:rPr>
          <w:i/>
          <w:u w:val="single"/>
        </w:rPr>
        <w:t>Materiality in the context of the engagement on the preparation of Schedule IB</w:t>
      </w:r>
    </w:p>
    <w:p w14:paraId="5F8520F2" w14:textId="77777777" w:rsidR="00F538E8" w:rsidRPr="00422F28" w:rsidRDefault="00F538E8" w:rsidP="00F538E8">
      <w:pPr>
        <w:pStyle w:val="BodyText"/>
        <w:widowControl w:val="0"/>
        <w:spacing w:after="120" w:line="271" w:lineRule="auto"/>
        <w:ind w:left="360" w:hanging="360"/>
        <w:jc w:val="both"/>
        <w:rPr>
          <w:sz w:val="22"/>
          <w:szCs w:val="22"/>
          <w:lang w:val="en-ZA"/>
        </w:rPr>
      </w:pPr>
      <w:r w:rsidRPr="00422F28">
        <w:rPr>
          <w:sz w:val="22"/>
          <w:szCs w:val="22"/>
        </w:rPr>
        <w:tab/>
      </w:r>
      <w:r w:rsidRPr="00422F28">
        <w:rPr>
          <w:sz w:val="22"/>
          <w:szCs w:val="22"/>
          <w:lang w:val="en-ZA"/>
        </w:rPr>
        <w:t>The auditor’s determination of materiality is a matter of professional judgement. The auditor considers materiality during planning for this part of the engagement when determining the nature, timing and extent of the evidence gathering (sampling) procedures. The auditor also evaluates whether Schedule IB is free from material misstatement (as defined in ISAE 3000 (Revised)).</w:t>
      </w:r>
      <w:r>
        <w:rPr>
          <w:sz w:val="22"/>
          <w:szCs w:val="22"/>
          <w:lang w:val="en-ZA"/>
        </w:rPr>
        <w:t xml:space="preserve"> Refer to ISAE 3000 (Revised) paragraphs 44, 65, A92-A100, A153 and A154.</w:t>
      </w:r>
    </w:p>
    <w:p w14:paraId="114DDA27" w14:textId="77777777" w:rsidR="00F538E8" w:rsidRPr="00422F28" w:rsidRDefault="00F538E8" w:rsidP="00F538E8">
      <w:pPr>
        <w:ind w:left="360" w:hanging="360"/>
        <w:rPr>
          <w:i/>
          <w:u w:val="single"/>
        </w:rPr>
      </w:pPr>
      <w:r w:rsidRPr="00422F28">
        <w:tab/>
      </w:r>
      <w:r w:rsidRPr="00422F28">
        <w:rPr>
          <w:i/>
          <w:u w:val="single"/>
        </w:rPr>
        <w:t>Materiality in the context of the engagement on the compliance of the Fund with Regulation 28</w:t>
      </w:r>
    </w:p>
    <w:p w14:paraId="72B6D5C5" w14:textId="0A23F786" w:rsidR="00F538E8" w:rsidRPr="00422F28" w:rsidRDefault="00F538E8" w:rsidP="00F538E8">
      <w:pPr>
        <w:ind w:left="360"/>
      </w:pPr>
      <w:r w:rsidRPr="00422F28">
        <w:rPr>
          <w:lang w:val="en-ZA"/>
        </w:rPr>
        <w:t xml:space="preserve">Any instances of non-compliance of the Fund with Regulation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BD7E28">
        <w:rPr>
          <w:color w:val="000000"/>
        </w:rPr>
        <w:t xml:space="preserve"> </w:t>
      </w:r>
      <w:r w:rsidRPr="00422F28">
        <w:rPr>
          <w:lang w:val="en-ZA"/>
        </w:rPr>
        <w:t xml:space="preserve">that come to the auditor’s attention, whether or not appropriately accounted for by the Fund, are considered qualitatively material and should be listed in the </w:t>
      </w:r>
      <w:r w:rsidRPr="00422F28">
        <w:rPr>
          <w:color w:val="000000"/>
        </w:rPr>
        <w:t>basis for modified opinion paragraph</w:t>
      </w:r>
      <w:r w:rsidRPr="00422F28">
        <w:rPr>
          <w:lang w:val="en-ZA"/>
        </w:rPr>
        <w:t>.</w:t>
      </w:r>
    </w:p>
    <w:p w14:paraId="3CFE7538" w14:textId="77777777" w:rsidR="00F538E8" w:rsidRPr="00422F28" w:rsidRDefault="00F538E8" w:rsidP="00F538E8">
      <w:pPr>
        <w:pStyle w:val="EndnoteText"/>
        <w:spacing w:after="120" w:line="271" w:lineRule="auto"/>
        <w:rPr>
          <w:sz w:val="22"/>
          <w:szCs w:val="22"/>
          <w:lang w:val="en-US"/>
        </w:rPr>
      </w:pPr>
    </w:p>
  </w:endnote>
  <w:endnote w:id="2">
    <w:p w14:paraId="03F0A7D9" w14:textId="52FC41F8" w:rsidR="00346CC5" w:rsidRDefault="00346CC5" w:rsidP="00422F28">
      <w:pPr>
        <w:ind w:left="360" w:hanging="360"/>
        <w:rPr>
          <w:color w:val="000000"/>
        </w:rPr>
      </w:pPr>
      <w:r w:rsidRPr="00422F28">
        <w:rPr>
          <w:color w:val="000000"/>
          <w:vertAlign w:val="superscript"/>
        </w:rPr>
        <w:endnoteRef/>
      </w:r>
      <w:r w:rsidRPr="00422F28">
        <w:rPr>
          <w:color w:val="000000"/>
          <w:vertAlign w:val="superscript"/>
        </w:rPr>
        <w:t xml:space="preserve"> </w:t>
      </w:r>
      <w:r w:rsidR="00973328" w:rsidRPr="00422F28">
        <w:rPr>
          <w:color w:val="000000"/>
          <w:vertAlign w:val="superscript"/>
        </w:rPr>
        <w:tab/>
      </w:r>
      <w:r w:rsidRPr="00422F28">
        <w:rPr>
          <w:color w:val="000000"/>
        </w:rPr>
        <w:t>Refer to endnote 1 for an explanation of materiality in the context of this engagement.</w:t>
      </w:r>
    </w:p>
    <w:p w14:paraId="367C6CF5" w14:textId="77777777" w:rsidR="005B6A57" w:rsidRPr="00422F28" w:rsidRDefault="005B6A57" w:rsidP="00422F28">
      <w:pPr>
        <w:ind w:left="360" w:hanging="360"/>
        <w:rPr>
          <w:color w:val="000000"/>
        </w:rPr>
      </w:pPr>
    </w:p>
  </w:endnote>
  <w:endnote w:id="3">
    <w:p w14:paraId="7886A61B" w14:textId="327BA68E" w:rsidR="00346CC5" w:rsidRPr="00422F28" w:rsidRDefault="00346CC5" w:rsidP="00422F28">
      <w:pPr>
        <w:ind w:left="360" w:hanging="360"/>
        <w:rPr>
          <w:color w:val="000000"/>
        </w:rPr>
      </w:pPr>
      <w:r w:rsidRPr="00422F28">
        <w:rPr>
          <w:color w:val="000000"/>
          <w:vertAlign w:val="superscript"/>
        </w:rPr>
        <w:endnoteRef/>
      </w:r>
      <w:r w:rsidRPr="00422F28">
        <w:rPr>
          <w:color w:val="000000"/>
          <w:vertAlign w:val="superscript"/>
        </w:rPr>
        <w:t xml:space="preserve"> </w:t>
      </w:r>
      <w:r w:rsidR="00973328" w:rsidRPr="00422F28">
        <w:rPr>
          <w:color w:val="000000"/>
          <w:vertAlign w:val="superscript"/>
        </w:rPr>
        <w:tab/>
      </w:r>
      <w:r w:rsidRPr="00422F28">
        <w:rPr>
          <w:color w:val="000000"/>
        </w:rPr>
        <w:t>Refer to endnote 1 for an explanation of materiality in the context of this engagement</w:t>
      </w:r>
    </w:p>
    <w:p w14:paraId="0F0E81B4" w14:textId="77777777" w:rsidR="00346CC5" w:rsidRPr="00422F28" w:rsidRDefault="00346CC5" w:rsidP="00422F28">
      <w:pPr>
        <w:ind w:left="360" w:hanging="360"/>
        <w:rPr>
          <w:color w:val="000000"/>
        </w:rPr>
      </w:pPr>
    </w:p>
  </w:endnote>
  <w:endnote w:id="4">
    <w:p w14:paraId="36DBA381" w14:textId="2543DC0A" w:rsidR="00346CC5" w:rsidRPr="00422F28" w:rsidRDefault="00346CC5" w:rsidP="00422F28">
      <w:pPr>
        <w:ind w:left="360" w:hanging="360"/>
        <w:rPr>
          <w:color w:val="000000"/>
        </w:rPr>
      </w:pPr>
      <w:r w:rsidRPr="00422F28">
        <w:rPr>
          <w:color w:val="000000"/>
          <w:vertAlign w:val="superscript"/>
        </w:rPr>
        <w:endnoteRef/>
      </w:r>
      <w:r w:rsidRPr="00422F28">
        <w:rPr>
          <w:color w:val="000000"/>
          <w:vertAlign w:val="superscript"/>
        </w:rPr>
        <w:t xml:space="preserve"> </w:t>
      </w:r>
      <w:r w:rsidR="00973328" w:rsidRPr="00422F28">
        <w:rPr>
          <w:color w:val="000000"/>
          <w:vertAlign w:val="superscript"/>
        </w:rPr>
        <w:tab/>
      </w:r>
      <w:r w:rsidRPr="00422F28">
        <w:rPr>
          <w:color w:val="000000"/>
        </w:rPr>
        <w:t>The opinion addresses the two parts of the engagement: 1) that Schedule IB is prepared in all material</w:t>
      </w:r>
      <w:r w:rsidRPr="00422F28">
        <w:t xml:space="preserve"> </w:t>
      </w:r>
      <w:r w:rsidRPr="00422F28">
        <w:rPr>
          <w:color w:val="000000"/>
        </w:rPr>
        <w:t>respects in accordance with Regulation 28</w:t>
      </w:r>
      <w:r w:rsidR="009D3C8E">
        <w:rPr>
          <w:color w:val="000000"/>
        </w:rPr>
        <w:t xml:space="preserve">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9D3C8E">
        <w:rPr>
          <w:color w:val="000000"/>
        </w:rPr>
        <w:t>,</w:t>
      </w:r>
      <w:r w:rsidRPr="00422F28">
        <w:rPr>
          <w:color w:val="000000"/>
        </w:rPr>
        <w:t xml:space="preserve"> and 2) that the Fund has complied, in all material respects, with Regulation 28</w:t>
      </w:r>
      <w:r w:rsidR="009D3C8E">
        <w:rPr>
          <w:color w:val="000000"/>
        </w:rPr>
        <w:t xml:space="preserve">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Pr="00422F28">
        <w:rPr>
          <w:color w:val="000000"/>
        </w:rPr>
        <w:t>.</w:t>
      </w:r>
    </w:p>
    <w:p w14:paraId="7734C055" w14:textId="77777777" w:rsidR="00346CC5" w:rsidRPr="00422F28" w:rsidRDefault="00346CC5" w:rsidP="00422F28">
      <w:pPr>
        <w:ind w:left="360" w:hanging="360"/>
        <w:rPr>
          <w:color w:val="000000"/>
        </w:rPr>
      </w:pPr>
    </w:p>
  </w:endnote>
  <w:endnote w:id="5">
    <w:p w14:paraId="211D6891" w14:textId="234463F4" w:rsidR="00B520CE" w:rsidRPr="00422F28" w:rsidRDefault="00B520CE" w:rsidP="00422F28">
      <w:pPr>
        <w:ind w:left="360" w:hanging="360"/>
        <w:rPr>
          <w:color w:val="000000"/>
        </w:rPr>
      </w:pPr>
      <w:r w:rsidRPr="00422F28">
        <w:rPr>
          <w:color w:val="000000"/>
          <w:vertAlign w:val="superscript"/>
        </w:rPr>
        <w:endnoteRef/>
      </w:r>
      <w:r w:rsidRPr="00422F28">
        <w:rPr>
          <w:color w:val="000000"/>
          <w:vertAlign w:val="superscript"/>
        </w:rPr>
        <w:t xml:space="preserve"> </w:t>
      </w:r>
      <w:r w:rsidRPr="00422F28">
        <w:rPr>
          <w:color w:val="000000"/>
          <w:vertAlign w:val="superscript"/>
        </w:rPr>
        <w:tab/>
      </w:r>
      <w:r w:rsidRPr="00422F28">
        <w:rPr>
          <w:color w:val="000000"/>
        </w:rPr>
        <w:t xml:space="preserve">The auditor selects the appropriate box, depending on the date of the </w:t>
      </w:r>
      <w:r w:rsidR="00D406D0" w:rsidRPr="00422F28">
        <w:rPr>
          <w:color w:val="000000"/>
        </w:rPr>
        <w:t>assurance</w:t>
      </w:r>
      <w:r w:rsidRPr="00422F28">
        <w:rPr>
          <w:color w:val="000000"/>
        </w:rPr>
        <w:t xml:space="preserve"> report and the period of the engagement.</w:t>
      </w:r>
    </w:p>
    <w:p w14:paraId="2184CFAB" w14:textId="77777777" w:rsidR="00B520CE" w:rsidRPr="00422F28" w:rsidRDefault="00B520CE" w:rsidP="00422F28">
      <w:pPr>
        <w:ind w:left="360" w:hanging="360"/>
        <w:rPr>
          <w:color w:val="000000"/>
        </w:rPr>
      </w:pPr>
    </w:p>
  </w:endnote>
  <w:endnote w:id="6">
    <w:p w14:paraId="1827661A" w14:textId="77777777" w:rsidR="00510C5A" w:rsidRPr="00422F28" w:rsidRDefault="00A3589D" w:rsidP="00422F28">
      <w:pPr>
        <w:pStyle w:val="EndnoteText"/>
        <w:spacing w:after="120" w:line="271" w:lineRule="auto"/>
        <w:ind w:left="360" w:hanging="360"/>
        <w:rPr>
          <w:sz w:val="22"/>
          <w:szCs w:val="22"/>
          <w:lang w:val="en-US"/>
        </w:rPr>
      </w:pPr>
      <w:r w:rsidRPr="00422F28">
        <w:rPr>
          <w:rStyle w:val="EndnoteReference"/>
          <w:sz w:val="22"/>
          <w:szCs w:val="22"/>
        </w:rPr>
        <w:endnoteRef/>
      </w:r>
      <w:r w:rsidRPr="00422F28">
        <w:rPr>
          <w:sz w:val="22"/>
          <w:szCs w:val="22"/>
        </w:rPr>
        <w:t xml:space="preserve"> </w:t>
      </w:r>
      <w:r w:rsidR="00F40AFB" w:rsidRPr="00422F28">
        <w:rPr>
          <w:sz w:val="22"/>
          <w:szCs w:val="22"/>
        </w:rPr>
        <w:tab/>
      </w:r>
      <w:r w:rsidR="00510C5A" w:rsidRPr="00422F28">
        <w:rPr>
          <w:sz w:val="22"/>
          <w:szCs w:val="22"/>
          <w:lang w:val="en-US"/>
        </w:rPr>
        <w:t>Where an auditor provides a disclaimer of opinion, the entire “Auditor’s Responsibility” and “Summary of Work performed” sections are replaced with:</w:t>
      </w:r>
    </w:p>
    <w:p w14:paraId="3A84B89B" w14:textId="77777777" w:rsidR="00510C5A" w:rsidRPr="00422F28" w:rsidRDefault="00510C5A" w:rsidP="00422F28">
      <w:pPr>
        <w:pStyle w:val="EndnoteText"/>
        <w:spacing w:after="120" w:line="271" w:lineRule="auto"/>
        <w:ind w:left="360" w:hanging="360"/>
        <w:rPr>
          <w:sz w:val="22"/>
          <w:szCs w:val="22"/>
          <w:lang w:val="en-US"/>
        </w:rPr>
      </w:pPr>
    </w:p>
    <w:p w14:paraId="1850EF71" w14:textId="0CE38B4D" w:rsidR="00F40AFB" w:rsidRPr="00422F28" w:rsidRDefault="00510C5A" w:rsidP="00422F28">
      <w:pPr>
        <w:pStyle w:val="EndnoteText"/>
        <w:spacing w:after="120" w:line="271" w:lineRule="auto"/>
        <w:ind w:left="900"/>
        <w:rPr>
          <w:sz w:val="22"/>
          <w:szCs w:val="22"/>
          <w:lang w:val="en-US"/>
        </w:rPr>
      </w:pPr>
      <w:r w:rsidRPr="00422F28">
        <w:rPr>
          <w:sz w:val="22"/>
          <w:szCs w:val="22"/>
          <w:lang w:val="en-US"/>
        </w:rPr>
        <w:t xml:space="preserve">Our responsibility is to express an opinion on whether the Schedule is prepared in accordance with Regulation 28 </w:t>
      </w:r>
      <w:r w:rsidR="0010470C" w:rsidRPr="00651832">
        <w:rPr>
          <w:color w:val="000000"/>
          <w:sz w:val="22"/>
          <w:szCs w:val="22"/>
        </w:rPr>
        <w:t>(3</w:t>
      </w:r>
      <w:r w:rsidR="0010470C">
        <w:rPr>
          <w:color w:val="000000"/>
          <w:sz w:val="22"/>
          <w:szCs w:val="22"/>
        </w:rPr>
        <w:t>)</w:t>
      </w:r>
      <w:r w:rsidR="0010470C" w:rsidRPr="00651832">
        <w:rPr>
          <w:color w:val="000000"/>
          <w:sz w:val="22"/>
          <w:szCs w:val="22"/>
        </w:rPr>
        <w:t>(a), (3</w:t>
      </w:r>
      <w:r w:rsidR="0010470C">
        <w:rPr>
          <w:color w:val="000000"/>
          <w:sz w:val="22"/>
          <w:szCs w:val="22"/>
        </w:rPr>
        <w:t>)</w:t>
      </w:r>
      <w:r w:rsidR="0010470C" w:rsidRPr="00651832">
        <w:rPr>
          <w:color w:val="000000"/>
          <w:sz w:val="22"/>
          <w:szCs w:val="22"/>
        </w:rPr>
        <w:t xml:space="preserve">(c), </w:t>
      </w:r>
      <w:r w:rsidR="0010470C">
        <w:rPr>
          <w:color w:val="000000"/>
          <w:sz w:val="22"/>
          <w:szCs w:val="22"/>
        </w:rPr>
        <w:t>(3)</w:t>
      </w:r>
      <w:r w:rsidR="0010470C" w:rsidRPr="00651832">
        <w:rPr>
          <w:color w:val="000000"/>
          <w:sz w:val="22"/>
          <w:szCs w:val="22"/>
        </w:rPr>
        <w:t>(e)-(j), (4), (8) and (9)</w:t>
      </w:r>
      <w:r w:rsidR="009D3C8E">
        <w:rPr>
          <w:color w:val="000000"/>
          <w:sz w:val="22"/>
          <w:szCs w:val="22"/>
        </w:rPr>
        <w:t xml:space="preserve"> </w:t>
      </w:r>
      <w:r w:rsidRPr="00422F28">
        <w:rPr>
          <w:sz w:val="22"/>
          <w:szCs w:val="22"/>
          <w:lang w:val="en-US"/>
        </w:rPr>
        <w:t xml:space="preserve">and whether the Fund complies with Regulation 28 </w:t>
      </w:r>
      <w:r w:rsidR="0010470C" w:rsidRPr="00651832">
        <w:rPr>
          <w:color w:val="000000"/>
          <w:sz w:val="22"/>
          <w:szCs w:val="22"/>
        </w:rPr>
        <w:t>(3</w:t>
      </w:r>
      <w:r w:rsidR="0010470C">
        <w:rPr>
          <w:color w:val="000000"/>
          <w:sz w:val="22"/>
          <w:szCs w:val="22"/>
        </w:rPr>
        <w:t>)</w:t>
      </w:r>
      <w:r w:rsidR="0010470C" w:rsidRPr="00651832">
        <w:rPr>
          <w:color w:val="000000"/>
          <w:sz w:val="22"/>
          <w:szCs w:val="22"/>
        </w:rPr>
        <w:t>(a), (3</w:t>
      </w:r>
      <w:r w:rsidR="0010470C">
        <w:rPr>
          <w:color w:val="000000"/>
          <w:sz w:val="22"/>
          <w:szCs w:val="22"/>
        </w:rPr>
        <w:t>)</w:t>
      </w:r>
      <w:r w:rsidR="0010470C" w:rsidRPr="00651832">
        <w:rPr>
          <w:color w:val="000000"/>
          <w:sz w:val="22"/>
          <w:szCs w:val="22"/>
        </w:rPr>
        <w:t xml:space="preserve">(c), </w:t>
      </w:r>
      <w:r w:rsidR="0010470C">
        <w:rPr>
          <w:color w:val="000000"/>
          <w:sz w:val="22"/>
          <w:szCs w:val="22"/>
        </w:rPr>
        <w:t>(3)</w:t>
      </w:r>
      <w:r w:rsidR="0010470C" w:rsidRPr="00651832">
        <w:rPr>
          <w:color w:val="000000"/>
          <w:sz w:val="22"/>
          <w:szCs w:val="22"/>
        </w:rPr>
        <w:t>(e)-(j), (4), (8) and (9)</w:t>
      </w:r>
      <w:r w:rsidR="009D3C8E">
        <w:rPr>
          <w:color w:val="000000"/>
          <w:sz w:val="22"/>
          <w:szCs w:val="22"/>
        </w:rPr>
        <w:t xml:space="preserve"> </w:t>
      </w:r>
      <w:r w:rsidRPr="00422F28">
        <w:rPr>
          <w:sz w:val="22"/>
          <w:szCs w:val="22"/>
          <w:lang w:val="en-US"/>
        </w:rPr>
        <w:t xml:space="preserve">based on performing a reasonable assurance engagement in accordance with International Standard on Assurance Engagements 3000 (Revised), </w:t>
      </w:r>
      <w:r w:rsidRPr="00422F28">
        <w:rPr>
          <w:i/>
          <w:sz w:val="22"/>
          <w:szCs w:val="22"/>
          <w:lang w:val="en-US"/>
        </w:rPr>
        <w:t>Assurance Engagements Other than Audits or Reviews of Historical Financial Information</w:t>
      </w:r>
      <w:r w:rsidRPr="00422F28">
        <w:rPr>
          <w:sz w:val="22"/>
          <w:szCs w:val="22"/>
          <w:lang w:val="en-US"/>
        </w:rPr>
        <w:t xml:space="preserve"> issued by the International Auditing and Assurance S</w:t>
      </w:r>
      <w:r w:rsidR="00666E1E">
        <w:rPr>
          <w:sz w:val="22"/>
          <w:szCs w:val="22"/>
          <w:lang w:val="en-US"/>
        </w:rPr>
        <w:t xml:space="preserve">tandards Board, and to issue a reasonable assurance </w:t>
      </w:r>
      <w:r w:rsidRPr="00422F28">
        <w:rPr>
          <w:sz w:val="22"/>
          <w:szCs w:val="22"/>
          <w:lang w:val="en-US"/>
        </w:rPr>
        <w:t xml:space="preserve">report. However, because of the matters described in the </w:t>
      </w:r>
      <w:r w:rsidRPr="00422F28">
        <w:rPr>
          <w:i/>
          <w:sz w:val="22"/>
          <w:szCs w:val="22"/>
          <w:lang w:val="en-US"/>
        </w:rPr>
        <w:t xml:space="preserve">Basis for disclaimer of opinion </w:t>
      </w:r>
      <w:r w:rsidRPr="00422F28">
        <w:rPr>
          <w:sz w:val="22"/>
          <w:szCs w:val="22"/>
          <w:lang w:val="en-US"/>
        </w:rPr>
        <w:t xml:space="preserve">section of our report, we were not able to obtain sufficient appropriate audit evidence to provide a basis for an </w:t>
      </w:r>
      <w:r w:rsidR="00666E1E">
        <w:rPr>
          <w:sz w:val="22"/>
          <w:szCs w:val="22"/>
          <w:lang w:val="en-US"/>
        </w:rPr>
        <w:t>opinion on the</w:t>
      </w:r>
      <w:r w:rsidRPr="00422F28">
        <w:rPr>
          <w:sz w:val="22"/>
          <w:szCs w:val="22"/>
          <w:lang w:val="en-US"/>
        </w:rPr>
        <w:t xml:space="preserve"> </w:t>
      </w:r>
      <w:r w:rsidR="00666E1E">
        <w:rPr>
          <w:sz w:val="22"/>
          <w:szCs w:val="22"/>
          <w:lang w:val="en-US"/>
        </w:rPr>
        <w:t>Schedule</w:t>
      </w:r>
      <w:r w:rsidR="00F40AFB" w:rsidRPr="00422F28">
        <w:rPr>
          <w:sz w:val="22"/>
          <w:szCs w:val="22"/>
          <w:lang w:val="en-US"/>
        </w:rPr>
        <w:t xml:space="preserve">. </w:t>
      </w:r>
    </w:p>
    <w:p w14:paraId="0DE88D70" w14:textId="77777777" w:rsidR="00383EB1" w:rsidRPr="00422F28" w:rsidRDefault="00383EB1" w:rsidP="00422F28">
      <w:pPr>
        <w:pStyle w:val="EndnoteText"/>
        <w:spacing w:after="120" w:line="271" w:lineRule="auto"/>
        <w:rPr>
          <w:sz w:val="22"/>
          <w:szCs w:val="22"/>
          <w:lang w:val="en-US"/>
        </w:rPr>
      </w:pPr>
    </w:p>
  </w:endnote>
  <w:endnote w:id="7">
    <w:p w14:paraId="0BB642A7" w14:textId="5C31CC59" w:rsidR="00B520CE" w:rsidRPr="00422F28" w:rsidRDefault="00B520CE" w:rsidP="00422F28">
      <w:pPr>
        <w:pStyle w:val="EndnoteText"/>
        <w:spacing w:after="120" w:line="271" w:lineRule="auto"/>
        <w:ind w:left="360" w:hanging="360"/>
        <w:rPr>
          <w:sz w:val="22"/>
          <w:szCs w:val="22"/>
          <w:lang w:val="en-US"/>
        </w:rPr>
      </w:pPr>
      <w:r w:rsidRPr="00422F28">
        <w:rPr>
          <w:rStyle w:val="EndnoteReference"/>
          <w:sz w:val="22"/>
          <w:szCs w:val="22"/>
        </w:rPr>
        <w:endnoteRef/>
      </w:r>
      <w:r w:rsidRPr="00422F28">
        <w:rPr>
          <w:sz w:val="22"/>
          <w:szCs w:val="22"/>
        </w:rPr>
        <w:t xml:space="preserve"> </w:t>
      </w:r>
      <w:r w:rsidRPr="00422F28">
        <w:rPr>
          <w:sz w:val="22"/>
          <w:szCs w:val="22"/>
          <w:lang w:val="en-US"/>
        </w:rPr>
        <w:tab/>
      </w:r>
      <w:r w:rsidR="00B079C5" w:rsidRPr="00422F28">
        <w:rPr>
          <w:sz w:val="22"/>
          <w:szCs w:val="22"/>
          <w:lang w:val="en-US"/>
        </w:rPr>
        <w:t>Tailor the procedures</w:t>
      </w:r>
      <w:r w:rsidRPr="00422F28">
        <w:rPr>
          <w:sz w:val="22"/>
          <w:szCs w:val="22"/>
          <w:lang w:val="en-US"/>
        </w:rPr>
        <w:t xml:space="preserve"> to the Fund’s specific circumstances. However, as a minimum, </w:t>
      </w:r>
      <w:r w:rsidR="00151459" w:rsidRPr="00422F28">
        <w:rPr>
          <w:sz w:val="22"/>
          <w:szCs w:val="22"/>
          <w:lang w:val="en-US"/>
        </w:rPr>
        <w:t xml:space="preserve">it is expected that the auditor performs </w:t>
      </w:r>
      <w:r w:rsidRPr="00422F28">
        <w:rPr>
          <w:sz w:val="22"/>
          <w:szCs w:val="22"/>
          <w:lang w:val="en-US"/>
        </w:rPr>
        <w:t xml:space="preserve">the </w:t>
      </w:r>
      <w:r w:rsidRPr="00422F28">
        <w:rPr>
          <w:sz w:val="22"/>
          <w:szCs w:val="22"/>
        </w:rPr>
        <w:t>additional procedures listed in the report.</w:t>
      </w:r>
      <w:r w:rsidR="00E442A5" w:rsidRPr="00422F28">
        <w:rPr>
          <w:sz w:val="22"/>
          <w:szCs w:val="22"/>
        </w:rPr>
        <w:t xml:space="preserve"> The list is not necessarily exhaustive.</w:t>
      </w:r>
      <w:r w:rsidR="00CA3081">
        <w:rPr>
          <w:sz w:val="22"/>
          <w:szCs w:val="22"/>
        </w:rPr>
        <w:t xml:space="preserve"> If additional procedures are performed, the auditor may list these in the report.</w:t>
      </w:r>
    </w:p>
    <w:p w14:paraId="7D79972C" w14:textId="77777777" w:rsidR="00B520CE" w:rsidRPr="00422F28" w:rsidRDefault="00B520CE" w:rsidP="00422F28">
      <w:pPr>
        <w:pStyle w:val="EndnoteText"/>
        <w:spacing w:after="120" w:line="271" w:lineRule="auto"/>
        <w:ind w:left="360" w:hanging="360"/>
        <w:rPr>
          <w:sz w:val="22"/>
          <w:szCs w:val="22"/>
          <w:lang w:val="en-US"/>
        </w:rPr>
      </w:pPr>
    </w:p>
  </w:endnote>
  <w:endnote w:id="8">
    <w:p w14:paraId="72C11441" w14:textId="0865E547" w:rsidR="00462499" w:rsidRPr="00422F28" w:rsidRDefault="00462499" w:rsidP="00422F28">
      <w:pPr>
        <w:pStyle w:val="EndnoteText"/>
        <w:spacing w:after="120" w:line="271" w:lineRule="auto"/>
        <w:ind w:left="360" w:hanging="360"/>
        <w:rPr>
          <w:color w:val="000000"/>
          <w:sz w:val="22"/>
          <w:szCs w:val="22"/>
        </w:rPr>
      </w:pPr>
      <w:r w:rsidRPr="00422F28">
        <w:rPr>
          <w:rStyle w:val="EndnoteReference"/>
          <w:sz w:val="22"/>
          <w:szCs w:val="22"/>
        </w:rPr>
        <w:endnoteRef/>
      </w:r>
      <w:r w:rsidRPr="00422F28">
        <w:rPr>
          <w:sz w:val="22"/>
          <w:szCs w:val="22"/>
        </w:rPr>
        <w:t xml:space="preserve"> </w:t>
      </w:r>
      <w:r w:rsidR="00A35CD4" w:rsidRPr="00422F28">
        <w:rPr>
          <w:sz w:val="22"/>
          <w:szCs w:val="22"/>
        </w:rPr>
        <w:tab/>
      </w:r>
      <w:r w:rsidR="00F51EBE" w:rsidRPr="00422F28">
        <w:rPr>
          <w:color w:val="000000"/>
          <w:sz w:val="22"/>
          <w:szCs w:val="22"/>
        </w:rPr>
        <w:t xml:space="preserve">The auditor will include the content of only one of the boxes in the </w:t>
      </w:r>
      <w:r w:rsidR="00D406D0" w:rsidRPr="00422F28">
        <w:rPr>
          <w:color w:val="000000"/>
          <w:sz w:val="22"/>
          <w:szCs w:val="22"/>
        </w:rPr>
        <w:t>assurance</w:t>
      </w:r>
      <w:r w:rsidR="00F51EBE" w:rsidRPr="00422F28">
        <w:rPr>
          <w:color w:val="000000"/>
          <w:sz w:val="22"/>
          <w:szCs w:val="22"/>
        </w:rPr>
        <w:t xml:space="preserve"> report, depending on whether the report has an unqualified opinion, a qualified opinion, </w:t>
      </w:r>
      <w:r w:rsidR="00CA3081">
        <w:rPr>
          <w:color w:val="000000"/>
          <w:sz w:val="22"/>
          <w:szCs w:val="22"/>
        </w:rPr>
        <w:t xml:space="preserve">a disclaimer of opinion or </w:t>
      </w:r>
      <w:r w:rsidR="00F51EBE" w:rsidRPr="00422F28">
        <w:rPr>
          <w:color w:val="000000"/>
          <w:sz w:val="22"/>
          <w:szCs w:val="22"/>
        </w:rPr>
        <w:t>an adverse</w:t>
      </w:r>
      <w:r w:rsidR="009C1109" w:rsidRPr="00422F28">
        <w:rPr>
          <w:color w:val="000000"/>
          <w:sz w:val="22"/>
          <w:szCs w:val="22"/>
        </w:rPr>
        <w:t xml:space="preserve"> opinion</w:t>
      </w:r>
      <w:r w:rsidR="00F51EBE" w:rsidRPr="00422F28">
        <w:rPr>
          <w:color w:val="000000"/>
          <w:sz w:val="22"/>
          <w:szCs w:val="22"/>
        </w:rPr>
        <w:t>.</w:t>
      </w:r>
    </w:p>
    <w:p w14:paraId="75EA9FA9" w14:textId="77777777" w:rsidR="00A35CD4" w:rsidRPr="00422F28" w:rsidRDefault="00A35CD4" w:rsidP="00422F28">
      <w:pPr>
        <w:pStyle w:val="EndnoteText"/>
        <w:spacing w:after="120" w:line="271" w:lineRule="auto"/>
        <w:ind w:left="360" w:hanging="360"/>
        <w:rPr>
          <w:sz w:val="22"/>
          <w:szCs w:val="22"/>
          <w:lang w:val="en-US"/>
        </w:rPr>
      </w:pPr>
    </w:p>
  </w:endnote>
  <w:endnote w:id="9">
    <w:p w14:paraId="20B61DDE" w14:textId="727424F6" w:rsidR="00EA62FF" w:rsidRPr="0032717C" w:rsidRDefault="00F846BC" w:rsidP="00EA62FF">
      <w:pPr>
        <w:ind w:left="360" w:hanging="360"/>
        <w:rPr>
          <w:lang w:val="en-US"/>
        </w:rPr>
      </w:pPr>
      <w:r w:rsidRPr="0032717C">
        <w:rPr>
          <w:rStyle w:val="EndnoteReference"/>
        </w:rPr>
        <w:endnoteRef/>
      </w:r>
      <w:r w:rsidRPr="0032717C">
        <w:t xml:space="preserve"> </w:t>
      </w:r>
      <w:r w:rsidR="00EA62FF" w:rsidRPr="0032717C">
        <w:tab/>
      </w:r>
      <w:r w:rsidR="00EA62FF" w:rsidRPr="0032717C">
        <w:rPr>
          <w:lang w:val="en-US"/>
        </w:rPr>
        <w:t>Circumstances</w:t>
      </w:r>
      <w:r w:rsidRPr="0032717C">
        <w:rPr>
          <w:lang w:val="en-US"/>
        </w:rPr>
        <w:t xml:space="preserve"> may arise that result in the auditor concluding that a </w:t>
      </w:r>
      <w:r w:rsidR="00EA62FF" w:rsidRPr="0032717C">
        <w:rPr>
          <w:lang w:val="en-US"/>
        </w:rPr>
        <w:t>“</w:t>
      </w:r>
      <w:r w:rsidRPr="0032717C">
        <w:rPr>
          <w:lang w:val="en-US"/>
        </w:rPr>
        <w:t>split opinion</w:t>
      </w:r>
      <w:r w:rsidR="00EA62FF" w:rsidRPr="0032717C">
        <w:rPr>
          <w:lang w:val="en-US"/>
        </w:rPr>
        <w:t>”</w:t>
      </w:r>
      <w:r w:rsidRPr="0032717C">
        <w:rPr>
          <w:lang w:val="en-US"/>
        </w:rPr>
        <w:t xml:space="preserve"> is required. </w:t>
      </w:r>
      <w:r w:rsidR="00EA62FF" w:rsidRPr="0032717C">
        <w:rPr>
          <w:lang w:val="en-US"/>
        </w:rPr>
        <w:t>The opinion addresses the two parts of the engagement: 1) that Schedule IB is prepared in all material respects in accordance with Regulation 28 (3)(a), (3)(c), (3)(e)-(j), (4), (8) and (9), and 2) that the Fund has complied, in all material respects, with Regulation 28 (3)(a), (3)(c), (3)(e)-(j), (4), (8) and (9). A “split opinion” means that one part of the engagement has a different type of opinion to the other part of the engagement. For example, the auditor may express an unmodified opinion on the preparation of Schedule IB but express a modified opinion on the compliance of the Fund with Regulation 28</w:t>
      </w:r>
      <w:r w:rsidR="005F5CE2" w:rsidRPr="0032717C">
        <w:rPr>
          <w:lang w:val="en-US"/>
        </w:rPr>
        <w:t xml:space="preserve"> (several different combinations of types of opinion may be possible)</w:t>
      </w:r>
      <w:r w:rsidR="00EA62FF" w:rsidRPr="0032717C">
        <w:rPr>
          <w:lang w:val="en-US"/>
        </w:rPr>
        <w:t>. ISAE 3000 (Revised) allows for separate conclusions (“split opinions”) in paragraph A2:</w:t>
      </w:r>
    </w:p>
    <w:p w14:paraId="5ECC9A8A" w14:textId="2CB57ECA" w:rsidR="00EA62FF" w:rsidRPr="0032717C" w:rsidRDefault="00EA62FF" w:rsidP="00EA62FF">
      <w:pPr>
        <w:ind w:left="720"/>
        <w:rPr>
          <w:i/>
          <w:lang w:val="en-US"/>
        </w:rPr>
      </w:pPr>
      <w:r w:rsidRPr="0032717C">
        <w:rPr>
          <w:i/>
          <w:lang w:val="en-US"/>
        </w:rPr>
        <w:t>Where the subject matter information is made up of a number of aspects, separate conclusions may be provided on each aspect. All such separate conclusions do not need to relate to the same level of assurance. Rather, each conclusion is expressed in the form that is appropriate to either a reasonable assurance engagement or a limited assurance engagement. References in this ISAE to the conclusion in the assurance report include each conclusion when separate conclusions are provided.</w:t>
      </w:r>
    </w:p>
    <w:p w14:paraId="6BA518EA" w14:textId="77777777" w:rsidR="005763AE" w:rsidRDefault="00FD24BC" w:rsidP="00FD24BC">
      <w:pPr>
        <w:ind w:left="360"/>
        <w:rPr>
          <w:lang w:val="en-US"/>
        </w:rPr>
      </w:pPr>
      <w:r w:rsidRPr="0032717C">
        <w:rPr>
          <w:lang w:val="en-US"/>
        </w:rPr>
        <w:t>In the event of a split opinion, the auditor adapts the wording of the basis for opinion and opinion paragraphs accordingly.</w:t>
      </w:r>
      <w:r w:rsidR="005763AE">
        <w:rPr>
          <w:lang w:val="en-US"/>
        </w:rPr>
        <w:t xml:space="preserve"> </w:t>
      </w:r>
    </w:p>
    <w:p w14:paraId="4F19D2B6" w14:textId="3112E4C3" w:rsidR="00EA62FF" w:rsidRDefault="005763AE" w:rsidP="00FD24BC">
      <w:pPr>
        <w:ind w:left="360"/>
        <w:rPr>
          <w:lang w:val="en-US"/>
        </w:rPr>
      </w:pPr>
      <w:r>
        <w:rPr>
          <w:lang w:val="en-US"/>
        </w:rPr>
        <w:t>The basis for opinion and opinion paragraphs may be set out as follows</w:t>
      </w:r>
      <w:r w:rsidR="00C51621">
        <w:rPr>
          <w:lang w:val="en-US"/>
        </w:rPr>
        <w:t>, as an example</w:t>
      </w:r>
      <w:r>
        <w:rPr>
          <w:lang w:val="en-US"/>
        </w:rPr>
        <w:t>:</w:t>
      </w:r>
    </w:p>
    <w:p w14:paraId="49398675" w14:textId="3C98F1A2" w:rsidR="005763AE" w:rsidRDefault="005763AE" w:rsidP="005763AE">
      <w:pPr>
        <w:pStyle w:val="Default"/>
        <w:spacing w:after="120" w:line="312" w:lineRule="auto"/>
        <w:ind w:left="720"/>
        <w:jc w:val="both"/>
        <w:rPr>
          <w:i/>
          <w:sz w:val="22"/>
          <w:szCs w:val="22"/>
        </w:rPr>
      </w:pPr>
      <w:r w:rsidRPr="005763AE">
        <w:rPr>
          <w:i/>
          <w:sz w:val="22"/>
          <w:szCs w:val="22"/>
        </w:rPr>
        <w:t xml:space="preserve">Basis for </w:t>
      </w:r>
      <w:r>
        <w:rPr>
          <w:i/>
          <w:sz w:val="22"/>
          <w:szCs w:val="22"/>
        </w:rPr>
        <w:t>q</w:t>
      </w:r>
      <w:r w:rsidRPr="006554C5">
        <w:rPr>
          <w:i/>
          <w:sz w:val="22"/>
          <w:szCs w:val="22"/>
        </w:rPr>
        <w:t xml:space="preserve">ualified opinion on </w:t>
      </w:r>
      <w:r>
        <w:rPr>
          <w:i/>
          <w:sz w:val="22"/>
          <w:szCs w:val="22"/>
        </w:rPr>
        <w:t>compliance of the Fund with the relevant sub-regulations of Regulation 28 and unqualified opinion on the preparation of Schedule IB in accordance with the relevant sub-regulations of Regulation 28</w:t>
      </w:r>
    </w:p>
    <w:p w14:paraId="045F0098" w14:textId="20DA2F89" w:rsidR="005763AE" w:rsidRDefault="005763AE" w:rsidP="005763AE">
      <w:pPr>
        <w:pStyle w:val="Default"/>
        <w:spacing w:after="120" w:line="312" w:lineRule="auto"/>
        <w:ind w:left="720"/>
        <w:jc w:val="both"/>
        <w:rPr>
          <w:i/>
          <w:sz w:val="22"/>
          <w:szCs w:val="22"/>
        </w:rPr>
      </w:pPr>
      <w:r w:rsidRPr="006554C5">
        <w:rPr>
          <w:i/>
          <w:sz w:val="22"/>
          <w:szCs w:val="22"/>
        </w:rPr>
        <w:t xml:space="preserve">Qualified opinion on </w:t>
      </w:r>
      <w:r>
        <w:rPr>
          <w:i/>
          <w:sz w:val="22"/>
          <w:szCs w:val="22"/>
        </w:rPr>
        <w:t>compliance of the Fund with the relevant sub-regulations of Regulation 28 and unqualified opinion on the preparation of Schedule IB in accordance with the relevant sub-regulations of Regulation 28</w:t>
      </w:r>
    </w:p>
    <w:p w14:paraId="5A609597" w14:textId="681B6A2B" w:rsidR="0032717C" w:rsidRPr="005763AE" w:rsidRDefault="005763AE" w:rsidP="005763AE">
      <w:pPr>
        <w:spacing w:line="312" w:lineRule="auto"/>
        <w:ind w:left="720"/>
      </w:pPr>
      <w:r w:rsidRPr="005763AE">
        <w:t xml:space="preserve">(Note that this layout is based on Illustrative Report 15 in South African Auditing Practice Statement (SAAPS) 3, </w:t>
      </w:r>
      <w:r w:rsidRPr="005763AE">
        <w:rPr>
          <w:i/>
        </w:rPr>
        <w:t>Illustrative Reports</w:t>
      </w:r>
      <w:r w:rsidRPr="005763AE">
        <w:t xml:space="preserve"> (Revised November 2015), which is available on the IRBA’s website)</w:t>
      </w:r>
      <w:r>
        <w:t>.</w:t>
      </w:r>
    </w:p>
    <w:p w14:paraId="5FC3AECE" w14:textId="77777777" w:rsidR="0032717C" w:rsidRPr="00050EEE" w:rsidRDefault="0032717C" w:rsidP="00050EEE">
      <w:pPr>
        <w:pStyle w:val="EndnoteText"/>
        <w:spacing w:after="120" w:line="271" w:lineRule="auto"/>
        <w:ind w:left="360" w:hanging="360"/>
        <w:rPr>
          <w:sz w:val="22"/>
          <w:szCs w:val="22"/>
          <w:lang w:val="en-US"/>
        </w:rPr>
      </w:pPr>
    </w:p>
  </w:endnote>
  <w:endnote w:id="10">
    <w:p w14:paraId="1B789688" w14:textId="1063C093" w:rsidR="00AB4E3C" w:rsidRPr="00422F28" w:rsidRDefault="00F51EBE" w:rsidP="00422F28">
      <w:pPr>
        <w:pStyle w:val="EndnoteText"/>
        <w:spacing w:after="120" w:line="271" w:lineRule="auto"/>
        <w:ind w:left="360" w:hanging="360"/>
        <w:rPr>
          <w:i/>
          <w:iCs/>
          <w:sz w:val="22"/>
          <w:szCs w:val="22"/>
        </w:rPr>
      </w:pPr>
      <w:r w:rsidRPr="00422F28">
        <w:rPr>
          <w:rStyle w:val="EndnoteReference"/>
          <w:sz w:val="22"/>
          <w:szCs w:val="22"/>
        </w:rPr>
        <w:endnoteRef/>
      </w:r>
      <w:r w:rsidRPr="00422F28">
        <w:rPr>
          <w:sz w:val="22"/>
          <w:szCs w:val="22"/>
        </w:rPr>
        <w:t xml:space="preserve"> </w:t>
      </w:r>
      <w:r w:rsidRPr="00422F28">
        <w:rPr>
          <w:sz w:val="22"/>
          <w:szCs w:val="22"/>
        </w:rPr>
        <w:tab/>
      </w:r>
      <w:r w:rsidRPr="00422F28">
        <w:rPr>
          <w:color w:val="000000"/>
          <w:sz w:val="22"/>
          <w:szCs w:val="22"/>
        </w:rPr>
        <w:t xml:space="preserve">Should the auditor’s </w:t>
      </w:r>
      <w:r w:rsidRPr="00422F28">
        <w:rPr>
          <w:sz w:val="22"/>
          <w:szCs w:val="22"/>
        </w:rPr>
        <w:t>opinion</w:t>
      </w:r>
      <w:r w:rsidRPr="00422F28">
        <w:rPr>
          <w:color w:val="000000"/>
          <w:sz w:val="22"/>
          <w:szCs w:val="22"/>
        </w:rPr>
        <w:t xml:space="preserve"> be </w:t>
      </w:r>
      <w:r w:rsidR="007A4A27" w:rsidRPr="00422F28">
        <w:rPr>
          <w:color w:val="000000"/>
          <w:sz w:val="22"/>
          <w:szCs w:val="22"/>
        </w:rPr>
        <w:t>qualified</w:t>
      </w:r>
      <w:r w:rsidRPr="00422F28">
        <w:rPr>
          <w:color w:val="000000"/>
          <w:sz w:val="22"/>
          <w:szCs w:val="22"/>
        </w:rPr>
        <w:t xml:space="preserve">, then the basis for qualified </w:t>
      </w:r>
      <w:r w:rsidRPr="00422F28">
        <w:rPr>
          <w:sz w:val="22"/>
          <w:szCs w:val="22"/>
        </w:rPr>
        <w:t>opinion</w:t>
      </w:r>
      <w:r w:rsidRPr="00422F28">
        <w:rPr>
          <w:color w:val="000000"/>
          <w:sz w:val="22"/>
          <w:szCs w:val="22"/>
        </w:rPr>
        <w:t xml:space="preserve"> paragraph should be included in the report</w:t>
      </w:r>
      <w:r w:rsidR="00AE675B" w:rsidRPr="00422F28">
        <w:rPr>
          <w:color w:val="000000"/>
          <w:sz w:val="22"/>
          <w:szCs w:val="22"/>
        </w:rPr>
        <w:t>. The paragraph should provide</w:t>
      </w:r>
      <w:r w:rsidRPr="00422F28">
        <w:rPr>
          <w:color w:val="000000"/>
          <w:sz w:val="22"/>
          <w:szCs w:val="22"/>
        </w:rPr>
        <w:t xml:space="preserve"> sufficient detail regarding the instances of non-compliance with Regulation 28 </w:t>
      </w:r>
      <w:r w:rsidR="0010470C" w:rsidRPr="00651832">
        <w:rPr>
          <w:color w:val="000000"/>
          <w:sz w:val="22"/>
          <w:szCs w:val="22"/>
        </w:rPr>
        <w:t>(3</w:t>
      </w:r>
      <w:r w:rsidR="0010470C">
        <w:rPr>
          <w:color w:val="000000"/>
          <w:sz w:val="22"/>
          <w:szCs w:val="22"/>
        </w:rPr>
        <w:t>)</w:t>
      </w:r>
      <w:r w:rsidR="0010470C" w:rsidRPr="00651832">
        <w:rPr>
          <w:color w:val="000000"/>
          <w:sz w:val="22"/>
          <w:szCs w:val="22"/>
        </w:rPr>
        <w:t>(a), (3</w:t>
      </w:r>
      <w:r w:rsidR="0010470C">
        <w:rPr>
          <w:color w:val="000000"/>
          <w:sz w:val="22"/>
          <w:szCs w:val="22"/>
        </w:rPr>
        <w:t>)</w:t>
      </w:r>
      <w:r w:rsidR="0010470C" w:rsidRPr="00651832">
        <w:rPr>
          <w:color w:val="000000"/>
          <w:sz w:val="22"/>
          <w:szCs w:val="22"/>
        </w:rPr>
        <w:t xml:space="preserve">(c), </w:t>
      </w:r>
      <w:r w:rsidR="0010470C">
        <w:rPr>
          <w:color w:val="000000"/>
          <w:sz w:val="22"/>
          <w:szCs w:val="22"/>
        </w:rPr>
        <w:t>(3)</w:t>
      </w:r>
      <w:r w:rsidR="0010470C" w:rsidRPr="00651832">
        <w:rPr>
          <w:color w:val="000000"/>
          <w:sz w:val="22"/>
          <w:szCs w:val="22"/>
        </w:rPr>
        <w:t>(e)-(j), (4), (8) and (9)</w:t>
      </w:r>
      <w:r w:rsidR="009D3C8E">
        <w:rPr>
          <w:color w:val="000000"/>
          <w:sz w:val="22"/>
          <w:szCs w:val="22"/>
        </w:rPr>
        <w:t xml:space="preserve"> </w:t>
      </w:r>
      <w:r w:rsidRPr="00422F28">
        <w:rPr>
          <w:color w:val="000000"/>
          <w:sz w:val="22"/>
          <w:szCs w:val="22"/>
        </w:rPr>
        <w:t>identified, or disagreement with the basis of interpretation/valuation applied by the fund, to enable the FSCA to deal with the matter or issue identified in the appropriate manner</w:t>
      </w:r>
      <w:r w:rsidR="00AE675B" w:rsidRPr="00422F28">
        <w:rPr>
          <w:color w:val="000000"/>
          <w:sz w:val="22"/>
          <w:szCs w:val="22"/>
        </w:rPr>
        <w:t>.</w:t>
      </w:r>
      <w:r w:rsidR="007A4A27" w:rsidRPr="00422F28">
        <w:rPr>
          <w:color w:val="000000"/>
          <w:sz w:val="22"/>
          <w:szCs w:val="22"/>
        </w:rPr>
        <w:t xml:space="preserve"> </w:t>
      </w:r>
      <w:r w:rsidR="007A4A27" w:rsidRPr="00422F28">
        <w:rPr>
          <w:sz w:val="22"/>
          <w:szCs w:val="22"/>
        </w:rPr>
        <w:t xml:space="preserve">Guidance </w:t>
      </w:r>
      <w:r w:rsidR="002C6CD6" w:rsidRPr="00422F28">
        <w:rPr>
          <w:sz w:val="22"/>
          <w:szCs w:val="22"/>
        </w:rPr>
        <w:t>could</w:t>
      </w:r>
      <w:r w:rsidR="007A4A27" w:rsidRPr="00422F28">
        <w:rPr>
          <w:sz w:val="22"/>
          <w:szCs w:val="22"/>
        </w:rPr>
        <w:t xml:space="preserve"> be </w:t>
      </w:r>
      <w:r w:rsidR="002C6CD6" w:rsidRPr="00422F28">
        <w:rPr>
          <w:sz w:val="22"/>
          <w:szCs w:val="22"/>
        </w:rPr>
        <w:t>obtained</w:t>
      </w:r>
      <w:r w:rsidR="007A4A27" w:rsidRPr="00422F28">
        <w:rPr>
          <w:sz w:val="22"/>
          <w:szCs w:val="22"/>
        </w:rPr>
        <w:t xml:space="preserve"> from I</w:t>
      </w:r>
      <w:r w:rsidR="009C1109" w:rsidRPr="00422F28">
        <w:rPr>
          <w:sz w:val="22"/>
          <w:szCs w:val="22"/>
        </w:rPr>
        <w:t>SAE 3000 (Revised) paragraphs 74 – 77</w:t>
      </w:r>
      <w:r w:rsidR="002A617D">
        <w:rPr>
          <w:sz w:val="22"/>
          <w:szCs w:val="22"/>
        </w:rPr>
        <w:t>.</w:t>
      </w:r>
      <w:r w:rsidR="00D406D0" w:rsidRPr="00422F28">
        <w:rPr>
          <w:i/>
          <w:iCs/>
          <w:sz w:val="22"/>
          <w:szCs w:val="22"/>
        </w:rPr>
        <w:t xml:space="preserve"> </w:t>
      </w:r>
    </w:p>
    <w:p w14:paraId="74DF87FE" w14:textId="6355CE24" w:rsidR="00F51EBE" w:rsidRPr="00422F28" w:rsidRDefault="002C6CD6" w:rsidP="00422F28">
      <w:pPr>
        <w:pStyle w:val="EndnoteText"/>
        <w:keepNext/>
        <w:spacing w:after="120" w:line="271" w:lineRule="auto"/>
        <w:ind w:left="720" w:hanging="360"/>
        <w:rPr>
          <w:iCs/>
          <w:sz w:val="22"/>
          <w:szCs w:val="22"/>
          <w:u w:val="single"/>
        </w:rPr>
      </w:pPr>
      <w:r w:rsidRPr="00422F28">
        <w:rPr>
          <w:iCs/>
          <w:sz w:val="22"/>
          <w:szCs w:val="22"/>
          <w:u w:val="single"/>
        </w:rPr>
        <w:t>E</w:t>
      </w:r>
      <w:r w:rsidR="00D406D0" w:rsidRPr="00422F28">
        <w:rPr>
          <w:iCs/>
          <w:sz w:val="22"/>
          <w:szCs w:val="22"/>
          <w:u w:val="single"/>
        </w:rPr>
        <w:t xml:space="preserve">xamples of the basis for </w:t>
      </w:r>
      <w:r w:rsidRPr="00422F28">
        <w:rPr>
          <w:iCs/>
          <w:sz w:val="22"/>
          <w:szCs w:val="22"/>
          <w:u w:val="single"/>
        </w:rPr>
        <w:t>qualified opinion paragraph:</w:t>
      </w:r>
    </w:p>
    <w:p w14:paraId="0D7C6018" w14:textId="0AC3D921" w:rsidR="00574414" w:rsidRPr="00422F28" w:rsidRDefault="00574414" w:rsidP="00CA3081">
      <w:pPr>
        <w:pStyle w:val="BodyText"/>
        <w:keepNext/>
        <w:numPr>
          <w:ilvl w:val="0"/>
          <w:numId w:val="7"/>
        </w:numPr>
        <w:tabs>
          <w:tab w:val="left" w:pos="720"/>
        </w:tabs>
        <w:autoSpaceDE w:val="0"/>
        <w:autoSpaceDN w:val="0"/>
        <w:spacing w:after="120" w:line="271" w:lineRule="auto"/>
        <w:jc w:val="both"/>
        <w:rPr>
          <w:rFonts w:eastAsia="Arial"/>
          <w:iCs/>
          <w:sz w:val="22"/>
          <w:szCs w:val="22"/>
        </w:rPr>
      </w:pPr>
      <w:r w:rsidRPr="00422F28">
        <w:rPr>
          <w:rFonts w:eastAsia="Arial"/>
          <w:iCs/>
          <w:sz w:val="22"/>
          <w:szCs w:val="22"/>
        </w:rPr>
        <w:t>Regulation</w:t>
      </w:r>
      <w:r w:rsidR="004D36B3" w:rsidRPr="00422F28">
        <w:rPr>
          <w:rFonts w:eastAsia="Arial"/>
          <w:iCs/>
          <w:sz w:val="22"/>
          <w:szCs w:val="22"/>
        </w:rPr>
        <w:t xml:space="preserve"> 28</w:t>
      </w:r>
      <w:r w:rsidRPr="00422F28">
        <w:rPr>
          <w:rFonts w:eastAsia="Arial"/>
          <w:iCs/>
          <w:sz w:val="22"/>
          <w:szCs w:val="22"/>
        </w:rPr>
        <w:t xml:space="preserve"> requires that the aggreg</w:t>
      </w:r>
      <w:r w:rsidR="004D36B3" w:rsidRPr="00422F28">
        <w:rPr>
          <w:rFonts w:eastAsia="Arial"/>
          <w:iCs/>
          <w:sz w:val="22"/>
          <w:szCs w:val="22"/>
        </w:rPr>
        <w:t>ate exposure to foreign assets</w:t>
      </w:r>
      <w:r w:rsidRPr="00422F28">
        <w:rPr>
          <w:rFonts w:eastAsia="Arial"/>
          <w:iCs/>
          <w:sz w:val="22"/>
          <w:szCs w:val="22"/>
        </w:rPr>
        <w:t xml:space="preserve">, expressed as a percentage of total assets, </w:t>
      </w:r>
      <w:r w:rsidR="00D75332" w:rsidRPr="00422F28">
        <w:rPr>
          <w:rFonts w:eastAsia="Arial"/>
          <w:iCs/>
          <w:sz w:val="22"/>
          <w:szCs w:val="22"/>
        </w:rPr>
        <w:t xml:space="preserve">should not exceed the maximum allowable </w:t>
      </w:r>
      <w:r w:rsidR="00953D5A" w:rsidRPr="00422F28">
        <w:rPr>
          <w:rFonts w:eastAsia="Arial"/>
          <w:iCs/>
          <w:sz w:val="22"/>
          <w:szCs w:val="22"/>
        </w:rPr>
        <w:t>percentage</w:t>
      </w:r>
      <w:r w:rsidR="00D75332" w:rsidRPr="00422F28">
        <w:rPr>
          <w:rFonts w:eastAsia="Arial"/>
          <w:iCs/>
          <w:sz w:val="22"/>
          <w:szCs w:val="22"/>
        </w:rPr>
        <w:t xml:space="preserve"> prescribed by Regulation 28(3)(i)</w:t>
      </w:r>
      <w:r w:rsidRPr="00422F28">
        <w:rPr>
          <w:rFonts w:eastAsia="Arial"/>
          <w:iCs/>
          <w:sz w:val="22"/>
          <w:szCs w:val="22"/>
        </w:rPr>
        <w:t>.</w:t>
      </w:r>
      <w:r w:rsidR="00BE0580" w:rsidRPr="00422F28">
        <w:rPr>
          <w:rFonts w:eastAsia="Arial"/>
          <w:iCs/>
          <w:sz w:val="22"/>
          <w:szCs w:val="22"/>
        </w:rPr>
        <w:t xml:space="preserve"> </w:t>
      </w:r>
      <w:r w:rsidRPr="00422F28">
        <w:rPr>
          <w:rFonts w:eastAsia="Arial"/>
          <w:iCs/>
          <w:sz w:val="22"/>
          <w:szCs w:val="22"/>
        </w:rPr>
        <w:t>The</w:t>
      </w:r>
      <w:r w:rsidR="004D36B3" w:rsidRPr="00422F28">
        <w:rPr>
          <w:rFonts w:eastAsia="Arial"/>
          <w:iCs/>
          <w:sz w:val="22"/>
          <w:szCs w:val="22"/>
        </w:rPr>
        <w:t xml:space="preserve"> Fund’s total foreign exposure</w:t>
      </w:r>
      <w:r w:rsidRPr="00422F28">
        <w:rPr>
          <w:rFonts w:eastAsia="Arial"/>
          <w:iCs/>
          <w:sz w:val="22"/>
          <w:szCs w:val="22"/>
        </w:rPr>
        <w:t xml:space="preserve"> was </w:t>
      </w:r>
      <w:r w:rsidR="00D75332" w:rsidRPr="00422F28">
        <w:rPr>
          <w:rFonts w:eastAsia="Arial"/>
          <w:iCs/>
          <w:sz w:val="22"/>
          <w:szCs w:val="22"/>
        </w:rPr>
        <w:t>&lt;</w:t>
      </w:r>
      <w:r w:rsidR="009E4A48" w:rsidRPr="00422F28">
        <w:rPr>
          <w:rFonts w:eastAsia="Arial"/>
          <w:iCs/>
          <w:sz w:val="22"/>
          <w:szCs w:val="22"/>
        </w:rPr>
        <w:t>xx</w:t>
      </w:r>
      <w:r w:rsidR="00D75332" w:rsidRPr="00422F28">
        <w:rPr>
          <w:rFonts w:eastAsia="Arial"/>
          <w:iCs/>
          <w:sz w:val="22"/>
          <w:szCs w:val="22"/>
        </w:rPr>
        <w:t>&gt;</w:t>
      </w:r>
      <w:r w:rsidRPr="00422F28">
        <w:rPr>
          <w:rFonts w:eastAsia="Arial"/>
          <w:iCs/>
          <w:sz w:val="22"/>
          <w:szCs w:val="22"/>
        </w:rPr>
        <w:t xml:space="preserve">% of the total assets at </w:t>
      </w:r>
      <w:r w:rsidR="00D75332" w:rsidRPr="00422F28">
        <w:rPr>
          <w:rFonts w:eastAsia="Arial"/>
          <w:iCs/>
          <w:sz w:val="22"/>
          <w:szCs w:val="22"/>
        </w:rPr>
        <w:t>&lt;insert year-end date&gt;</w:t>
      </w:r>
      <w:r w:rsidRPr="00422F28">
        <w:rPr>
          <w:rFonts w:eastAsia="Arial"/>
          <w:iCs/>
          <w:sz w:val="22"/>
          <w:szCs w:val="22"/>
        </w:rPr>
        <w:t xml:space="preserve">. </w:t>
      </w:r>
    </w:p>
    <w:p w14:paraId="777F31D0" w14:textId="7CC9AED5" w:rsidR="00574414" w:rsidRPr="00422F28" w:rsidRDefault="00574414" w:rsidP="00CA3081">
      <w:pPr>
        <w:pStyle w:val="BodyText"/>
        <w:keepNext/>
        <w:numPr>
          <w:ilvl w:val="0"/>
          <w:numId w:val="7"/>
        </w:numPr>
        <w:tabs>
          <w:tab w:val="left" w:pos="720"/>
        </w:tabs>
        <w:autoSpaceDE w:val="0"/>
        <w:autoSpaceDN w:val="0"/>
        <w:spacing w:after="120" w:line="271" w:lineRule="auto"/>
        <w:jc w:val="both"/>
        <w:rPr>
          <w:rFonts w:eastAsia="Arial"/>
          <w:iCs/>
          <w:sz w:val="22"/>
          <w:szCs w:val="22"/>
        </w:rPr>
      </w:pPr>
      <w:r w:rsidRPr="00422F28">
        <w:rPr>
          <w:rFonts w:eastAsia="Arial"/>
          <w:iCs/>
          <w:sz w:val="22"/>
          <w:szCs w:val="22"/>
        </w:rPr>
        <w:t>The amount</w:t>
      </w:r>
      <w:r w:rsidR="002B7B80" w:rsidRPr="00422F28">
        <w:rPr>
          <w:rFonts w:eastAsia="Arial"/>
          <w:iCs/>
          <w:sz w:val="22"/>
          <w:szCs w:val="22"/>
        </w:rPr>
        <w:t xml:space="preserve"> disclosed in Line </w:t>
      </w:r>
      <w:r w:rsidR="002A617D">
        <w:rPr>
          <w:rFonts w:eastAsia="Arial"/>
          <w:iCs/>
          <w:sz w:val="22"/>
          <w:szCs w:val="22"/>
        </w:rPr>
        <w:t>xx</w:t>
      </w:r>
      <w:r w:rsidR="002A617D" w:rsidRPr="00422F28">
        <w:rPr>
          <w:rFonts w:eastAsia="Arial"/>
          <w:iCs/>
          <w:sz w:val="22"/>
          <w:szCs w:val="22"/>
        </w:rPr>
        <w:t xml:space="preserve"> </w:t>
      </w:r>
      <w:r w:rsidR="007614A6" w:rsidRPr="00422F28">
        <w:rPr>
          <w:rFonts w:eastAsia="Arial"/>
          <w:iCs/>
          <w:sz w:val="22"/>
          <w:szCs w:val="22"/>
        </w:rPr>
        <w:t xml:space="preserve">of Schedule IB </w:t>
      </w:r>
      <w:r w:rsidRPr="00422F28">
        <w:rPr>
          <w:rFonts w:eastAsia="Arial"/>
          <w:iCs/>
          <w:sz w:val="22"/>
          <w:szCs w:val="22"/>
        </w:rPr>
        <w:t>relate</w:t>
      </w:r>
      <w:r w:rsidR="0097683D" w:rsidRPr="00422F28">
        <w:rPr>
          <w:rFonts w:eastAsia="Arial"/>
          <w:iCs/>
          <w:sz w:val="22"/>
          <w:szCs w:val="22"/>
        </w:rPr>
        <w:t>s</w:t>
      </w:r>
      <w:r w:rsidRPr="00422F28">
        <w:rPr>
          <w:rFonts w:eastAsia="Arial"/>
          <w:iCs/>
          <w:sz w:val="22"/>
          <w:szCs w:val="22"/>
        </w:rPr>
        <w:t xml:space="preserve"> to collective investment schemes with </w:t>
      </w:r>
      <w:r w:rsidR="002A617D">
        <w:rPr>
          <w:rFonts w:eastAsia="Arial"/>
          <w:iCs/>
          <w:sz w:val="22"/>
          <w:szCs w:val="22"/>
        </w:rPr>
        <w:t>xx</w:t>
      </w:r>
      <w:r w:rsidR="002A617D" w:rsidRPr="00422F28">
        <w:rPr>
          <w:rFonts w:eastAsia="Arial"/>
          <w:iCs/>
          <w:sz w:val="22"/>
          <w:szCs w:val="22"/>
        </w:rPr>
        <w:t xml:space="preserve"> </w:t>
      </w:r>
      <w:r w:rsidRPr="00422F28">
        <w:rPr>
          <w:rFonts w:eastAsia="Arial"/>
          <w:iCs/>
          <w:sz w:val="22"/>
          <w:szCs w:val="22"/>
        </w:rPr>
        <w:t xml:space="preserve">Investment Management Limited, </w:t>
      </w:r>
      <w:r w:rsidR="00BE0580" w:rsidRPr="00422F28">
        <w:rPr>
          <w:rFonts w:eastAsia="Arial"/>
          <w:iCs/>
          <w:sz w:val="22"/>
          <w:szCs w:val="22"/>
        </w:rPr>
        <w:t>totalling</w:t>
      </w:r>
      <w:r w:rsidR="002A65C2" w:rsidRPr="00422F28">
        <w:rPr>
          <w:rFonts w:eastAsia="Arial"/>
          <w:iCs/>
          <w:sz w:val="22"/>
          <w:szCs w:val="22"/>
        </w:rPr>
        <w:t xml:space="preserve"> Rxx.</w:t>
      </w:r>
      <w:r w:rsidRPr="00422F28">
        <w:rPr>
          <w:rFonts w:eastAsia="Arial"/>
          <w:iCs/>
          <w:sz w:val="22"/>
          <w:szCs w:val="22"/>
        </w:rPr>
        <w:t xml:space="preserve"> The underlying information about the assets held by these collective investments schemes has not been obtained for these investments in a format that would allow the Board of Fund to perform a ‘look-through’ as required by Regulation 28</w:t>
      </w:r>
      <w:r w:rsidR="00BE0580" w:rsidRPr="00422F28">
        <w:rPr>
          <w:rFonts w:eastAsia="Arial"/>
          <w:iCs/>
          <w:sz w:val="22"/>
          <w:szCs w:val="22"/>
        </w:rPr>
        <w:t>.</w:t>
      </w:r>
    </w:p>
    <w:p w14:paraId="65A6E222" w14:textId="6289D391" w:rsidR="00574414" w:rsidRDefault="00574414" w:rsidP="00CA3081">
      <w:pPr>
        <w:pStyle w:val="BodyText"/>
        <w:keepNext/>
        <w:numPr>
          <w:ilvl w:val="0"/>
          <w:numId w:val="7"/>
        </w:numPr>
        <w:tabs>
          <w:tab w:val="left" w:pos="720"/>
        </w:tabs>
        <w:autoSpaceDE w:val="0"/>
        <w:autoSpaceDN w:val="0"/>
        <w:spacing w:after="120" w:line="271" w:lineRule="auto"/>
        <w:jc w:val="both"/>
        <w:rPr>
          <w:rFonts w:eastAsia="Arial"/>
          <w:iCs/>
          <w:sz w:val="22"/>
          <w:szCs w:val="22"/>
        </w:rPr>
      </w:pPr>
      <w:r w:rsidRPr="00422F28">
        <w:rPr>
          <w:rFonts w:eastAsia="Arial"/>
          <w:iCs/>
          <w:sz w:val="22"/>
          <w:szCs w:val="22"/>
        </w:rPr>
        <w:t>The Fund has invested xx% of total assets in category 8.1(c) “other assets not referred to in this schedule and excluding a hedge fund or private equity fund”. This exceeds the limit of xx% that may be invested in this category as set out by Regulation</w:t>
      </w:r>
      <w:r w:rsidR="007F5FEE" w:rsidRPr="00422F28">
        <w:rPr>
          <w:rFonts w:eastAsia="Arial"/>
          <w:iCs/>
          <w:sz w:val="22"/>
          <w:szCs w:val="22"/>
        </w:rPr>
        <w:t xml:space="preserve"> 28</w:t>
      </w:r>
      <w:r w:rsidRPr="00422F28">
        <w:rPr>
          <w:rFonts w:eastAsia="Arial"/>
          <w:iCs/>
          <w:sz w:val="22"/>
          <w:szCs w:val="22"/>
        </w:rPr>
        <w:t>.</w:t>
      </w:r>
    </w:p>
    <w:p w14:paraId="769B3813" w14:textId="5DDF7256" w:rsidR="00D66BDA" w:rsidRPr="00831607" w:rsidRDefault="00A54D69" w:rsidP="00CA3081">
      <w:pPr>
        <w:pStyle w:val="BodyText"/>
        <w:keepNext/>
        <w:numPr>
          <w:ilvl w:val="0"/>
          <w:numId w:val="7"/>
        </w:numPr>
        <w:tabs>
          <w:tab w:val="left" w:pos="720"/>
        </w:tabs>
        <w:autoSpaceDE w:val="0"/>
        <w:autoSpaceDN w:val="0"/>
        <w:spacing w:after="120" w:line="271" w:lineRule="auto"/>
        <w:jc w:val="both"/>
        <w:rPr>
          <w:rFonts w:eastAsia="Arial"/>
          <w:iCs/>
          <w:sz w:val="22"/>
          <w:szCs w:val="22"/>
        </w:rPr>
      </w:pPr>
      <w:r w:rsidRPr="00831607">
        <w:rPr>
          <w:rFonts w:eastAsia="Arial"/>
          <w:iCs/>
          <w:sz w:val="22"/>
          <w:szCs w:val="22"/>
        </w:rPr>
        <w:t>The amount disclosed in Line xx of Schedule IB relates to collective investment schemes with xx Investment Management Limited, totalling Rxx. This investment has been excluded from the total assets of the Fund for Regulation 28 reporting without having obtained the required documentation as per Regulation 28(8)(b)(i).</w:t>
      </w:r>
    </w:p>
    <w:p w14:paraId="40C92493" w14:textId="77777777" w:rsidR="00742838" w:rsidRPr="00422F28" w:rsidRDefault="00742838" w:rsidP="00422F28">
      <w:pPr>
        <w:pStyle w:val="EndnoteText"/>
        <w:spacing w:after="120" w:line="271" w:lineRule="auto"/>
        <w:rPr>
          <w:b/>
          <w:sz w:val="22"/>
          <w:szCs w:val="22"/>
          <w:lang w:val="en-US"/>
        </w:rPr>
      </w:pPr>
    </w:p>
  </w:endnote>
  <w:endnote w:id="11">
    <w:p w14:paraId="0170DD06" w14:textId="60322A27" w:rsidR="003D2887" w:rsidRPr="00422F28" w:rsidRDefault="009C1109" w:rsidP="00422F28">
      <w:pPr>
        <w:pStyle w:val="EndnoteText"/>
        <w:spacing w:after="120" w:line="271" w:lineRule="auto"/>
        <w:ind w:left="360" w:hanging="360"/>
        <w:rPr>
          <w:i/>
          <w:iCs/>
          <w:sz w:val="22"/>
          <w:szCs w:val="22"/>
        </w:rPr>
      </w:pPr>
      <w:r w:rsidRPr="00422F28">
        <w:rPr>
          <w:rStyle w:val="EndnoteReference"/>
          <w:sz w:val="22"/>
          <w:szCs w:val="22"/>
        </w:rPr>
        <w:endnoteRef/>
      </w:r>
      <w:r w:rsidRPr="00422F28">
        <w:rPr>
          <w:sz w:val="22"/>
          <w:szCs w:val="22"/>
        </w:rPr>
        <w:t xml:space="preserve"> </w:t>
      </w:r>
      <w:r w:rsidR="00B71715" w:rsidRPr="00422F28">
        <w:rPr>
          <w:sz w:val="22"/>
          <w:szCs w:val="22"/>
        </w:rPr>
        <w:tab/>
      </w:r>
      <w:r w:rsidRPr="00422F28">
        <w:rPr>
          <w:color w:val="000000"/>
          <w:sz w:val="22"/>
          <w:szCs w:val="22"/>
        </w:rPr>
        <w:t xml:space="preserve">Should the auditor’s </w:t>
      </w:r>
      <w:r w:rsidRPr="00422F28">
        <w:rPr>
          <w:sz w:val="22"/>
          <w:szCs w:val="22"/>
        </w:rPr>
        <w:t>opinion</w:t>
      </w:r>
      <w:r w:rsidRPr="00422F28">
        <w:rPr>
          <w:color w:val="000000"/>
          <w:sz w:val="22"/>
          <w:szCs w:val="22"/>
        </w:rPr>
        <w:t xml:space="preserve"> be disclaimed, then the basis for disclaimer of </w:t>
      </w:r>
      <w:r w:rsidRPr="00422F28">
        <w:rPr>
          <w:sz w:val="22"/>
          <w:szCs w:val="22"/>
        </w:rPr>
        <w:t>opinion</w:t>
      </w:r>
      <w:r w:rsidRPr="00422F28">
        <w:rPr>
          <w:color w:val="000000"/>
          <w:sz w:val="22"/>
          <w:szCs w:val="22"/>
        </w:rPr>
        <w:t xml:space="preserve"> paragraph should be included in the report. The paragraph should provide sufficient detail regarding the instances of non-compliance with Regulation 28 </w:t>
      </w:r>
      <w:r w:rsidR="0010470C" w:rsidRPr="00651832">
        <w:rPr>
          <w:color w:val="000000"/>
          <w:sz w:val="22"/>
          <w:szCs w:val="22"/>
        </w:rPr>
        <w:t>(3</w:t>
      </w:r>
      <w:r w:rsidR="0010470C">
        <w:rPr>
          <w:color w:val="000000"/>
          <w:sz w:val="22"/>
          <w:szCs w:val="22"/>
        </w:rPr>
        <w:t>)</w:t>
      </w:r>
      <w:r w:rsidR="0010470C" w:rsidRPr="00651832">
        <w:rPr>
          <w:color w:val="000000"/>
          <w:sz w:val="22"/>
          <w:szCs w:val="22"/>
        </w:rPr>
        <w:t>(a), (3</w:t>
      </w:r>
      <w:r w:rsidR="0010470C">
        <w:rPr>
          <w:color w:val="000000"/>
          <w:sz w:val="22"/>
          <w:szCs w:val="22"/>
        </w:rPr>
        <w:t>)</w:t>
      </w:r>
      <w:r w:rsidR="0010470C" w:rsidRPr="00651832">
        <w:rPr>
          <w:color w:val="000000"/>
          <w:sz w:val="22"/>
          <w:szCs w:val="22"/>
        </w:rPr>
        <w:t xml:space="preserve">(c), </w:t>
      </w:r>
      <w:r w:rsidR="0010470C">
        <w:rPr>
          <w:color w:val="000000"/>
          <w:sz w:val="22"/>
          <w:szCs w:val="22"/>
        </w:rPr>
        <w:t>(3)</w:t>
      </w:r>
      <w:r w:rsidR="0010470C" w:rsidRPr="00651832">
        <w:rPr>
          <w:color w:val="000000"/>
          <w:sz w:val="22"/>
          <w:szCs w:val="22"/>
        </w:rPr>
        <w:t>(e)-(j), (4), (8) and (9)</w:t>
      </w:r>
      <w:r w:rsidR="009D3C8E">
        <w:rPr>
          <w:color w:val="000000"/>
          <w:sz w:val="22"/>
          <w:szCs w:val="22"/>
        </w:rPr>
        <w:t xml:space="preserve"> </w:t>
      </w:r>
      <w:r w:rsidRPr="00422F28">
        <w:rPr>
          <w:color w:val="000000"/>
          <w:sz w:val="22"/>
          <w:szCs w:val="22"/>
        </w:rPr>
        <w:t xml:space="preserve">identified, or disagreement with the basis of interpretation/valuation applied by the fund, to enable the FSCA to deal with the matter or issue identified in the appropriate manner. </w:t>
      </w:r>
      <w:r w:rsidRPr="00422F28">
        <w:rPr>
          <w:sz w:val="22"/>
          <w:szCs w:val="22"/>
        </w:rPr>
        <w:t xml:space="preserve">Guidance </w:t>
      </w:r>
      <w:r w:rsidR="002C626F">
        <w:rPr>
          <w:sz w:val="22"/>
          <w:szCs w:val="22"/>
        </w:rPr>
        <w:t>could</w:t>
      </w:r>
      <w:r w:rsidR="002C626F" w:rsidRPr="00422F28">
        <w:rPr>
          <w:sz w:val="22"/>
          <w:szCs w:val="22"/>
        </w:rPr>
        <w:t xml:space="preserve"> </w:t>
      </w:r>
      <w:r w:rsidRPr="00422F28">
        <w:rPr>
          <w:sz w:val="22"/>
          <w:szCs w:val="22"/>
        </w:rPr>
        <w:t xml:space="preserve">be </w:t>
      </w:r>
      <w:r w:rsidR="002C626F">
        <w:rPr>
          <w:sz w:val="22"/>
          <w:szCs w:val="22"/>
        </w:rPr>
        <w:t>obtained</w:t>
      </w:r>
      <w:r w:rsidR="002C626F" w:rsidRPr="00422F28">
        <w:rPr>
          <w:sz w:val="22"/>
          <w:szCs w:val="22"/>
        </w:rPr>
        <w:t xml:space="preserve"> </w:t>
      </w:r>
      <w:r w:rsidRPr="00422F28">
        <w:rPr>
          <w:sz w:val="22"/>
          <w:szCs w:val="22"/>
        </w:rPr>
        <w:t>from ISAE 3000 (Revised) paragraphs 74 – 77</w:t>
      </w:r>
      <w:r w:rsidR="002A617D">
        <w:rPr>
          <w:sz w:val="22"/>
          <w:szCs w:val="22"/>
        </w:rPr>
        <w:t>.</w:t>
      </w:r>
      <w:r w:rsidR="00D406D0" w:rsidRPr="00422F28">
        <w:rPr>
          <w:i/>
          <w:iCs/>
          <w:sz w:val="22"/>
          <w:szCs w:val="22"/>
        </w:rPr>
        <w:t xml:space="preserve"> </w:t>
      </w:r>
    </w:p>
    <w:p w14:paraId="57D3D1F6" w14:textId="79EE1A54" w:rsidR="00227628" w:rsidRPr="009D7339" w:rsidRDefault="00227628" w:rsidP="009D7339">
      <w:pPr>
        <w:pStyle w:val="EndnoteText"/>
        <w:keepNext/>
        <w:spacing w:after="120" w:line="271" w:lineRule="auto"/>
        <w:ind w:left="720" w:hanging="360"/>
        <w:rPr>
          <w:iCs/>
          <w:sz w:val="22"/>
          <w:szCs w:val="22"/>
          <w:u w:val="single"/>
        </w:rPr>
      </w:pPr>
      <w:r w:rsidRPr="009D7339">
        <w:rPr>
          <w:iCs/>
          <w:sz w:val="22"/>
          <w:szCs w:val="22"/>
          <w:u w:val="single"/>
        </w:rPr>
        <w:t xml:space="preserve">Example of the basis for disclaimer </w:t>
      </w:r>
      <w:r w:rsidR="009D7339">
        <w:rPr>
          <w:iCs/>
          <w:sz w:val="22"/>
          <w:szCs w:val="22"/>
          <w:u w:val="single"/>
        </w:rPr>
        <w:t xml:space="preserve">of </w:t>
      </w:r>
      <w:r w:rsidRPr="009D7339">
        <w:rPr>
          <w:iCs/>
          <w:sz w:val="22"/>
          <w:szCs w:val="22"/>
          <w:u w:val="single"/>
        </w:rPr>
        <w:t>opinion paragraph:</w:t>
      </w:r>
    </w:p>
    <w:p w14:paraId="2251FDC8" w14:textId="2679E119" w:rsidR="00227628" w:rsidRPr="005F6B1A" w:rsidRDefault="00227628" w:rsidP="005F6B1A">
      <w:pPr>
        <w:pStyle w:val="BodyText"/>
        <w:keepNext/>
        <w:numPr>
          <w:ilvl w:val="0"/>
          <w:numId w:val="7"/>
        </w:numPr>
        <w:tabs>
          <w:tab w:val="left" w:pos="720"/>
        </w:tabs>
        <w:autoSpaceDE w:val="0"/>
        <w:autoSpaceDN w:val="0"/>
        <w:spacing w:after="120" w:line="271" w:lineRule="auto"/>
        <w:jc w:val="both"/>
        <w:rPr>
          <w:rFonts w:eastAsia="Arial"/>
          <w:iCs/>
          <w:sz w:val="22"/>
          <w:szCs w:val="22"/>
        </w:rPr>
      </w:pPr>
      <w:r w:rsidRPr="009D7339">
        <w:rPr>
          <w:rFonts w:eastAsia="Arial"/>
          <w:iCs/>
          <w:sz w:val="22"/>
          <w:szCs w:val="22"/>
        </w:rPr>
        <w:t xml:space="preserve">Regulation (4)(a) requires that Schedule IB be prepared on a look-through basis. The Fund was not able to provide us with the necessary supporting documentation and confirmations we consider necessary for audit purposes. We were unable to confirm or verify </w:t>
      </w:r>
      <w:r w:rsidR="009D7339">
        <w:rPr>
          <w:rFonts w:eastAsia="Arial"/>
          <w:iCs/>
          <w:sz w:val="22"/>
          <w:szCs w:val="22"/>
        </w:rPr>
        <w:t>the</w:t>
      </w:r>
      <w:r w:rsidRPr="009D7339">
        <w:rPr>
          <w:rFonts w:eastAsia="Arial"/>
          <w:iCs/>
          <w:sz w:val="22"/>
          <w:szCs w:val="22"/>
        </w:rPr>
        <w:t xml:space="preserve"> information included in Schedule IB</w:t>
      </w:r>
      <w:r w:rsidR="009D7339">
        <w:rPr>
          <w:rFonts w:eastAsia="Arial"/>
          <w:iCs/>
          <w:sz w:val="22"/>
          <w:szCs w:val="22"/>
        </w:rPr>
        <w:t xml:space="preserve"> </w:t>
      </w:r>
      <w:r w:rsidR="009D7339" w:rsidRPr="009D7339">
        <w:rPr>
          <w:rFonts w:eastAsia="Arial"/>
          <w:iCs/>
          <w:sz w:val="22"/>
          <w:szCs w:val="22"/>
        </w:rPr>
        <w:t>by alternative means</w:t>
      </w:r>
      <w:r w:rsidRPr="009D7339">
        <w:rPr>
          <w:rFonts w:eastAsia="Arial"/>
          <w:iCs/>
          <w:sz w:val="22"/>
          <w:szCs w:val="22"/>
        </w:rPr>
        <w:t xml:space="preserve">. </w:t>
      </w:r>
    </w:p>
    <w:p w14:paraId="1AF60393" w14:textId="77777777" w:rsidR="009C1109" w:rsidRPr="00422F28" w:rsidRDefault="009C1109" w:rsidP="00422F28">
      <w:pPr>
        <w:pStyle w:val="EndnoteText"/>
        <w:spacing w:after="120" w:line="271" w:lineRule="auto"/>
        <w:rPr>
          <w:sz w:val="22"/>
          <w:szCs w:val="22"/>
          <w:lang w:val="en-US"/>
        </w:rPr>
      </w:pPr>
    </w:p>
  </w:endnote>
  <w:endnote w:id="12">
    <w:p w14:paraId="13B7C886" w14:textId="7F87FCFF" w:rsidR="003C0876" w:rsidRPr="00422F28" w:rsidRDefault="009C1109" w:rsidP="00422F28">
      <w:pPr>
        <w:pStyle w:val="EndnoteText"/>
        <w:spacing w:after="120" w:line="271" w:lineRule="auto"/>
        <w:ind w:left="360" w:hanging="360"/>
        <w:rPr>
          <w:i/>
          <w:iCs/>
          <w:sz w:val="22"/>
          <w:szCs w:val="22"/>
        </w:rPr>
      </w:pPr>
      <w:r w:rsidRPr="00422F28">
        <w:rPr>
          <w:rStyle w:val="EndnoteReference"/>
          <w:sz w:val="22"/>
          <w:szCs w:val="22"/>
        </w:rPr>
        <w:endnoteRef/>
      </w:r>
      <w:r w:rsidRPr="00422F28">
        <w:rPr>
          <w:sz w:val="22"/>
          <w:szCs w:val="22"/>
        </w:rPr>
        <w:t xml:space="preserve"> </w:t>
      </w:r>
      <w:r w:rsidR="00B71715" w:rsidRPr="00422F28">
        <w:rPr>
          <w:sz w:val="22"/>
          <w:szCs w:val="22"/>
        </w:rPr>
        <w:tab/>
      </w:r>
      <w:r w:rsidRPr="00422F28">
        <w:rPr>
          <w:color w:val="000000"/>
          <w:sz w:val="22"/>
          <w:szCs w:val="22"/>
        </w:rPr>
        <w:t xml:space="preserve">Should the auditor’s </w:t>
      </w:r>
      <w:r w:rsidRPr="00422F28">
        <w:rPr>
          <w:sz w:val="22"/>
          <w:szCs w:val="22"/>
        </w:rPr>
        <w:t>opinion</w:t>
      </w:r>
      <w:r w:rsidRPr="00422F28">
        <w:rPr>
          <w:color w:val="000000"/>
          <w:sz w:val="22"/>
          <w:szCs w:val="22"/>
        </w:rPr>
        <w:t xml:space="preserve"> be an adverse opinion, then the basis for adverse </w:t>
      </w:r>
      <w:r w:rsidRPr="00422F28">
        <w:rPr>
          <w:sz w:val="22"/>
          <w:szCs w:val="22"/>
        </w:rPr>
        <w:t>opinion</w:t>
      </w:r>
      <w:r w:rsidRPr="00422F28">
        <w:rPr>
          <w:color w:val="000000"/>
          <w:sz w:val="22"/>
          <w:szCs w:val="22"/>
        </w:rPr>
        <w:t xml:space="preserve"> paragraph should be included in the report. The paragraph should provide sufficient detail regarding the instances of non-compliance with Regulation 28 </w:t>
      </w:r>
      <w:r w:rsidR="0010470C" w:rsidRPr="00651832">
        <w:rPr>
          <w:color w:val="000000"/>
          <w:sz w:val="22"/>
          <w:szCs w:val="22"/>
        </w:rPr>
        <w:t>(3</w:t>
      </w:r>
      <w:r w:rsidR="0010470C">
        <w:rPr>
          <w:color w:val="000000"/>
          <w:sz w:val="22"/>
          <w:szCs w:val="22"/>
        </w:rPr>
        <w:t>)</w:t>
      </w:r>
      <w:r w:rsidR="0010470C" w:rsidRPr="00651832">
        <w:rPr>
          <w:color w:val="000000"/>
          <w:sz w:val="22"/>
          <w:szCs w:val="22"/>
        </w:rPr>
        <w:t>(a), (3</w:t>
      </w:r>
      <w:r w:rsidR="0010470C">
        <w:rPr>
          <w:color w:val="000000"/>
          <w:sz w:val="22"/>
          <w:szCs w:val="22"/>
        </w:rPr>
        <w:t>)</w:t>
      </w:r>
      <w:r w:rsidR="0010470C" w:rsidRPr="00651832">
        <w:rPr>
          <w:color w:val="000000"/>
          <w:sz w:val="22"/>
          <w:szCs w:val="22"/>
        </w:rPr>
        <w:t xml:space="preserve">(c), </w:t>
      </w:r>
      <w:r w:rsidR="0010470C">
        <w:rPr>
          <w:color w:val="000000"/>
          <w:sz w:val="22"/>
          <w:szCs w:val="22"/>
        </w:rPr>
        <w:t>(3)</w:t>
      </w:r>
      <w:r w:rsidR="0010470C" w:rsidRPr="00651832">
        <w:rPr>
          <w:color w:val="000000"/>
          <w:sz w:val="22"/>
          <w:szCs w:val="22"/>
        </w:rPr>
        <w:t>(e)-(j), (4), (8) and (9)</w:t>
      </w:r>
      <w:r w:rsidR="006B1C01">
        <w:rPr>
          <w:color w:val="000000"/>
          <w:sz w:val="22"/>
          <w:szCs w:val="22"/>
        </w:rPr>
        <w:t xml:space="preserve"> </w:t>
      </w:r>
      <w:r w:rsidRPr="00422F28">
        <w:rPr>
          <w:color w:val="000000"/>
          <w:sz w:val="22"/>
          <w:szCs w:val="22"/>
        </w:rPr>
        <w:t xml:space="preserve">identified, or disagreement with the basis of interpretation/valuation applied by the fund, to enable the FSCA to deal with the matter or issue identified in the appropriate manner. </w:t>
      </w:r>
      <w:r w:rsidRPr="00422F28">
        <w:rPr>
          <w:sz w:val="22"/>
          <w:szCs w:val="22"/>
        </w:rPr>
        <w:t xml:space="preserve">Guidance </w:t>
      </w:r>
      <w:r w:rsidR="002C626F">
        <w:rPr>
          <w:sz w:val="22"/>
          <w:szCs w:val="22"/>
        </w:rPr>
        <w:t>could</w:t>
      </w:r>
      <w:r w:rsidR="002C626F" w:rsidRPr="00422F28">
        <w:rPr>
          <w:sz w:val="22"/>
          <w:szCs w:val="22"/>
        </w:rPr>
        <w:t xml:space="preserve"> </w:t>
      </w:r>
      <w:r w:rsidRPr="00422F28">
        <w:rPr>
          <w:sz w:val="22"/>
          <w:szCs w:val="22"/>
        </w:rPr>
        <w:t xml:space="preserve">be </w:t>
      </w:r>
      <w:r w:rsidR="002C626F">
        <w:rPr>
          <w:sz w:val="22"/>
          <w:szCs w:val="22"/>
        </w:rPr>
        <w:t>obtained</w:t>
      </w:r>
      <w:r w:rsidR="002C626F" w:rsidRPr="00422F28">
        <w:rPr>
          <w:sz w:val="22"/>
          <w:szCs w:val="22"/>
        </w:rPr>
        <w:t xml:space="preserve"> </w:t>
      </w:r>
      <w:r w:rsidRPr="00422F28">
        <w:rPr>
          <w:sz w:val="22"/>
          <w:szCs w:val="22"/>
        </w:rPr>
        <w:t>from ISAE 3000 (Revised) paragraphs 74 – 77</w:t>
      </w:r>
      <w:r w:rsidR="00D406D0" w:rsidRPr="00422F28">
        <w:rPr>
          <w:i/>
          <w:iCs/>
          <w:sz w:val="22"/>
          <w:szCs w:val="22"/>
        </w:rPr>
        <w:t xml:space="preserve"> </w:t>
      </w:r>
    </w:p>
    <w:p w14:paraId="39261798" w14:textId="1DAE2CA7" w:rsidR="003C0876" w:rsidRPr="00422F28" w:rsidRDefault="003C0876" w:rsidP="00422F28">
      <w:pPr>
        <w:pStyle w:val="EndnoteText"/>
        <w:keepNext/>
        <w:spacing w:after="120" w:line="271" w:lineRule="auto"/>
        <w:ind w:left="720" w:hanging="360"/>
        <w:rPr>
          <w:iCs/>
          <w:sz w:val="22"/>
          <w:szCs w:val="22"/>
          <w:u w:val="single"/>
        </w:rPr>
      </w:pPr>
      <w:r w:rsidRPr="00422F28">
        <w:rPr>
          <w:iCs/>
          <w:sz w:val="22"/>
          <w:szCs w:val="22"/>
          <w:u w:val="single"/>
        </w:rPr>
        <w:t>Example of the basis for adverse opinion paragraph:</w:t>
      </w:r>
    </w:p>
    <w:p w14:paraId="60BF88A3" w14:textId="3A38839E" w:rsidR="009C1109" w:rsidRPr="00422F28" w:rsidRDefault="00D40307" w:rsidP="00422F28">
      <w:pPr>
        <w:pStyle w:val="BodyText"/>
        <w:keepNext/>
        <w:numPr>
          <w:ilvl w:val="0"/>
          <w:numId w:val="7"/>
        </w:numPr>
        <w:autoSpaceDE w:val="0"/>
        <w:autoSpaceDN w:val="0"/>
        <w:spacing w:after="120" w:line="271" w:lineRule="auto"/>
        <w:jc w:val="both"/>
        <w:rPr>
          <w:rFonts w:eastAsia="Arial"/>
          <w:iCs/>
          <w:sz w:val="22"/>
          <w:szCs w:val="22"/>
        </w:rPr>
      </w:pPr>
      <w:r w:rsidRPr="00422F28">
        <w:rPr>
          <w:rFonts w:eastAsia="Arial"/>
          <w:iCs/>
          <w:sz w:val="22"/>
          <w:szCs w:val="22"/>
        </w:rPr>
        <w:t xml:space="preserve">Regulation </w:t>
      </w:r>
      <w:r w:rsidR="00B16B07">
        <w:rPr>
          <w:rFonts w:eastAsia="Arial"/>
          <w:iCs/>
          <w:sz w:val="22"/>
          <w:szCs w:val="22"/>
        </w:rPr>
        <w:t>28</w:t>
      </w:r>
      <w:r w:rsidRPr="00422F28">
        <w:rPr>
          <w:rFonts w:eastAsia="Arial"/>
          <w:iCs/>
          <w:sz w:val="22"/>
          <w:szCs w:val="22"/>
        </w:rPr>
        <w:t>(4)</w:t>
      </w:r>
      <w:r w:rsidR="00574414" w:rsidRPr="00422F28">
        <w:rPr>
          <w:rFonts w:eastAsia="Arial"/>
          <w:iCs/>
          <w:sz w:val="22"/>
          <w:szCs w:val="22"/>
        </w:rPr>
        <w:t xml:space="preserve">(a) requires that </w:t>
      </w:r>
      <w:r w:rsidR="00BE0580" w:rsidRPr="00422F28">
        <w:rPr>
          <w:rFonts w:eastAsia="Arial"/>
          <w:iCs/>
          <w:sz w:val="22"/>
          <w:szCs w:val="22"/>
        </w:rPr>
        <w:t xml:space="preserve">Schedule </w:t>
      </w:r>
      <w:r w:rsidRPr="00422F28">
        <w:rPr>
          <w:rFonts w:eastAsia="Arial"/>
          <w:iCs/>
          <w:sz w:val="22"/>
          <w:szCs w:val="22"/>
        </w:rPr>
        <w:t xml:space="preserve">IB </w:t>
      </w:r>
      <w:r w:rsidR="00BE0580" w:rsidRPr="00422F28">
        <w:rPr>
          <w:rFonts w:eastAsia="Arial"/>
          <w:iCs/>
          <w:sz w:val="22"/>
          <w:szCs w:val="22"/>
        </w:rPr>
        <w:t>be prepared on a look-</w:t>
      </w:r>
      <w:r w:rsidRPr="00422F28">
        <w:rPr>
          <w:rFonts w:eastAsia="Arial"/>
          <w:iCs/>
          <w:sz w:val="22"/>
          <w:szCs w:val="22"/>
        </w:rPr>
        <w:t>through basis. Where the F</w:t>
      </w:r>
      <w:r w:rsidR="00574414" w:rsidRPr="00422F28">
        <w:rPr>
          <w:rFonts w:eastAsia="Arial"/>
          <w:iCs/>
          <w:sz w:val="22"/>
          <w:szCs w:val="22"/>
        </w:rPr>
        <w:t>und obtains auditors</w:t>
      </w:r>
      <w:r w:rsidR="00BE0580" w:rsidRPr="00422F28">
        <w:rPr>
          <w:rFonts w:eastAsia="Arial"/>
          <w:iCs/>
          <w:sz w:val="22"/>
          <w:szCs w:val="22"/>
        </w:rPr>
        <w:t>’</w:t>
      </w:r>
      <w:r w:rsidR="00574414" w:rsidRPr="00422F28">
        <w:rPr>
          <w:rFonts w:eastAsia="Arial"/>
          <w:iCs/>
          <w:sz w:val="22"/>
          <w:szCs w:val="22"/>
        </w:rPr>
        <w:t xml:space="preserve"> reports confir</w:t>
      </w:r>
      <w:r w:rsidR="006B1C01">
        <w:rPr>
          <w:rFonts w:eastAsia="Arial"/>
          <w:iCs/>
          <w:sz w:val="22"/>
          <w:szCs w:val="22"/>
        </w:rPr>
        <w:t>ming compliance with Regulation </w:t>
      </w:r>
      <w:r w:rsidR="00574414" w:rsidRPr="00422F28">
        <w:rPr>
          <w:rFonts w:eastAsia="Arial"/>
          <w:iCs/>
          <w:sz w:val="22"/>
          <w:szCs w:val="22"/>
        </w:rPr>
        <w:t xml:space="preserve">28 from the auditors </w:t>
      </w:r>
      <w:r w:rsidR="00BE0580" w:rsidRPr="00422F28">
        <w:rPr>
          <w:rFonts w:eastAsia="Arial"/>
          <w:iCs/>
          <w:sz w:val="22"/>
          <w:szCs w:val="22"/>
        </w:rPr>
        <w:t>of the linked</w:t>
      </w:r>
      <w:r w:rsidR="00FF7713" w:rsidRPr="00422F28">
        <w:rPr>
          <w:rFonts w:eastAsia="Arial"/>
          <w:iCs/>
          <w:sz w:val="22"/>
          <w:szCs w:val="22"/>
        </w:rPr>
        <w:t xml:space="preserve"> insurance policies and</w:t>
      </w:r>
      <w:r w:rsidR="00574414" w:rsidRPr="00422F28">
        <w:rPr>
          <w:rFonts w:eastAsia="Arial"/>
          <w:iCs/>
          <w:sz w:val="22"/>
          <w:szCs w:val="22"/>
        </w:rPr>
        <w:t xml:space="preserve"> collective investment scheme</w:t>
      </w:r>
      <w:r w:rsidR="00BE0580" w:rsidRPr="00422F28">
        <w:rPr>
          <w:rFonts w:eastAsia="Arial"/>
          <w:iCs/>
          <w:sz w:val="22"/>
          <w:szCs w:val="22"/>
        </w:rPr>
        <w:t>s</w:t>
      </w:r>
      <w:r w:rsidR="00FF7713" w:rsidRPr="00422F28">
        <w:rPr>
          <w:rFonts w:eastAsia="Arial"/>
          <w:iCs/>
          <w:sz w:val="22"/>
          <w:szCs w:val="22"/>
        </w:rPr>
        <w:t>, the F</w:t>
      </w:r>
      <w:r w:rsidR="00574414" w:rsidRPr="00422F28">
        <w:rPr>
          <w:rFonts w:eastAsia="Arial"/>
          <w:iCs/>
          <w:sz w:val="22"/>
          <w:szCs w:val="22"/>
        </w:rPr>
        <w:t>und is exempted from applying the look</w:t>
      </w:r>
      <w:r w:rsidR="00BE0580" w:rsidRPr="00422F28">
        <w:rPr>
          <w:rFonts w:eastAsia="Arial"/>
          <w:iCs/>
          <w:sz w:val="22"/>
          <w:szCs w:val="22"/>
        </w:rPr>
        <w:t>-</w:t>
      </w:r>
      <w:r w:rsidRPr="00422F28">
        <w:rPr>
          <w:rFonts w:eastAsia="Arial"/>
          <w:iCs/>
          <w:sz w:val="22"/>
          <w:szCs w:val="22"/>
        </w:rPr>
        <w:t>through principle. The F</w:t>
      </w:r>
      <w:r w:rsidR="00574414" w:rsidRPr="00422F28">
        <w:rPr>
          <w:rFonts w:eastAsia="Arial"/>
          <w:iCs/>
          <w:sz w:val="22"/>
          <w:szCs w:val="22"/>
        </w:rPr>
        <w:t xml:space="preserve">und has not obtained the necessary confirmations, </w:t>
      </w:r>
      <w:r w:rsidR="00B16B07">
        <w:rPr>
          <w:rFonts w:eastAsia="Arial"/>
          <w:iCs/>
          <w:sz w:val="22"/>
          <w:szCs w:val="22"/>
        </w:rPr>
        <w:t xml:space="preserve">and </w:t>
      </w:r>
      <w:r w:rsidR="00574414" w:rsidRPr="00422F28">
        <w:rPr>
          <w:rFonts w:eastAsia="Arial"/>
          <w:iCs/>
          <w:sz w:val="22"/>
          <w:szCs w:val="22"/>
        </w:rPr>
        <w:t>as such should have prepared Schedule</w:t>
      </w:r>
      <w:r w:rsidRPr="00422F28">
        <w:rPr>
          <w:rFonts w:eastAsia="Arial"/>
          <w:iCs/>
          <w:sz w:val="22"/>
          <w:szCs w:val="22"/>
        </w:rPr>
        <w:t xml:space="preserve"> IB</w:t>
      </w:r>
      <w:r w:rsidR="00574414" w:rsidRPr="00422F28">
        <w:rPr>
          <w:rFonts w:eastAsia="Arial"/>
          <w:iCs/>
          <w:sz w:val="22"/>
          <w:szCs w:val="22"/>
        </w:rPr>
        <w:t xml:space="preserve"> on the look</w:t>
      </w:r>
      <w:r w:rsidR="00BE0580" w:rsidRPr="00422F28">
        <w:rPr>
          <w:rFonts w:eastAsia="Arial"/>
          <w:iCs/>
          <w:sz w:val="22"/>
          <w:szCs w:val="22"/>
        </w:rPr>
        <w:t>-</w:t>
      </w:r>
      <w:r w:rsidR="00574414" w:rsidRPr="00422F28">
        <w:rPr>
          <w:rFonts w:eastAsia="Arial"/>
          <w:iCs/>
          <w:sz w:val="22"/>
          <w:szCs w:val="22"/>
        </w:rPr>
        <w:t>through basis. Had the look</w:t>
      </w:r>
      <w:r w:rsidR="00BE0580" w:rsidRPr="00422F28">
        <w:rPr>
          <w:rFonts w:eastAsia="Arial"/>
          <w:iCs/>
          <w:sz w:val="22"/>
          <w:szCs w:val="22"/>
        </w:rPr>
        <w:t>-</w:t>
      </w:r>
      <w:r w:rsidR="00574414" w:rsidRPr="00422F28">
        <w:rPr>
          <w:rFonts w:eastAsia="Arial"/>
          <w:iCs/>
          <w:sz w:val="22"/>
          <w:szCs w:val="22"/>
        </w:rPr>
        <w:t xml:space="preserve">through basis </w:t>
      </w:r>
      <w:r w:rsidR="00CA3081">
        <w:rPr>
          <w:rFonts w:eastAsia="Arial"/>
          <w:iCs/>
          <w:sz w:val="22"/>
          <w:szCs w:val="22"/>
        </w:rPr>
        <w:t xml:space="preserve">been </w:t>
      </w:r>
      <w:r w:rsidR="00574414" w:rsidRPr="00422F28">
        <w:rPr>
          <w:rFonts w:eastAsia="Arial"/>
          <w:iCs/>
          <w:sz w:val="22"/>
          <w:szCs w:val="22"/>
        </w:rPr>
        <w:t xml:space="preserve">applied, many of the categories set out in Schedule </w:t>
      </w:r>
      <w:r w:rsidRPr="00422F28">
        <w:rPr>
          <w:rFonts w:eastAsia="Arial"/>
          <w:iCs/>
          <w:sz w:val="22"/>
          <w:szCs w:val="22"/>
        </w:rPr>
        <w:t xml:space="preserve">IB </w:t>
      </w:r>
      <w:r w:rsidR="00574414" w:rsidRPr="00422F28">
        <w:rPr>
          <w:rFonts w:eastAsia="Arial"/>
          <w:iCs/>
          <w:sz w:val="22"/>
          <w:szCs w:val="22"/>
        </w:rPr>
        <w:t>would have been materially affected and th</w:t>
      </w:r>
      <w:r w:rsidR="00FF7713" w:rsidRPr="00422F28">
        <w:rPr>
          <w:rFonts w:eastAsia="Arial"/>
          <w:iCs/>
          <w:sz w:val="22"/>
          <w:szCs w:val="22"/>
        </w:rPr>
        <w:t>erefore the departure from the r</w:t>
      </w:r>
      <w:r w:rsidR="00574414" w:rsidRPr="00422F28">
        <w:rPr>
          <w:rFonts w:eastAsia="Arial"/>
          <w:iCs/>
          <w:sz w:val="22"/>
          <w:szCs w:val="22"/>
        </w:rPr>
        <w:t xml:space="preserve">equirements of </w:t>
      </w:r>
      <w:r w:rsidR="00FF7713" w:rsidRPr="00422F28">
        <w:rPr>
          <w:rFonts w:eastAsia="Arial"/>
          <w:iCs/>
          <w:sz w:val="22"/>
          <w:szCs w:val="22"/>
        </w:rPr>
        <w:t>Regulation 28</w:t>
      </w:r>
      <w:r w:rsidR="00574414" w:rsidRPr="00422F28">
        <w:rPr>
          <w:rFonts w:eastAsia="Arial"/>
          <w:iCs/>
          <w:sz w:val="22"/>
          <w:szCs w:val="22"/>
        </w:rPr>
        <w:t xml:space="preserve"> </w:t>
      </w:r>
      <w:r w:rsidR="00FF7713" w:rsidRPr="00422F28">
        <w:rPr>
          <w:rFonts w:eastAsia="Arial"/>
          <w:iCs/>
          <w:sz w:val="22"/>
          <w:szCs w:val="22"/>
        </w:rPr>
        <w:t>is</w:t>
      </w:r>
      <w:r w:rsidR="00574414" w:rsidRPr="00422F28">
        <w:rPr>
          <w:rFonts w:eastAsia="Arial"/>
          <w:iCs/>
          <w:sz w:val="22"/>
          <w:szCs w:val="22"/>
        </w:rPr>
        <w:t xml:space="preserve"> considered to be pervasive. The effects on the Schedule of this departure have not been determined.</w:t>
      </w:r>
    </w:p>
    <w:p w14:paraId="12992CF1" w14:textId="77777777" w:rsidR="00574414" w:rsidRPr="00422F28" w:rsidRDefault="00574414" w:rsidP="00422F28">
      <w:pPr>
        <w:pStyle w:val="EndnoteText"/>
        <w:spacing w:after="120" w:line="271" w:lineRule="auto"/>
        <w:rPr>
          <w:sz w:val="22"/>
          <w:szCs w:val="22"/>
          <w:lang w:val="en-US"/>
        </w:rPr>
      </w:pPr>
    </w:p>
  </w:endnote>
  <w:endnote w:id="13">
    <w:p w14:paraId="72CCBF25" w14:textId="2C2AB274" w:rsidR="005B6A57" w:rsidRDefault="008C5F48">
      <w:pPr>
        <w:pStyle w:val="Heading1"/>
        <w:spacing w:before="0"/>
        <w:ind w:left="360" w:hanging="360"/>
        <w:rPr>
          <w:b w:val="0"/>
          <w:color w:val="000000"/>
          <w:sz w:val="22"/>
          <w:szCs w:val="22"/>
        </w:rPr>
      </w:pPr>
      <w:r w:rsidRPr="00422F28">
        <w:rPr>
          <w:rStyle w:val="EndnoteReference"/>
          <w:sz w:val="22"/>
          <w:szCs w:val="22"/>
        </w:rPr>
        <w:endnoteRef/>
      </w:r>
      <w:r w:rsidRPr="00422F28">
        <w:rPr>
          <w:sz w:val="22"/>
          <w:szCs w:val="22"/>
        </w:rPr>
        <w:t xml:space="preserve"> </w:t>
      </w:r>
      <w:r w:rsidR="00B71715" w:rsidRPr="00422F28">
        <w:rPr>
          <w:sz w:val="22"/>
          <w:szCs w:val="22"/>
        </w:rPr>
        <w:tab/>
      </w:r>
      <w:r w:rsidR="00D406D0" w:rsidRPr="00422F28">
        <w:rPr>
          <w:b w:val="0"/>
          <w:color w:val="000000"/>
          <w:sz w:val="22"/>
          <w:szCs w:val="22"/>
        </w:rPr>
        <w:t>An “emphasis of matter” paragraph is used to draw users’ attention to a matte</w:t>
      </w:r>
      <w:r w:rsidR="00AA43BE" w:rsidRPr="00422F28">
        <w:rPr>
          <w:b w:val="0"/>
          <w:color w:val="000000"/>
          <w:sz w:val="22"/>
          <w:szCs w:val="22"/>
        </w:rPr>
        <w:t xml:space="preserve">r presented or disclosed in Schedule IB </w:t>
      </w:r>
      <w:r w:rsidR="00D406D0" w:rsidRPr="00422F28">
        <w:rPr>
          <w:b w:val="0"/>
          <w:color w:val="000000"/>
          <w:sz w:val="22"/>
          <w:szCs w:val="22"/>
        </w:rPr>
        <w:t xml:space="preserve">that, in the auditor’s judgment, is of such importance that it is fundamental to users’ understanding of </w:t>
      </w:r>
      <w:r w:rsidR="00AA43BE" w:rsidRPr="00422F28">
        <w:rPr>
          <w:b w:val="0"/>
          <w:color w:val="000000"/>
          <w:sz w:val="22"/>
          <w:szCs w:val="22"/>
        </w:rPr>
        <w:t>Schedule IB</w:t>
      </w:r>
      <w:r w:rsidR="00D406D0" w:rsidRPr="00422F28">
        <w:rPr>
          <w:b w:val="0"/>
          <w:color w:val="000000"/>
          <w:sz w:val="22"/>
          <w:szCs w:val="22"/>
        </w:rPr>
        <w:t>.</w:t>
      </w:r>
      <w:r w:rsidR="004E0584" w:rsidRPr="00422F28">
        <w:rPr>
          <w:b w:val="0"/>
          <w:color w:val="000000"/>
          <w:sz w:val="22"/>
          <w:szCs w:val="22"/>
        </w:rPr>
        <w:t xml:space="preserve"> </w:t>
      </w:r>
      <w:r w:rsidR="001F6DFF" w:rsidRPr="00B11F76">
        <w:rPr>
          <w:b w:val="0"/>
          <w:color w:val="000000"/>
          <w:sz w:val="22"/>
          <w:szCs w:val="22"/>
        </w:rPr>
        <w:t>The user consider</w:t>
      </w:r>
      <w:r w:rsidR="00CE2EAC" w:rsidRPr="00B11F76">
        <w:rPr>
          <w:b w:val="0"/>
          <w:color w:val="000000"/>
          <w:sz w:val="22"/>
          <w:szCs w:val="22"/>
        </w:rPr>
        <w:t>s</w:t>
      </w:r>
      <w:r w:rsidR="001F6DFF" w:rsidRPr="00B11F76">
        <w:rPr>
          <w:b w:val="0"/>
          <w:color w:val="000000"/>
          <w:sz w:val="22"/>
          <w:szCs w:val="22"/>
        </w:rPr>
        <w:t xml:space="preserve"> soft breaches of such importance that it is fundamental to </w:t>
      </w:r>
      <w:r w:rsidR="00CE2EAC" w:rsidRPr="00B11F76">
        <w:rPr>
          <w:b w:val="0"/>
          <w:color w:val="000000"/>
          <w:sz w:val="22"/>
          <w:szCs w:val="22"/>
        </w:rPr>
        <w:t>its</w:t>
      </w:r>
      <w:r w:rsidR="001F6DFF" w:rsidRPr="00B11F76">
        <w:rPr>
          <w:b w:val="0"/>
          <w:color w:val="000000"/>
          <w:sz w:val="22"/>
          <w:szCs w:val="22"/>
        </w:rPr>
        <w:t xml:space="preserve"> understanding of Schedule IB.</w:t>
      </w:r>
      <w:r w:rsidR="001F6DFF">
        <w:rPr>
          <w:b w:val="0"/>
          <w:color w:val="000000"/>
          <w:sz w:val="22"/>
          <w:szCs w:val="22"/>
        </w:rPr>
        <w:t xml:space="preserve"> </w:t>
      </w:r>
      <w:r w:rsidR="004E0584" w:rsidRPr="00422F28">
        <w:rPr>
          <w:b w:val="0"/>
          <w:color w:val="000000"/>
          <w:sz w:val="22"/>
          <w:szCs w:val="22"/>
        </w:rPr>
        <w:t>For example, limits exceeded as a result of market movements, as allowed for in Regulation 28(3)(j) (“soft breaches”), are reported in an emphasis of matter paragraph.</w:t>
      </w:r>
      <w:r w:rsidR="00795821" w:rsidRPr="00422F28">
        <w:rPr>
          <w:b w:val="0"/>
          <w:color w:val="000000"/>
          <w:sz w:val="22"/>
          <w:szCs w:val="22"/>
        </w:rPr>
        <w:t xml:space="preserve"> An “emphasis of matter” paragraph is included if the limit exceeded </w:t>
      </w:r>
      <w:r w:rsidR="004B27C6" w:rsidRPr="00422F28">
        <w:rPr>
          <w:b w:val="0"/>
          <w:color w:val="000000"/>
          <w:sz w:val="22"/>
          <w:szCs w:val="22"/>
        </w:rPr>
        <w:t xml:space="preserve">is </w:t>
      </w:r>
      <w:r w:rsidR="00795821" w:rsidRPr="00422F28">
        <w:rPr>
          <w:b w:val="0"/>
          <w:color w:val="000000"/>
          <w:sz w:val="22"/>
          <w:szCs w:val="22"/>
        </w:rPr>
        <w:t xml:space="preserve">due to </w:t>
      </w:r>
      <w:r w:rsidR="00840C37" w:rsidRPr="00422F28">
        <w:rPr>
          <w:b w:val="0"/>
          <w:color w:val="000000"/>
          <w:sz w:val="22"/>
          <w:szCs w:val="22"/>
        </w:rPr>
        <w:t xml:space="preserve">reasons other than </w:t>
      </w:r>
      <w:r w:rsidR="00A14BB4" w:rsidRPr="00422F28">
        <w:rPr>
          <w:b w:val="0"/>
          <w:color w:val="000000"/>
          <w:sz w:val="22"/>
          <w:szCs w:val="22"/>
        </w:rPr>
        <w:t xml:space="preserve">discretionary </w:t>
      </w:r>
      <w:r w:rsidR="008E74D0" w:rsidRPr="00422F28">
        <w:rPr>
          <w:b w:val="0"/>
          <w:color w:val="000000"/>
          <w:sz w:val="22"/>
          <w:szCs w:val="22"/>
        </w:rPr>
        <w:t>transacting</w:t>
      </w:r>
      <w:r w:rsidR="0042013E" w:rsidRPr="00422F28">
        <w:rPr>
          <w:b w:val="0"/>
          <w:color w:val="000000"/>
          <w:sz w:val="22"/>
          <w:szCs w:val="22"/>
        </w:rPr>
        <w:t xml:space="preserve"> (e.g. market movements)</w:t>
      </w:r>
      <w:r w:rsidR="00A14BB4" w:rsidRPr="00422F28">
        <w:rPr>
          <w:b w:val="0"/>
          <w:color w:val="000000"/>
          <w:sz w:val="22"/>
          <w:szCs w:val="22"/>
        </w:rPr>
        <w:t xml:space="preserve"> </w:t>
      </w:r>
      <w:r w:rsidR="004B27C6" w:rsidRPr="00422F28">
        <w:rPr>
          <w:b w:val="0"/>
          <w:color w:val="000000"/>
          <w:sz w:val="22"/>
          <w:szCs w:val="22"/>
        </w:rPr>
        <w:t xml:space="preserve">and </w:t>
      </w:r>
      <w:r w:rsidR="00733F29" w:rsidRPr="00422F28">
        <w:rPr>
          <w:b w:val="0"/>
          <w:color w:val="000000"/>
          <w:sz w:val="22"/>
          <w:szCs w:val="22"/>
        </w:rPr>
        <w:t>this explanation is</w:t>
      </w:r>
      <w:r w:rsidR="00795821" w:rsidRPr="00422F28">
        <w:rPr>
          <w:b w:val="0"/>
          <w:color w:val="000000"/>
          <w:sz w:val="22"/>
          <w:szCs w:val="22"/>
        </w:rPr>
        <w:t xml:space="preserve"> </w:t>
      </w:r>
      <w:r w:rsidR="00733F29" w:rsidRPr="00651832">
        <w:rPr>
          <w:color w:val="000000"/>
          <w:sz w:val="22"/>
          <w:szCs w:val="22"/>
        </w:rPr>
        <w:t xml:space="preserve">adequately </w:t>
      </w:r>
      <w:r w:rsidR="00795821" w:rsidRPr="00651832">
        <w:rPr>
          <w:color w:val="000000"/>
          <w:sz w:val="22"/>
          <w:szCs w:val="22"/>
        </w:rPr>
        <w:t>disclosed</w:t>
      </w:r>
      <w:r w:rsidR="00795821" w:rsidRPr="00422F28">
        <w:rPr>
          <w:b w:val="0"/>
          <w:color w:val="000000"/>
          <w:sz w:val="22"/>
          <w:szCs w:val="22"/>
        </w:rPr>
        <w:t xml:space="preserve"> in a note to Schedule IB.</w:t>
      </w:r>
      <w:r w:rsidR="00C83971" w:rsidRPr="00422F28">
        <w:rPr>
          <w:b w:val="0"/>
          <w:color w:val="000000"/>
          <w:sz w:val="22"/>
          <w:szCs w:val="22"/>
        </w:rPr>
        <w:t xml:space="preserve"> </w:t>
      </w:r>
    </w:p>
    <w:p w14:paraId="0144053A" w14:textId="2F455C0F" w:rsidR="00504333" w:rsidRPr="00422F28" w:rsidRDefault="00C83971" w:rsidP="00422F28">
      <w:pPr>
        <w:pStyle w:val="Heading1"/>
        <w:spacing w:before="0"/>
        <w:ind w:left="360"/>
        <w:rPr>
          <w:b w:val="0"/>
          <w:color w:val="000000"/>
          <w:sz w:val="22"/>
          <w:szCs w:val="22"/>
        </w:rPr>
      </w:pPr>
      <w:r w:rsidRPr="00422F28">
        <w:rPr>
          <w:b w:val="0"/>
          <w:color w:val="000000"/>
          <w:sz w:val="22"/>
          <w:szCs w:val="22"/>
        </w:rPr>
        <w:t>Refer to ISAE 3000 (Revised) paragraphs 68 and 73(a)</w:t>
      </w:r>
      <w:r w:rsidR="002A617D">
        <w:rPr>
          <w:b w:val="0"/>
          <w:color w:val="000000"/>
          <w:sz w:val="22"/>
          <w:szCs w:val="22"/>
        </w:rPr>
        <w:t>.</w:t>
      </w:r>
    </w:p>
    <w:p w14:paraId="2BD5E37D" w14:textId="1E38AC41" w:rsidR="00D406D0" w:rsidRPr="00422F28" w:rsidRDefault="00AA43BE" w:rsidP="00422F28">
      <w:pPr>
        <w:pStyle w:val="CommentText"/>
        <w:spacing w:line="271" w:lineRule="auto"/>
        <w:ind w:left="360"/>
        <w:rPr>
          <w:iCs/>
          <w:sz w:val="22"/>
          <w:szCs w:val="22"/>
          <w:u w:val="single"/>
        </w:rPr>
      </w:pPr>
      <w:r w:rsidRPr="00F63AB2">
        <w:rPr>
          <w:iCs/>
          <w:sz w:val="22"/>
          <w:szCs w:val="22"/>
          <w:u w:val="single"/>
        </w:rPr>
        <w:t>E</w:t>
      </w:r>
      <w:r w:rsidR="00D406D0" w:rsidRPr="00F63AB2">
        <w:rPr>
          <w:iCs/>
          <w:sz w:val="22"/>
          <w:szCs w:val="22"/>
          <w:u w:val="single"/>
        </w:rPr>
        <w:t>xamples o</w:t>
      </w:r>
      <w:r w:rsidRPr="00422F28">
        <w:rPr>
          <w:iCs/>
          <w:sz w:val="22"/>
          <w:szCs w:val="22"/>
          <w:u w:val="single"/>
        </w:rPr>
        <w:t>f emphasis of matter paragraphs:</w:t>
      </w:r>
    </w:p>
    <w:p w14:paraId="038F2DAC" w14:textId="3AF6FCFC" w:rsidR="00574414" w:rsidRPr="00422F28" w:rsidRDefault="00574414" w:rsidP="00422F28">
      <w:pPr>
        <w:pStyle w:val="BodyText"/>
        <w:keepNext/>
        <w:numPr>
          <w:ilvl w:val="0"/>
          <w:numId w:val="7"/>
        </w:numPr>
        <w:autoSpaceDE w:val="0"/>
        <w:autoSpaceDN w:val="0"/>
        <w:spacing w:after="120" w:line="271" w:lineRule="auto"/>
        <w:jc w:val="both"/>
        <w:rPr>
          <w:rFonts w:eastAsia="Arial"/>
          <w:iCs/>
          <w:sz w:val="22"/>
          <w:szCs w:val="22"/>
        </w:rPr>
      </w:pPr>
      <w:r w:rsidRPr="00422F28">
        <w:rPr>
          <w:rFonts w:eastAsia="Arial"/>
          <w:iCs/>
          <w:sz w:val="22"/>
          <w:szCs w:val="22"/>
        </w:rPr>
        <w:t xml:space="preserve">We draw attention to Note X to Schedule </w:t>
      </w:r>
      <w:r w:rsidR="000027B7" w:rsidRPr="00422F28">
        <w:rPr>
          <w:rFonts w:eastAsia="Arial"/>
          <w:iCs/>
          <w:sz w:val="22"/>
          <w:szCs w:val="22"/>
        </w:rPr>
        <w:t xml:space="preserve">IB </w:t>
      </w:r>
      <w:r w:rsidRPr="00422F28">
        <w:rPr>
          <w:rFonts w:eastAsia="Arial"/>
          <w:iCs/>
          <w:sz w:val="22"/>
          <w:szCs w:val="22"/>
        </w:rPr>
        <w:t>which indicates that the aggreg</w:t>
      </w:r>
      <w:r w:rsidR="00AC49B5" w:rsidRPr="00422F28">
        <w:rPr>
          <w:rFonts w:eastAsia="Arial"/>
          <w:iCs/>
          <w:sz w:val="22"/>
          <w:szCs w:val="22"/>
        </w:rPr>
        <w:t>ate exposure to foreign assets</w:t>
      </w:r>
      <w:r w:rsidRPr="00422F28">
        <w:rPr>
          <w:rFonts w:eastAsia="Arial"/>
          <w:iCs/>
          <w:sz w:val="22"/>
          <w:szCs w:val="22"/>
        </w:rPr>
        <w:t>, expressed as a percentage of total assets exceeded the</w:t>
      </w:r>
      <w:r w:rsidR="006D28F8" w:rsidRPr="00422F28">
        <w:rPr>
          <w:rFonts w:eastAsia="Arial"/>
          <w:iCs/>
          <w:sz w:val="22"/>
          <w:szCs w:val="22"/>
        </w:rPr>
        <w:t xml:space="preserve"> maximum allowable percentage prescribed by Regulation 28(3)(i)</w:t>
      </w:r>
      <w:r w:rsidRPr="00422F28">
        <w:rPr>
          <w:rFonts w:eastAsia="Arial"/>
          <w:iCs/>
          <w:sz w:val="22"/>
          <w:szCs w:val="22"/>
        </w:rPr>
        <w:t xml:space="preserve">. As explained in Note X to the Schedule this </w:t>
      </w:r>
      <w:r w:rsidR="00556B3F" w:rsidRPr="00422F28">
        <w:rPr>
          <w:rFonts w:eastAsia="Arial"/>
          <w:iCs/>
          <w:sz w:val="22"/>
          <w:szCs w:val="22"/>
        </w:rPr>
        <w:t xml:space="preserve">limit was exceeded </w:t>
      </w:r>
      <w:r w:rsidRPr="00422F28">
        <w:rPr>
          <w:rFonts w:eastAsia="Arial"/>
          <w:iCs/>
          <w:sz w:val="22"/>
          <w:szCs w:val="22"/>
        </w:rPr>
        <w:t>due to market movements and not as a result of discret</w:t>
      </w:r>
      <w:r w:rsidR="00CB449A" w:rsidRPr="00422F28">
        <w:rPr>
          <w:rFonts w:eastAsia="Arial"/>
          <w:iCs/>
          <w:sz w:val="22"/>
          <w:szCs w:val="22"/>
        </w:rPr>
        <w:t>ionary transacting by the Fund.</w:t>
      </w:r>
      <w:r w:rsidRPr="00422F28">
        <w:rPr>
          <w:rFonts w:eastAsia="Arial"/>
          <w:iCs/>
          <w:sz w:val="22"/>
          <w:szCs w:val="22"/>
        </w:rPr>
        <w:t> Our opinion is not modified in respect of this matter.</w:t>
      </w:r>
    </w:p>
    <w:p w14:paraId="07DAF129" w14:textId="5F5C75EB" w:rsidR="008C5F48" w:rsidRPr="002A617D" w:rsidRDefault="002A617D" w:rsidP="002A617D">
      <w:pPr>
        <w:pStyle w:val="BodyText"/>
        <w:keepNext/>
        <w:numPr>
          <w:ilvl w:val="0"/>
          <w:numId w:val="7"/>
        </w:numPr>
        <w:autoSpaceDE w:val="0"/>
        <w:autoSpaceDN w:val="0"/>
        <w:spacing w:after="120" w:line="271" w:lineRule="auto"/>
        <w:jc w:val="both"/>
        <w:rPr>
          <w:rFonts w:eastAsia="Arial"/>
          <w:iCs/>
          <w:sz w:val="22"/>
          <w:szCs w:val="22"/>
        </w:rPr>
      </w:pPr>
      <w:r w:rsidRPr="002A617D">
        <w:rPr>
          <w:rFonts w:eastAsia="Arial"/>
          <w:iCs/>
          <w:sz w:val="22"/>
          <w:szCs w:val="22"/>
        </w:rPr>
        <w:t xml:space="preserve">We draw attention to Note X to Schedule </w:t>
      </w:r>
      <w:r>
        <w:rPr>
          <w:rFonts w:eastAsia="Arial"/>
          <w:iCs/>
          <w:sz w:val="22"/>
          <w:szCs w:val="22"/>
        </w:rPr>
        <w:t xml:space="preserve">IB </w:t>
      </w:r>
      <w:r w:rsidRPr="002A617D">
        <w:rPr>
          <w:rFonts w:eastAsia="Arial"/>
          <w:iCs/>
          <w:sz w:val="22"/>
          <w:szCs w:val="22"/>
        </w:rPr>
        <w:t>which indicates that the aggregate exposure to immovable property not listed on an exchange, expressed as a percentage of total assets</w:t>
      </w:r>
      <w:r>
        <w:rPr>
          <w:rFonts w:eastAsia="Arial"/>
          <w:iCs/>
          <w:sz w:val="22"/>
          <w:szCs w:val="22"/>
        </w:rPr>
        <w:t>,</w:t>
      </w:r>
      <w:r w:rsidRPr="002A617D">
        <w:rPr>
          <w:rFonts w:eastAsia="Arial"/>
          <w:iCs/>
          <w:sz w:val="22"/>
          <w:szCs w:val="22"/>
        </w:rPr>
        <w:t xml:space="preserve"> exceeded the 15% allowed by Regulation 28. As explained in Note X to Schedule </w:t>
      </w:r>
      <w:r>
        <w:rPr>
          <w:rFonts w:eastAsia="Arial"/>
          <w:iCs/>
          <w:sz w:val="22"/>
          <w:szCs w:val="22"/>
        </w:rPr>
        <w:t xml:space="preserve">IB </w:t>
      </w:r>
      <w:r w:rsidRPr="002A617D">
        <w:rPr>
          <w:rFonts w:eastAsia="Arial"/>
          <w:iCs/>
          <w:sz w:val="22"/>
          <w:szCs w:val="22"/>
        </w:rPr>
        <w:t>the Fund has received exemption from the Financial Sector Conduct Authority to invest up</w:t>
      </w:r>
      <w:r>
        <w:rPr>
          <w:rFonts w:eastAsia="Arial"/>
          <w:iCs/>
          <w:sz w:val="22"/>
          <w:szCs w:val="22"/>
        </w:rPr>
        <w:t xml:space="preserve"> to xx% in this category until &lt;insert </w:t>
      </w:r>
      <w:r w:rsidRPr="002A617D">
        <w:rPr>
          <w:rFonts w:eastAsia="Arial"/>
          <w:iCs/>
          <w:sz w:val="22"/>
          <w:szCs w:val="22"/>
        </w:rPr>
        <w:t>date</w:t>
      </w:r>
      <w:r>
        <w:rPr>
          <w:rFonts w:eastAsia="Arial"/>
          <w:iCs/>
          <w:sz w:val="22"/>
          <w:szCs w:val="22"/>
        </w:rPr>
        <w:t>&gt;</w:t>
      </w:r>
      <w:r w:rsidRPr="002A617D">
        <w:rPr>
          <w:rFonts w:eastAsia="Arial"/>
          <w:iCs/>
          <w:sz w:val="22"/>
          <w:szCs w:val="22"/>
        </w:rPr>
        <w:t>. Our opinion is not modified in respect of this matter.</w:t>
      </w:r>
    </w:p>
    <w:p w14:paraId="2A7E90BC" w14:textId="77777777" w:rsidR="002A617D" w:rsidRPr="00422F28" w:rsidRDefault="002A617D" w:rsidP="00422F28">
      <w:pPr>
        <w:pStyle w:val="EndnoteText"/>
        <w:spacing w:after="120" w:line="271" w:lineRule="auto"/>
        <w:rPr>
          <w:sz w:val="22"/>
          <w:szCs w:val="22"/>
          <w:lang w:val="en-US"/>
        </w:rPr>
      </w:pPr>
    </w:p>
  </w:endnote>
  <w:endnote w:id="14">
    <w:p w14:paraId="08089145" w14:textId="51554BDB" w:rsidR="0057643F" w:rsidRPr="00422F28" w:rsidRDefault="000A774A" w:rsidP="00422F28">
      <w:pPr>
        <w:pStyle w:val="EndnoteText"/>
        <w:spacing w:after="120" w:line="271" w:lineRule="auto"/>
        <w:ind w:left="360" w:hanging="360"/>
        <w:rPr>
          <w:sz w:val="22"/>
          <w:szCs w:val="22"/>
        </w:rPr>
      </w:pPr>
      <w:r w:rsidRPr="00422F28">
        <w:rPr>
          <w:rStyle w:val="EndnoteReference"/>
          <w:sz w:val="22"/>
          <w:szCs w:val="22"/>
        </w:rPr>
        <w:endnoteRef/>
      </w:r>
      <w:r w:rsidRPr="00422F28">
        <w:rPr>
          <w:sz w:val="22"/>
          <w:szCs w:val="22"/>
        </w:rPr>
        <w:t xml:space="preserve"> </w:t>
      </w:r>
      <w:r w:rsidR="00B71715" w:rsidRPr="00422F28">
        <w:rPr>
          <w:sz w:val="22"/>
          <w:szCs w:val="22"/>
        </w:rPr>
        <w:tab/>
      </w:r>
      <w:r w:rsidRPr="00422F28">
        <w:rPr>
          <w:sz w:val="22"/>
          <w:szCs w:val="22"/>
        </w:rPr>
        <w:t xml:space="preserve">An “other matter” paragraph is used to communicate matters other than those that are presented or disclosed in the subject matter information that, in the </w:t>
      </w:r>
      <w:r w:rsidR="00D406D0" w:rsidRPr="00422F28">
        <w:rPr>
          <w:sz w:val="22"/>
          <w:szCs w:val="22"/>
        </w:rPr>
        <w:t xml:space="preserve">auditor’s </w:t>
      </w:r>
      <w:r w:rsidRPr="00422F28">
        <w:rPr>
          <w:sz w:val="22"/>
          <w:szCs w:val="22"/>
        </w:rPr>
        <w:t xml:space="preserve">judgement, is relevant to the intended user’s understanding of the engagement, the </w:t>
      </w:r>
      <w:r w:rsidR="00D406D0" w:rsidRPr="00422F28">
        <w:rPr>
          <w:sz w:val="22"/>
          <w:szCs w:val="22"/>
        </w:rPr>
        <w:t>auditor’s</w:t>
      </w:r>
      <w:r w:rsidRPr="00422F28">
        <w:rPr>
          <w:sz w:val="22"/>
          <w:szCs w:val="22"/>
        </w:rPr>
        <w:t xml:space="preserve"> responsibilities or the assurance report. </w:t>
      </w:r>
      <w:r w:rsidR="00733F29" w:rsidRPr="00422F28">
        <w:rPr>
          <w:sz w:val="22"/>
          <w:szCs w:val="22"/>
        </w:rPr>
        <w:t xml:space="preserve">An “other matter” paragraph is included if the </w:t>
      </w:r>
      <w:r w:rsidR="00733F29" w:rsidRPr="00422F28">
        <w:rPr>
          <w:iCs/>
          <w:sz w:val="22"/>
          <w:szCs w:val="22"/>
        </w:rPr>
        <w:t xml:space="preserve">limit exceeded is due to </w:t>
      </w:r>
      <w:r w:rsidR="00840C37" w:rsidRPr="00422F28">
        <w:rPr>
          <w:iCs/>
          <w:sz w:val="22"/>
          <w:szCs w:val="22"/>
        </w:rPr>
        <w:t xml:space="preserve">reasons other than </w:t>
      </w:r>
      <w:r w:rsidR="008E74D0" w:rsidRPr="00422F28">
        <w:rPr>
          <w:iCs/>
          <w:sz w:val="22"/>
          <w:szCs w:val="22"/>
        </w:rPr>
        <w:t>discretionary transacting</w:t>
      </w:r>
      <w:r w:rsidR="0042013E" w:rsidRPr="00422F28">
        <w:rPr>
          <w:iCs/>
          <w:sz w:val="22"/>
          <w:szCs w:val="22"/>
        </w:rPr>
        <w:t xml:space="preserve"> (e.g. market movements)</w:t>
      </w:r>
      <w:r w:rsidR="008E74D0" w:rsidRPr="00422F28">
        <w:rPr>
          <w:iCs/>
          <w:sz w:val="22"/>
          <w:szCs w:val="22"/>
        </w:rPr>
        <w:t xml:space="preserve"> </w:t>
      </w:r>
      <w:r w:rsidR="00733F29" w:rsidRPr="00422F28">
        <w:rPr>
          <w:iCs/>
          <w:sz w:val="22"/>
          <w:szCs w:val="22"/>
        </w:rPr>
        <w:t xml:space="preserve">and </w:t>
      </w:r>
      <w:r w:rsidR="00733F29" w:rsidRPr="00422F28">
        <w:rPr>
          <w:sz w:val="22"/>
          <w:szCs w:val="22"/>
        </w:rPr>
        <w:t>this explanation is not disclosed in a note to Schedule IB.</w:t>
      </w:r>
    </w:p>
    <w:p w14:paraId="554F26E2" w14:textId="3CEA1E43" w:rsidR="005B6A57" w:rsidRPr="000F3AE2" w:rsidRDefault="005B6A57" w:rsidP="005B6A57">
      <w:pPr>
        <w:pStyle w:val="Heading1"/>
        <w:spacing w:before="0"/>
        <w:ind w:left="360"/>
        <w:rPr>
          <w:b w:val="0"/>
          <w:color w:val="000000"/>
          <w:sz w:val="22"/>
          <w:szCs w:val="22"/>
        </w:rPr>
      </w:pPr>
      <w:r w:rsidRPr="000F3AE2">
        <w:rPr>
          <w:b w:val="0"/>
          <w:color w:val="000000"/>
          <w:sz w:val="22"/>
          <w:szCs w:val="22"/>
        </w:rPr>
        <w:t xml:space="preserve">Refer to ISAE 3000 </w:t>
      </w:r>
      <w:r>
        <w:rPr>
          <w:b w:val="0"/>
          <w:color w:val="000000"/>
          <w:sz w:val="22"/>
          <w:szCs w:val="22"/>
        </w:rPr>
        <w:t>(Revised) paragraphs 68 and 73(b</w:t>
      </w:r>
      <w:r w:rsidRPr="000F3AE2">
        <w:rPr>
          <w:b w:val="0"/>
          <w:color w:val="000000"/>
          <w:sz w:val="22"/>
          <w:szCs w:val="22"/>
        </w:rPr>
        <w:t>)</w:t>
      </w:r>
      <w:r w:rsidR="002A617D">
        <w:rPr>
          <w:b w:val="0"/>
          <w:color w:val="000000"/>
          <w:sz w:val="22"/>
          <w:szCs w:val="22"/>
        </w:rPr>
        <w:t>.</w:t>
      </w:r>
    </w:p>
    <w:p w14:paraId="05F693FD" w14:textId="4819942F" w:rsidR="009F37B8" w:rsidRPr="00422F28" w:rsidRDefault="009F37B8" w:rsidP="00422F28">
      <w:pPr>
        <w:pStyle w:val="CommentText"/>
        <w:spacing w:line="271" w:lineRule="auto"/>
        <w:ind w:left="360"/>
        <w:rPr>
          <w:iCs/>
          <w:sz w:val="22"/>
          <w:szCs w:val="22"/>
          <w:u w:val="single"/>
        </w:rPr>
      </w:pPr>
      <w:r w:rsidRPr="00422F28">
        <w:rPr>
          <w:iCs/>
          <w:sz w:val="22"/>
          <w:szCs w:val="22"/>
          <w:u w:val="single"/>
        </w:rPr>
        <w:t>Example of other matter paragraph:</w:t>
      </w:r>
    </w:p>
    <w:p w14:paraId="4ED4EB9A" w14:textId="5F4F79F3" w:rsidR="000D3AA9" w:rsidRPr="00422F28" w:rsidRDefault="000D3AA9" w:rsidP="00422F28">
      <w:pPr>
        <w:pStyle w:val="BodyText"/>
        <w:keepNext/>
        <w:numPr>
          <w:ilvl w:val="0"/>
          <w:numId w:val="7"/>
        </w:numPr>
        <w:autoSpaceDE w:val="0"/>
        <w:autoSpaceDN w:val="0"/>
        <w:spacing w:after="120" w:line="271" w:lineRule="auto"/>
        <w:jc w:val="both"/>
        <w:rPr>
          <w:rFonts w:eastAsia="Arial"/>
          <w:iCs/>
          <w:sz w:val="22"/>
          <w:szCs w:val="22"/>
        </w:rPr>
      </w:pPr>
      <w:r w:rsidRPr="00422F28">
        <w:rPr>
          <w:rFonts w:eastAsia="Arial"/>
          <w:iCs/>
          <w:sz w:val="22"/>
          <w:szCs w:val="22"/>
        </w:rPr>
        <w:t xml:space="preserve">The aggregate exposure to foreign assets, expressed as a percentage of total assets exceeded the maximum allowable percentage prescribed by Regulation 28(3)(i). </w:t>
      </w:r>
      <w:r w:rsidR="00AC1904" w:rsidRPr="00422F28">
        <w:rPr>
          <w:rFonts w:eastAsia="Arial"/>
          <w:iCs/>
          <w:sz w:val="22"/>
          <w:szCs w:val="22"/>
        </w:rPr>
        <w:t>T</w:t>
      </w:r>
      <w:r w:rsidRPr="00422F28">
        <w:rPr>
          <w:rFonts w:eastAsia="Arial"/>
          <w:iCs/>
          <w:sz w:val="22"/>
          <w:szCs w:val="22"/>
        </w:rPr>
        <w:t>his limit was exceeded due to market movements and not as a result of discretionary transacting by the Fund. Our opinion is not modified in respect of this matter.</w:t>
      </w:r>
    </w:p>
    <w:p w14:paraId="40B59004" w14:textId="77777777" w:rsidR="000A774A" w:rsidRPr="00422F28" w:rsidRDefault="000A774A" w:rsidP="00422F28">
      <w:pPr>
        <w:pStyle w:val="EndnoteText"/>
        <w:spacing w:after="120" w:line="271" w:lineRule="auto"/>
        <w:rPr>
          <w:sz w:val="22"/>
          <w:szCs w:val="22"/>
          <w:lang w:val="en-US"/>
        </w:rPr>
      </w:pPr>
    </w:p>
  </w:endnote>
  <w:endnote w:id="15">
    <w:p w14:paraId="59958619" w14:textId="6D6883E1" w:rsidR="00462499" w:rsidRPr="00422F28" w:rsidRDefault="00462499" w:rsidP="00422F28">
      <w:pPr>
        <w:pStyle w:val="EndnoteText"/>
        <w:spacing w:after="120" w:line="271" w:lineRule="auto"/>
        <w:ind w:left="360" w:hanging="360"/>
        <w:rPr>
          <w:sz w:val="22"/>
          <w:szCs w:val="22"/>
          <w:lang w:val="en-US"/>
        </w:rPr>
      </w:pPr>
      <w:r w:rsidRPr="00422F28">
        <w:rPr>
          <w:rStyle w:val="EndnoteReference"/>
          <w:sz w:val="22"/>
          <w:szCs w:val="22"/>
        </w:rPr>
        <w:endnoteRef/>
      </w:r>
      <w:r w:rsidRPr="00422F28">
        <w:rPr>
          <w:sz w:val="22"/>
          <w:szCs w:val="22"/>
        </w:rPr>
        <w:t xml:space="preserve"> </w:t>
      </w:r>
      <w:r w:rsidR="00A35CD4" w:rsidRPr="00422F28">
        <w:rPr>
          <w:sz w:val="22"/>
          <w:szCs w:val="22"/>
        </w:rPr>
        <w:tab/>
      </w:r>
      <w:r w:rsidRPr="00422F28">
        <w:rPr>
          <w:color w:val="000000"/>
          <w:sz w:val="22"/>
          <w:szCs w:val="22"/>
        </w:rPr>
        <w:t>For example, the auditor may report a Reportable Irregularity</w:t>
      </w:r>
      <w:r w:rsidR="00312186" w:rsidRPr="00422F28">
        <w:rPr>
          <w:color w:val="000000"/>
          <w:sz w:val="22"/>
          <w:szCs w:val="22"/>
        </w:rPr>
        <w:t xml:space="preserve"> to the Independent Regulatory Board for Auditors (IRBA)</w:t>
      </w:r>
      <w:r w:rsidRPr="00422F28">
        <w:rPr>
          <w:color w:val="000000"/>
          <w:sz w:val="22"/>
          <w:szCs w:val="22"/>
        </w:rPr>
        <w:t>.</w:t>
      </w:r>
      <w:r w:rsidR="007F2762" w:rsidRPr="00422F28">
        <w:rPr>
          <w:color w:val="000000"/>
          <w:sz w:val="22"/>
          <w:szCs w:val="22"/>
        </w:rPr>
        <w:t xml:space="preserve"> </w:t>
      </w:r>
      <w:r w:rsidR="007F2762" w:rsidRPr="00422F28">
        <w:rPr>
          <w:sz w:val="22"/>
          <w:szCs w:val="22"/>
        </w:rPr>
        <w:t xml:space="preserve">Where the assurance </w:t>
      </w:r>
      <w:r w:rsidR="00E565C7" w:rsidRPr="00422F28">
        <w:rPr>
          <w:sz w:val="22"/>
          <w:szCs w:val="22"/>
        </w:rPr>
        <w:t>provider</w:t>
      </w:r>
      <w:r w:rsidR="007F2762" w:rsidRPr="00422F28">
        <w:rPr>
          <w:sz w:val="22"/>
          <w:szCs w:val="22"/>
        </w:rPr>
        <w:t xml:space="preserve"> has a statutory or other obligation to report matters to a regulatory oversight body or other person, such as the IRBA, the assurance </w:t>
      </w:r>
      <w:r w:rsidR="00E565C7" w:rsidRPr="00422F28">
        <w:rPr>
          <w:sz w:val="22"/>
          <w:szCs w:val="22"/>
        </w:rPr>
        <w:t>provider</w:t>
      </w:r>
      <w:r w:rsidR="007F2762" w:rsidRPr="00422F28">
        <w:rPr>
          <w:sz w:val="22"/>
          <w:szCs w:val="22"/>
        </w:rPr>
        <w:t xml:space="preserve"> needs to adhere to the statutory requirements imposed</w:t>
      </w:r>
      <w:r w:rsidR="00E565C7" w:rsidRPr="00422F28">
        <w:rPr>
          <w:sz w:val="22"/>
          <w:szCs w:val="22"/>
        </w:rPr>
        <w:t xml:space="preserve"> on him/</w:t>
      </w:r>
      <w:r w:rsidR="007F2762" w:rsidRPr="00422F28">
        <w:rPr>
          <w:sz w:val="22"/>
          <w:szCs w:val="22"/>
        </w:rPr>
        <w:t>her</w:t>
      </w:r>
      <w:r w:rsidR="00E565C7" w:rsidRPr="00422F28">
        <w:rPr>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6483C" w14:textId="77777777" w:rsidR="00624E3B" w:rsidRDefault="00624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23E9" w14:textId="70D7ACDF" w:rsidR="00462499" w:rsidRDefault="00062BAB" w:rsidP="00E71AB0">
    <w:pPr>
      <w:pBdr>
        <w:top w:val="nil"/>
        <w:left w:val="nil"/>
        <w:bottom w:val="nil"/>
        <w:right w:val="nil"/>
        <w:between w:val="nil"/>
      </w:pBdr>
      <w:tabs>
        <w:tab w:val="center" w:pos="4680"/>
        <w:tab w:val="right" w:pos="9360"/>
      </w:tabs>
      <w:spacing w:after="0" w:line="240" w:lineRule="auto"/>
      <w:jc w:val="left"/>
      <w:rPr>
        <w:color w:val="000000"/>
        <w:sz w:val="20"/>
        <w:szCs w:val="20"/>
      </w:rPr>
    </w:pPr>
    <w:r>
      <w:rPr>
        <w:color w:val="000000"/>
        <w:sz w:val="20"/>
        <w:szCs w:val="20"/>
      </w:rPr>
      <w:tab/>
    </w:r>
    <w:r w:rsidR="00E71AB0">
      <w:rPr>
        <w:color w:val="000000"/>
        <w:sz w:val="20"/>
        <w:szCs w:val="20"/>
      </w:rPr>
      <w:tab/>
    </w:r>
    <w:r w:rsidR="00462499">
      <w:rPr>
        <w:color w:val="000000"/>
        <w:sz w:val="20"/>
        <w:szCs w:val="20"/>
      </w:rPr>
      <w:t xml:space="preserve">Page </w:t>
    </w:r>
    <w:r w:rsidR="00462499">
      <w:rPr>
        <w:color w:val="000000"/>
        <w:sz w:val="20"/>
        <w:szCs w:val="20"/>
      </w:rPr>
      <w:fldChar w:fldCharType="begin"/>
    </w:r>
    <w:r w:rsidR="00462499">
      <w:rPr>
        <w:color w:val="000000"/>
        <w:sz w:val="20"/>
        <w:szCs w:val="20"/>
      </w:rPr>
      <w:instrText>PAGE</w:instrText>
    </w:r>
    <w:r w:rsidR="00462499">
      <w:rPr>
        <w:color w:val="000000"/>
        <w:sz w:val="20"/>
        <w:szCs w:val="20"/>
      </w:rPr>
      <w:fldChar w:fldCharType="separate"/>
    </w:r>
    <w:r w:rsidR="00624E3B">
      <w:rPr>
        <w:noProof/>
        <w:color w:val="000000"/>
        <w:sz w:val="20"/>
        <w:szCs w:val="20"/>
      </w:rPr>
      <w:t>10</w:t>
    </w:r>
    <w:r w:rsidR="00462499">
      <w:rPr>
        <w:color w:val="000000"/>
        <w:sz w:val="20"/>
        <w:szCs w:val="20"/>
      </w:rPr>
      <w:fldChar w:fldCharType="end"/>
    </w:r>
    <w:r w:rsidR="00462499">
      <w:rPr>
        <w:color w:val="000000"/>
        <w:sz w:val="20"/>
        <w:szCs w:val="20"/>
      </w:rPr>
      <w:t xml:space="preserve"> of </w:t>
    </w:r>
    <w:r w:rsidR="00462499">
      <w:rPr>
        <w:color w:val="000000"/>
        <w:sz w:val="20"/>
        <w:szCs w:val="20"/>
      </w:rPr>
      <w:fldChar w:fldCharType="begin"/>
    </w:r>
    <w:r w:rsidR="00462499">
      <w:rPr>
        <w:color w:val="000000"/>
        <w:sz w:val="20"/>
        <w:szCs w:val="20"/>
      </w:rPr>
      <w:instrText>NUMPAGES</w:instrText>
    </w:r>
    <w:r w:rsidR="00462499">
      <w:rPr>
        <w:color w:val="000000"/>
        <w:sz w:val="20"/>
        <w:szCs w:val="20"/>
      </w:rPr>
      <w:fldChar w:fldCharType="separate"/>
    </w:r>
    <w:r w:rsidR="00624E3B">
      <w:rPr>
        <w:noProof/>
        <w:color w:val="000000"/>
        <w:sz w:val="20"/>
        <w:szCs w:val="20"/>
      </w:rPr>
      <w:t>10</w:t>
    </w:r>
    <w:r w:rsidR="00462499">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DD03" w14:textId="77777777" w:rsidR="00624E3B" w:rsidRDefault="00624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FE8AD" w14:textId="77777777" w:rsidR="00E57DA5" w:rsidRDefault="00E57DA5">
      <w:pPr>
        <w:spacing w:after="0" w:line="240" w:lineRule="auto"/>
      </w:pPr>
      <w:r>
        <w:separator/>
      </w:r>
    </w:p>
  </w:footnote>
  <w:footnote w:type="continuationSeparator" w:id="0">
    <w:p w14:paraId="0ABEBBCA" w14:textId="77777777" w:rsidR="00E57DA5" w:rsidRDefault="00E57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80A8" w14:textId="77777777" w:rsidR="00624E3B" w:rsidRDefault="00624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1ABA" w14:textId="3A55710F" w:rsidR="006A2188" w:rsidRPr="008D02A1" w:rsidRDefault="006A2188" w:rsidP="008D0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0422A" w14:textId="77777777" w:rsidR="00624E3B" w:rsidRDefault="00624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12AE60"/>
    <w:multiLevelType w:val="hybridMultilevel"/>
    <w:tmpl w:val="2015B9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897730"/>
    <w:multiLevelType w:val="hybridMultilevel"/>
    <w:tmpl w:val="BD6676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A"/>
    <w:multiLevelType w:val="multilevel"/>
    <w:tmpl w:val="0000000A"/>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B"/>
    <w:multiLevelType w:val="multilevel"/>
    <w:tmpl w:val="0000000B"/>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1500E66"/>
    <w:multiLevelType w:val="hybridMultilevel"/>
    <w:tmpl w:val="751E8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3A050D"/>
    <w:multiLevelType w:val="multilevel"/>
    <w:tmpl w:val="EEF23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1C19BB"/>
    <w:multiLevelType w:val="hybridMultilevel"/>
    <w:tmpl w:val="DDB89918"/>
    <w:lvl w:ilvl="0" w:tplc="D0A4D058">
      <w:start w:val="1"/>
      <w:numFmt w:val="decimal"/>
      <w:pStyle w:val="IFACNumberAndLetterHB"/>
      <w:lvlText w:val="A%1."/>
      <w:lvlJc w:val="left"/>
      <w:pPr>
        <w:ind w:left="547" w:hanging="360"/>
      </w:pPr>
      <w:rPr>
        <w:rFonts w:ascii="Times New Roman" w:hAnsi="Times New Roman" w:cs="Arial"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8B4A5F"/>
    <w:multiLevelType w:val="hybridMultilevel"/>
    <w:tmpl w:val="2C3C763E"/>
    <w:lvl w:ilvl="0" w:tplc="95986936">
      <w:start w:val="1"/>
      <w:numFmt w:val="decimal"/>
      <w:lvlText w:val="%1."/>
      <w:lvlJc w:val="left"/>
      <w:pPr>
        <w:ind w:left="1800" w:hanging="360"/>
      </w:pPr>
      <w:rPr>
        <w:rFonts w:hint="default"/>
        <w:b w:val="0"/>
        <w:sz w:val="22"/>
        <w:szCs w:val="22"/>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 w15:restartNumberingAfterBreak="0">
    <w:nsid w:val="28063B0E"/>
    <w:multiLevelType w:val="hybridMultilevel"/>
    <w:tmpl w:val="ECCA8EF6"/>
    <w:lvl w:ilvl="0" w:tplc="1C09000F">
      <w:start w:val="1"/>
      <w:numFmt w:val="decimal"/>
      <w:lvlText w:val="%1."/>
      <w:lvlJc w:val="left"/>
      <w:pPr>
        <w:ind w:left="840" w:hanging="360"/>
      </w:pPr>
    </w:lvl>
    <w:lvl w:ilvl="1" w:tplc="3074556E">
      <w:numFmt w:val="bullet"/>
      <w:lvlText w:val="-"/>
      <w:lvlJc w:val="left"/>
      <w:pPr>
        <w:ind w:left="1560" w:hanging="360"/>
      </w:pPr>
      <w:rPr>
        <w:rFonts w:ascii="Times New Roman" w:eastAsia="Arial Narrow" w:hAnsi="Times New Roman" w:cs="Times New Roman" w:hint="default"/>
      </w:rPr>
    </w:lvl>
    <w:lvl w:ilvl="2" w:tplc="1C09001B">
      <w:start w:val="1"/>
      <w:numFmt w:val="lowerRoman"/>
      <w:lvlText w:val="%3."/>
      <w:lvlJc w:val="right"/>
      <w:pPr>
        <w:ind w:left="2280" w:hanging="180"/>
      </w:pPr>
    </w:lvl>
    <w:lvl w:ilvl="3" w:tplc="1C09000F">
      <w:start w:val="1"/>
      <w:numFmt w:val="decimal"/>
      <w:lvlText w:val="%4."/>
      <w:lvlJc w:val="left"/>
      <w:pPr>
        <w:ind w:left="3000" w:hanging="360"/>
      </w:pPr>
    </w:lvl>
    <w:lvl w:ilvl="4" w:tplc="1C090019">
      <w:start w:val="1"/>
      <w:numFmt w:val="lowerLetter"/>
      <w:lvlText w:val="%5."/>
      <w:lvlJc w:val="left"/>
      <w:pPr>
        <w:ind w:left="3720" w:hanging="360"/>
      </w:pPr>
    </w:lvl>
    <w:lvl w:ilvl="5" w:tplc="1C09001B">
      <w:start w:val="1"/>
      <w:numFmt w:val="lowerRoman"/>
      <w:lvlText w:val="%6."/>
      <w:lvlJc w:val="right"/>
      <w:pPr>
        <w:ind w:left="4440" w:hanging="180"/>
      </w:pPr>
    </w:lvl>
    <w:lvl w:ilvl="6" w:tplc="1C09000F">
      <w:start w:val="1"/>
      <w:numFmt w:val="decimal"/>
      <w:lvlText w:val="%7."/>
      <w:lvlJc w:val="left"/>
      <w:pPr>
        <w:ind w:left="5160" w:hanging="360"/>
      </w:pPr>
    </w:lvl>
    <w:lvl w:ilvl="7" w:tplc="1C090019">
      <w:start w:val="1"/>
      <w:numFmt w:val="lowerLetter"/>
      <w:lvlText w:val="%8."/>
      <w:lvlJc w:val="left"/>
      <w:pPr>
        <w:ind w:left="5880" w:hanging="360"/>
      </w:pPr>
    </w:lvl>
    <w:lvl w:ilvl="8" w:tplc="1C09001B">
      <w:start w:val="1"/>
      <w:numFmt w:val="lowerRoman"/>
      <w:lvlText w:val="%9."/>
      <w:lvlJc w:val="right"/>
      <w:pPr>
        <w:ind w:left="6600" w:hanging="180"/>
      </w:pPr>
    </w:lvl>
  </w:abstractNum>
  <w:abstractNum w:abstractNumId="11" w15:restartNumberingAfterBreak="0">
    <w:nsid w:val="298C1ED9"/>
    <w:multiLevelType w:val="hybridMultilevel"/>
    <w:tmpl w:val="1316B90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E2418D9"/>
    <w:multiLevelType w:val="hybridMultilevel"/>
    <w:tmpl w:val="4E325A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EB73A1F"/>
    <w:multiLevelType w:val="hybridMultilevel"/>
    <w:tmpl w:val="907EB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923F3"/>
    <w:multiLevelType w:val="hybridMultilevel"/>
    <w:tmpl w:val="751E8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D00DB"/>
    <w:multiLevelType w:val="hybridMultilevel"/>
    <w:tmpl w:val="E2845F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600F64"/>
    <w:multiLevelType w:val="hybridMultilevel"/>
    <w:tmpl w:val="71401100"/>
    <w:lvl w:ilvl="0" w:tplc="74E874B0">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3F81C89"/>
    <w:multiLevelType w:val="hybridMultilevel"/>
    <w:tmpl w:val="FAF89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5554EF"/>
    <w:multiLevelType w:val="multilevel"/>
    <w:tmpl w:val="2C865812"/>
    <w:lvl w:ilvl="0">
      <w:start w:val="1"/>
      <w:numFmt w:val="bullet"/>
      <w:lvlText w:val="●"/>
      <w:lvlJc w:val="left"/>
      <w:pPr>
        <w:ind w:left="3513" w:hanging="360"/>
      </w:pPr>
      <w:rPr>
        <w:rFonts w:ascii="Noto Sans Symbols" w:eastAsia="Noto Sans Symbols" w:hAnsi="Noto Sans Symbols" w:cs="Noto Sans Symbols"/>
      </w:rPr>
    </w:lvl>
    <w:lvl w:ilvl="1">
      <w:start w:val="1"/>
      <w:numFmt w:val="bullet"/>
      <w:lvlText w:val="o"/>
      <w:lvlJc w:val="left"/>
      <w:pPr>
        <w:ind w:left="4233" w:hanging="360"/>
      </w:pPr>
      <w:rPr>
        <w:rFonts w:ascii="Courier New" w:eastAsia="Courier New" w:hAnsi="Courier New" w:cs="Courier New"/>
      </w:rPr>
    </w:lvl>
    <w:lvl w:ilvl="2">
      <w:start w:val="1"/>
      <w:numFmt w:val="bullet"/>
      <w:lvlText w:val="▪"/>
      <w:lvlJc w:val="left"/>
      <w:pPr>
        <w:ind w:left="4953" w:hanging="360"/>
      </w:pPr>
      <w:rPr>
        <w:rFonts w:ascii="Noto Sans Symbols" w:eastAsia="Noto Sans Symbols" w:hAnsi="Noto Sans Symbols" w:cs="Noto Sans Symbols"/>
      </w:rPr>
    </w:lvl>
    <w:lvl w:ilvl="3">
      <w:start w:val="1"/>
      <w:numFmt w:val="bullet"/>
      <w:lvlText w:val="●"/>
      <w:lvlJc w:val="left"/>
      <w:pPr>
        <w:ind w:left="5673" w:hanging="360"/>
      </w:pPr>
      <w:rPr>
        <w:rFonts w:ascii="Noto Sans Symbols" w:eastAsia="Noto Sans Symbols" w:hAnsi="Noto Sans Symbols" w:cs="Noto Sans Symbols"/>
      </w:rPr>
    </w:lvl>
    <w:lvl w:ilvl="4">
      <w:start w:val="1"/>
      <w:numFmt w:val="bullet"/>
      <w:lvlText w:val="o"/>
      <w:lvlJc w:val="left"/>
      <w:pPr>
        <w:ind w:left="6393" w:hanging="360"/>
      </w:pPr>
      <w:rPr>
        <w:rFonts w:ascii="Courier New" w:eastAsia="Courier New" w:hAnsi="Courier New" w:cs="Courier New"/>
      </w:rPr>
    </w:lvl>
    <w:lvl w:ilvl="5">
      <w:start w:val="1"/>
      <w:numFmt w:val="bullet"/>
      <w:lvlText w:val="▪"/>
      <w:lvlJc w:val="left"/>
      <w:pPr>
        <w:ind w:left="7113" w:hanging="360"/>
      </w:pPr>
      <w:rPr>
        <w:rFonts w:ascii="Noto Sans Symbols" w:eastAsia="Noto Sans Symbols" w:hAnsi="Noto Sans Symbols" w:cs="Noto Sans Symbols"/>
      </w:rPr>
    </w:lvl>
    <w:lvl w:ilvl="6">
      <w:start w:val="1"/>
      <w:numFmt w:val="bullet"/>
      <w:lvlText w:val="●"/>
      <w:lvlJc w:val="left"/>
      <w:pPr>
        <w:ind w:left="7833" w:hanging="360"/>
      </w:pPr>
      <w:rPr>
        <w:rFonts w:ascii="Noto Sans Symbols" w:eastAsia="Noto Sans Symbols" w:hAnsi="Noto Sans Symbols" w:cs="Noto Sans Symbols"/>
      </w:rPr>
    </w:lvl>
    <w:lvl w:ilvl="7">
      <w:start w:val="1"/>
      <w:numFmt w:val="bullet"/>
      <w:lvlText w:val="o"/>
      <w:lvlJc w:val="left"/>
      <w:pPr>
        <w:ind w:left="8553" w:hanging="360"/>
      </w:pPr>
      <w:rPr>
        <w:rFonts w:ascii="Courier New" w:eastAsia="Courier New" w:hAnsi="Courier New" w:cs="Courier New"/>
      </w:rPr>
    </w:lvl>
    <w:lvl w:ilvl="8">
      <w:start w:val="1"/>
      <w:numFmt w:val="bullet"/>
      <w:lvlText w:val="▪"/>
      <w:lvlJc w:val="left"/>
      <w:pPr>
        <w:ind w:left="9273" w:hanging="360"/>
      </w:pPr>
      <w:rPr>
        <w:rFonts w:ascii="Noto Sans Symbols" w:eastAsia="Noto Sans Symbols" w:hAnsi="Noto Sans Symbols" w:cs="Noto Sans Symbols"/>
      </w:rPr>
    </w:lvl>
  </w:abstractNum>
  <w:abstractNum w:abstractNumId="19" w15:restartNumberingAfterBreak="0">
    <w:nsid w:val="63C67B0A"/>
    <w:multiLevelType w:val="multilevel"/>
    <w:tmpl w:val="0C824EEA"/>
    <w:lvl w:ilvl="0">
      <w:start w:val="1"/>
      <w:numFmt w:val="bullet"/>
      <w:lvlText w:val="o"/>
      <w:lvlJc w:val="left"/>
      <w:pPr>
        <w:ind w:left="3513" w:hanging="360"/>
      </w:pPr>
      <w:rPr>
        <w:rFonts w:ascii="Courier New" w:hAnsi="Courier New" w:cs="Courier New" w:hint="default"/>
      </w:rPr>
    </w:lvl>
    <w:lvl w:ilvl="1">
      <w:start w:val="1"/>
      <w:numFmt w:val="bullet"/>
      <w:lvlText w:val="o"/>
      <w:lvlJc w:val="left"/>
      <w:pPr>
        <w:ind w:left="4233" w:hanging="360"/>
      </w:pPr>
      <w:rPr>
        <w:rFonts w:ascii="Courier New" w:eastAsia="Courier New" w:hAnsi="Courier New" w:cs="Courier New"/>
      </w:rPr>
    </w:lvl>
    <w:lvl w:ilvl="2">
      <w:start w:val="1"/>
      <w:numFmt w:val="bullet"/>
      <w:lvlText w:val="▪"/>
      <w:lvlJc w:val="left"/>
      <w:pPr>
        <w:ind w:left="4953" w:hanging="360"/>
      </w:pPr>
      <w:rPr>
        <w:rFonts w:ascii="Noto Sans Symbols" w:eastAsia="Noto Sans Symbols" w:hAnsi="Noto Sans Symbols" w:cs="Noto Sans Symbols"/>
      </w:rPr>
    </w:lvl>
    <w:lvl w:ilvl="3">
      <w:start w:val="1"/>
      <w:numFmt w:val="bullet"/>
      <w:lvlText w:val="●"/>
      <w:lvlJc w:val="left"/>
      <w:pPr>
        <w:ind w:left="5673" w:hanging="360"/>
      </w:pPr>
      <w:rPr>
        <w:rFonts w:ascii="Noto Sans Symbols" w:eastAsia="Noto Sans Symbols" w:hAnsi="Noto Sans Symbols" w:cs="Noto Sans Symbols"/>
      </w:rPr>
    </w:lvl>
    <w:lvl w:ilvl="4">
      <w:start w:val="1"/>
      <w:numFmt w:val="bullet"/>
      <w:lvlText w:val="o"/>
      <w:lvlJc w:val="left"/>
      <w:pPr>
        <w:ind w:left="6393" w:hanging="360"/>
      </w:pPr>
      <w:rPr>
        <w:rFonts w:ascii="Courier New" w:eastAsia="Courier New" w:hAnsi="Courier New" w:cs="Courier New"/>
      </w:rPr>
    </w:lvl>
    <w:lvl w:ilvl="5">
      <w:start w:val="1"/>
      <w:numFmt w:val="bullet"/>
      <w:lvlText w:val="▪"/>
      <w:lvlJc w:val="left"/>
      <w:pPr>
        <w:ind w:left="7113" w:hanging="360"/>
      </w:pPr>
      <w:rPr>
        <w:rFonts w:ascii="Noto Sans Symbols" w:eastAsia="Noto Sans Symbols" w:hAnsi="Noto Sans Symbols" w:cs="Noto Sans Symbols"/>
      </w:rPr>
    </w:lvl>
    <w:lvl w:ilvl="6">
      <w:start w:val="1"/>
      <w:numFmt w:val="bullet"/>
      <w:lvlText w:val="●"/>
      <w:lvlJc w:val="left"/>
      <w:pPr>
        <w:ind w:left="7833" w:hanging="360"/>
      </w:pPr>
      <w:rPr>
        <w:rFonts w:ascii="Noto Sans Symbols" w:eastAsia="Noto Sans Symbols" w:hAnsi="Noto Sans Symbols" w:cs="Noto Sans Symbols"/>
      </w:rPr>
    </w:lvl>
    <w:lvl w:ilvl="7">
      <w:start w:val="1"/>
      <w:numFmt w:val="bullet"/>
      <w:lvlText w:val="o"/>
      <w:lvlJc w:val="left"/>
      <w:pPr>
        <w:ind w:left="8553" w:hanging="360"/>
      </w:pPr>
      <w:rPr>
        <w:rFonts w:ascii="Courier New" w:eastAsia="Courier New" w:hAnsi="Courier New" w:cs="Courier New"/>
      </w:rPr>
    </w:lvl>
    <w:lvl w:ilvl="8">
      <w:start w:val="1"/>
      <w:numFmt w:val="bullet"/>
      <w:lvlText w:val="▪"/>
      <w:lvlJc w:val="left"/>
      <w:pPr>
        <w:ind w:left="9273" w:hanging="360"/>
      </w:pPr>
      <w:rPr>
        <w:rFonts w:ascii="Noto Sans Symbols" w:eastAsia="Noto Sans Symbols" w:hAnsi="Noto Sans Symbols" w:cs="Noto Sans Symbols"/>
      </w:rPr>
    </w:lvl>
  </w:abstractNum>
  <w:abstractNum w:abstractNumId="20" w15:restartNumberingAfterBreak="0">
    <w:nsid w:val="72992834"/>
    <w:multiLevelType w:val="hybridMultilevel"/>
    <w:tmpl w:val="DA06C63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4617989"/>
    <w:multiLevelType w:val="hybridMultilevel"/>
    <w:tmpl w:val="C15EB190"/>
    <w:lvl w:ilvl="0" w:tplc="1C090001">
      <w:start w:val="1"/>
      <w:numFmt w:val="bullet"/>
      <w:lvlText w:val=""/>
      <w:lvlJc w:val="left"/>
      <w:pPr>
        <w:ind w:left="1827" w:hanging="360"/>
      </w:pPr>
      <w:rPr>
        <w:rFonts w:ascii="Symbol" w:hAnsi="Symbol" w:hint="default"/>
      </w:rPr>
    </w:lvl>
    <w:lvl w:ilvl="1" w:tplc="1C090003">
      <w:start w:val="1"/>
      <w:numFmt w:val="bullet"/>
      <w:lvlText w:val="o"/>
      <w:lvlJc w:val="left"/>
      <w:pPr>
        <w:ind w:left="2547" w:hanging="360"/>
      </w:pPr>
      <w:rPr>
        <w:rFonts w:ascii="Courier New" w:hAnsi="Courier New" w:cs="Courier New" w:hint="default"/>
      </w:rPr>
    </w:lvl>
    <w:lvl w:ilvl="2" w:tplc="1C090005">
      <w:start w:val="1"/>
      <w:numFmt w:val="bullet"/>
      <w:lvlText w:val=""/>
      <w:lvlJc w:val="left"/>
      <w:pPr>
        <w:ind w:left="3267" w:hanging="360"/>
      </w:pPr>
      <w:rPr>
        <w:rFonts w:ascii="Wingdings" w:hAnsi="Wingdings" w:hint="default"/>
      </w:rPr>
    </w:lvl>
    <w:lvl w:ilvl="3" w:tplc="1C090001">
      <w:start w:val="1"/>
      <w:numFmt w:val="bullet"/>
      <w:lvlText w:val=""/>
      <w:lvlJc w:val="left"/>
      <w:pPr>
        <w:ind w:left="3987" w:hanging="360"/>
      </w:pPr>
      <w:rPr>
        <w:rFonts w:ascii="Symbol" w:hAnsi="Symbol" w:hint="default"/>
      </w:rPr>
    </w:lvl>
    <w:lvl w:ilvl="4" w:tplc="1C090003">
      <w:start w:val="1"/>
      <w:numFmt w:val="bullet"/>
      <w:lvlText w:val="o"/>
      <w:lvlJc w:val="left"/>
      <w:pPr>
        <w:ind w:left="4707" w:hanging="360"/>
      </w:pPr>
      <w:rPr>
        <w:rFonts w:ascii="Courier New" w:hAnsi="Courier New" w:cs="Courier New" w:hint="default"/>
      </w:rPr>
    </w:lvl>
    <w:lvl w:ilvl="5" w:tplc="1C090005">
      <w:start w:val="1"/>
      <w:numFmt w:val="bullet"/>
      <w:lvlText w:val=""/>
      <w:lvlJc w:val="left"/>
      <w:pPr>
        <w:ind w:left="5427" w:hanging="360"/>
      </w:pPr>
      <w:rPr>
        <w:rFonts w:ascii="Wingdings" w:hAnsi="Wingdings" w:hint="default"/>
      </w:rPr>
    </w:lvl>
    <w:lvl w:ilvl="6" w:tplc="1C090001">
      <w:start w:val="1"/>
      <w:numFmt w:val="bullet"/>
      <w:lvlText w:val=""/>
      <w:lvlJc w:val="left"/>
      <w:pPr>
        <w:ind w:left="6147" w:hanging="360"/>
      </w:pPr>
      <w:rPr>
        <w:rFonts w:ascii="Symbol" w:hAnsi="Symbol" w:hint="default"/>
      </w:rPr>
    </w:lvl>
    <w:lvl w:ilvl="7" w:tplc="1C090003">
      <w:start w:val="1"/>
      <w:numFmt w:val="bullet"/>
      <w:lvlText w:val="o"/>
      <w:lvlJc w:val="left"/>
      <w:pPr>
        <w:ind w:left="6867" w:hanging="360"/>
      </w:pPr>
      <w:rPr>
        <w:rFonts w:ascii="Courier New" w:hAnsi="Courier New" w:cs="Courier New" w:hint="default"/>
      </w:rPr>
    </w:lvl>
    <w:lvl w:ilvl="8" w:tplc="1C090005">
      <w:start w:val="1"/>
      <w:numFmt w:val="bullet"/>
      <w:lvlText w:val=""/>
      <w:lvlJc w:val="left"/>
      <w:pPr>
        <w:ind w:left="7587" w:hanging="360"/>
      </w:pPr>
      <w:rPr>
        <w:rFonts w:ascii="Wingdings" w:hAnsi="Wingdings" w:hint="default"/>
      </w:rPr>
    </w:lvl>
  </w:abstractNum>
  <w:abstractNum w:abstractNumId="22" w15:restartNumberingAfterBreak="0">
    <w:nsid w:val="77B646AF"/>
    <w:multiLevelType w:val="hybridMultilevel"/>
    <w:tmpl w:val="C1A4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414029">
    <w:abstractNumId w:val="18"/>
  </w:num>
  <w:num w:numId="2" w16cid:durableId="2096320902">
    <w:abstractNumId w:val="7"/>
  </w:num>
  <w:num w:numId="3" w16cid:durableId="2089880187">
    <w:abstractNumId w:val="1"/>
  </w:num>
  <w:num w:numId="4" w16cid:durableId="2137600082">
    <w:abstractNumId w:val="0"/>
  </w:num>
  <w:num w:numId="5" w16cid:durableId="2052024465">
    <w:abstractNumId w:val="21"/>
  </w:num>
  <w:num w:numId="6" w16cid:durableId="69947219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7436323">
    <w:abstractNumId w:val="22"/>
  </w:num>
  <w:num w:numId="8" w16cid:durableId="1532645390">
    <w:abstractNumId w:val="9"/>
  </w:num>
  <w:num w:numId="9" w16cid:durableId="1483696384">
    <w:abstractNumId w:val="15"/>
  </w:num>
  <w:num w:numId="10" w16cid:durableId="619456390">
    <w:abstractNumId w:val="11"/>
  </w:num>
  <w:num w:numId="11" w16cid:durableId="1404987062">
    <w:abstractNumId w:val="12"/>
  </w:num>
  <w:num w:numId="12" w16cid:durableId="302003314">
    <w:abstractNumId w:val="17"/>
  </w:num>
  <w:num w:numId="13" w16cid:durableId="112991660">
    <w:abstractNumId w:val="14"/>
  </w:num>
  <w:num w:numId="14" w16cid:durableId="392852375">
    <w:abstractNumId w:val="6"/>
  </w:num>
  <w:num w:numId="15" w16cid:durableId="905190674">
    <w:abstractNumId w:val="13"/>
  </w:num>
  <w:num w:numId="16" w16cid:durableId="1237282818">
    <w:abstractNumId w:val="20"/>
  </w:num>
  <w:num w:numId="17" w16cid:durableId="2078815347">
    <w:abstractNumId w:val="2"/>
  </w:num>
  <w:num w:numId="18" w16cid:durableId="1219363510">
    <w:abstractNumId w:val="3"/>
  </w:num>
  <w:num w:numId="19" w16cid:durableId="817921313">
    <w:abstractNumId w:val="4"/>
  </w:num>
  <w:num w:numId="20" w16cid:durableId="1717704020">
    <w:abstractNumId w:val="5"/>
  </w:num>
  <w:num w:numId="21" w16cid:durableId="1654599432">
    <w:abstractNumId w:val="19"/>
  </w:num>
  <w:num w:numId="22" w16cid:durableId="203636519">
    <w:abstractNumId w:val="8"/>
  </w:num>
  <w:num w:numId="23" w16cid:durableId="5194652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E8"/>
    <w:rsid w:val="000027B7"/>
    <w:rsid w:val="00003472"/>
    <w:rsid w:val="00006290"/>
    <w:rsid w:val="00034AE3"/>
    <w:rsid w:val="000415A5"/>
    <w:rsid w:val="00042E62"/>
    <w:rsid w:val="000446AF"/>
    <w:rsid w:val="00050EEE"/>
    <w:rsid w:val="00053A44"/>
    <w:rsid w:val="000560D1"/>
    <w:rsid w:val="00062BAB"/>
    <w:rsid w:val="00063707"/>
    <w:rsid w:val="00063B7C"/>
    <w:rsid w:val="00064E05"/>
    <w:rsid w:val="00064F21"/>
    <w:rsid w:val="00066D21"/>
    <w:rsid w:val="0007049E"/>
    <w:rsid w:val="000840BF"/>
    <w:rsid w:val="00094352"/>
    <w:rsid w:val="000A5667"/>
    <w:rsid w:val="000A774A"/>
    <w:rsid w:val="000B1BB0"/>
    <w:rsid w:val="000B21F7"/>
    <w:rsid w:val="000B7C33"/>
    <w:rsid w:val="000C66DC"/>
    <w:rsid w:val="000D3AA9"/>
    <w:rsid w:val="000E2787"/>
    <w:rsid w:val="000E5422"/>
    <w:rsid w:val="000E547C"/>
    <w:rsid w:val="000E629F"/>
    <w:rsid w:val="000F4FE2"/>
    <w:rsid w:val="000F6AED"/>
    <w:rsid w:val="0010470C"/>
    <w:rsid w:val="001143FB"/>
    <w:rsid w:val="00122815"/>
    <w:rsid w:val="00151459"/>
    <w:rsid w:val="00156CB9"/>
    <w:rsid w:val="0016275B"/>
    <w:rsid w:val="001657C6"/>
    <w:rsid w:val="00173880"/>
    <w:rsid w:val="00185318"/>
    <w:rsid w:val="00186511"/>
    <w:rsid w:val="001911E2"/>
    <w:rsid w:val="00191579"/>
    <w:rsid w:val="00192ACC"/>
    <w:rsid w:val="001B4AF7"/>
    <w:rsid w:val="001B5833"/>
    <w:rsid w:val="001C5547"/>
    <w:rsid w:val="001E0314"/>
    <w:rsid w:val="001F6CF0"/>
    <w:rsid w:val="001F6DFF"/>
    <w:rsid w:val="002125AD"/>
    <w:rsid w:val="00227628"/>
    <w:rsid w:val="00234187"/>
    <w:rsid w:val="002361E1"/>
    <w:rsid w:val="00252A0A"/>
    <w:rsid w:val="0026147D"/>
    <w:rsid w:val="00275980"/>
    <w:rsid w:val="00280626"/>
    <w:rsid w:val="002865C8"/>
    <w:rsid w:val="00290B30"/>
    <w:rsid w:val="00296216"/>
    <w:rsid w:val="00296F04"/>
    <w:rsid w:val="002A1559"/>
    <w:rsid w:val="002A3263"/>
    <w:rsid w:val="002A340B"/>
    <w:rsid w:val="002A617D"/>
    <w:rsid w:val="002A65C2"/>
    <w:rsid w:val="002B3AE9"/>
    <w:rsid w:val="002B7B80"/>
    <w:rsid w:val="002C626F"/>
    <w:rsid w:val="002C6CD6"/>
    <w:rsid w:val="002D5632"/>
    <w:rsid w:val="002D7295"/>
    <w:rsid w:val="002E3D64"/>
    <w:rsid w:val="002E64A7"/>
    <w:rsid w:val="002F403E"/>
    <w:rsid w:val="00312186"/>
    <w:rsid w:val="0031758E"/>
    <w:rsid w:val="0032717C"/>
    <w:rsid w:val="003303FD"/>
    <w:rsid w:val="00331B57"/>
    <w:rsid w:val="00332245"/>
    <w:rsid w:val="003414E2"/>
    <w:rsid w:val="00346CC5"/>
    <w:rsid w:val="00371413"/>
    <w:rsid w:val="00374DAC"/>
    <w:rsid w:val="00374FAC"/>
    <w:rsid w:val="00383EB1"/>
    <w:rsid w:val="00387C45"/>
    <w:rsid w:val="00390EEE"/>
    <w:rsid w:val="0039520D"/>
    <w:rsid w:val="003A0C4A"/>
    <w:rsid w:val="003A512D"/>
    <w:rsid w:val="003A7821"/>
    <w:rsid w:val="003B52F4"/>
    <w:rsid w:val="003B7B78"/>
    <w:rsid w:val="003C0876"/>
    <w:rsid w:val="003C3D31"/>
    <w:rsid w:val="003D017C"/>
    <w:rsid w:val="003D10A5"/>
    <w:rsid w:val="003D2887"/>
    <w:rsid w:val="003E072F"/>
    <w:rsid w:val="003E45E8"/>
    <w:rsid w:val="004051EA"/>
    <w:rsid w:val="004064B6"/>
    <w:rsid w:val="00407485"/>
    <w:rsid w:val="00410419"/>
    <w:rsid w:val="00410E36"/>
    <w:rsid w:val="00413038"/>
    <w:rsid w:val="004130EA"/>
    <w:rsid w:val="004136C3"/>
    <w:rsid w:val="00415A6F"/>
    <w:rsid w:val="0042013E"/>
    <w:rsid w:val="00422F28"/>
    <w:rsid w:val="00425580"/>
    <w:rsid w:val="0042763D"/>
    <w:rsid w:val="004373CD"/>
    <w:rsid w:val="00443497"/>
    <w:rsid w:val="00457B72"/>
    <w:rsid w:val="00462499"/>
    <w:rsid w:val="00466F17"/>
    <w:rsid w:val="00467994"/>
    <w:rsid w:val="00487D3D"/>
    <w:rsid w:val="00492477"/>
    <w:rsid w:val="004951D2"/>
    <w:rsid w:val="004954BF"/>
    <w:rsid w:val="00497A02"/>
    <w:rsid w:val="004A24ED"/>
    <w:rsid w:val="004A45A9"/>
    <w:rsid w:val="004B27C6"/>
    <w:rsid w:val="004B7880"/>
    <w:rsid w:val="004C0B07"/>
    <w:rsid w:val="004C24A3"/>
    <w:rsid w:val="004C32DE"/>
    <w:rsid w:val="004C4C89"/>
    <w:rsid w:val="004D36B3"/>
    <w:rsid w:val="004E0584"/>
    <w:rsid w:val="004E141D"/>
    <w:rsid w:val="004E1560"/>
    <w:rsid w:val="004E6EAF"/>
    <w:rsid w:val="005013A7"/>
    <w:rsid w:val="00504333"/>
    <w:rsid w:val="005067E4"/>
    <w:rsid w:val="00510C5A"/>
    <w:rsid w:val="005129AB"/>
    <w:rsid w:val="00521092"/>
    <w:rsid w:val="00521592"/>
    <w:rsid w:val="005342E9"/>
    <w:rsid w:val="00543759"/>
    <w:rsid w:val="005459B1"/>
    <w:rsid w:val="00552A9B"/>
    <w:rsid w:val="00556B3F"/>
    <w:rsid w:val="00566AE6"/>
    <w:rsid w:val="00567D4C"/>
    <w:rsid w:val="00574414"/>
    <w:rsid w:val="005763AE"/>
    <w:rsid w:val="0057643F"/>
    <w:rsid w:val="00582A9B"/>
    <w:rsid w:val="00582F77"/>
    <w:rsid w:val="005B44B9"/>
    <w:rsid w:val="005B6A57"/>
    <w:rsid w:val="005C04EA"/>
    <w:rsid w:val="005C171D"/>
    <w:rsid w:val="005C5C99"/>
    <w:rsid w:val="005D1161"/>
    <w:rsid w:val="005E3313"/>
    <w:rsid w:val="005F0B09"/>
    <w:rsid w:val="005F1809"/>
    <w:rsid w:val="005F523A"/>
    <w:rsid w:val="005F5CE2"/>
    <w:rsid w:val="005F6B1A"/>
    <w:rsid w:val="005F7A31"/>
    <w:rsid w:val="00605EF5"/>
    <w:rsid w:val="00606227"/>
    <w:rsid w:val="006101BC"/>
    <w:rsid w:val="00624E3B"/>
    <w:rsid w:val="00635ECD"/>
    <w:rsid w:val="0064393C"/>
    <w:rsid w:val="00646E91"/>
    <w:rsid w:val="00651832"/>
    <w:rsid w:val="00665969"/>
    <w:rsid w:val="00666735"/>
    <w:rsid w:val="00666E1E"/>
    <w:rsid w:val="00672CAE"/>
    <w:rsid w:val="00683106"/>
    <w:rsid w:val="006879B6"/>
    <w:rsid w:val="00690217"/>
    <w:rsid w:val="006A2188"/>
    <w:rsid w:val="006A240D"/>
    <w:rsid w:val="006A2B41"/>
    <w:rsid w:val="006A70DB"/>
    <w:rsid w:val="006B1C01"/>
    <w:rsid w:val="006B6213"/>
    <w:rsid w:val="006C2D93"/>
    <w:rsid w:val="006C4029"/>
    <w:rsid w:val="006D025F"/>
    <w:rsid w:val="006D28F8"/>
    <w:rsid w:val="006D7F77"/>
    <w:rsid w:val="006E002B"/>
    <w:rsid w:val="006F324A"/>
    <w:rsid w:val="006F4311"/>
    <w:rsid w:val="00707934"/>
    <w:rsid w:val="00721087"/>
    <w:rsid w:val="00724455"/>
    <w:rsid w:val="00733F29"/>
    <w:rsid w:val="00735032"/>
    <w:rsid w:val="007354F6"/>
    <w:rsid w:val="0073626F"/>
    <w:rsid w:val="00741B0F"/>
    <w:rsid w:val="00742838"/>
    <w:rsid w:val="007614A6"/>
    <w:rsid w:val="00766679"/>
    <w:rsid w:val="00770C4E"/>
    <w:rsid w:val="00775D09"/>
    <w:rsid w:val="00795821"/>
    <w:rsid w:val="007960DB"/>
    <w:rsid w:val="00797B3D"/>
    <w:rsid w:val="007A4A27"/>
    <w:rsid w:val="007B0F95"/>
    <w:rsid w:val="007B4399"/>
    <w:rsid w:val="007C039F"/>
    <w:rsid w:val="007C05C4"/>
    <w:rsid w:val="007C1637"/>
    <w:rsid w:val="007D4490"/>
    <w:rsid w:val="007D58DA"/>
    <w:rsid w:val="007D7774"/>
    <w:rsid w:val="007E127E"/>
    <w:rsid w:val="007F275C"/>
    <w:rsid w:val="007F2762"/>
    <w:rsid w:val="007F5BA0"/>
    <w:rsid w:val="007F5FEE"/>
    <w:rsid w:val="00807C2E"/>
    <w:rsid w:val="008140F2"/>
    <w:rsid w:val="0082228E"/>
    <w:rsid w:val="008267BC"/>
    <w:rsid w:val="00831607"/>
    <w:rsid w:val="00836B5A"/>
    <w:rsid w:val="00840C37"/>
    <w:rsid w:val="00850460"/>
    <w:rsid w:val="008521D0"/>
    <w:rsid w:val="00854AC9"/>
    <w:rsid w:val="008568DB"/>
    <w:rsid w:val="00861BA8"/>
    <w:rsid w:val="00865BA9"/>
    <w:rsid w:val="0087376E"/>
    <w:rsid w:val="00874C45"/>
    <w:rsid w:val="00875130"/>
    <w:rsid w:val="00875301"/>
    <w:rsid w:val="00895940"/>
    <w:rsid w:val="00897300"/>
    <w:rsid w:val="008C26E6"/>
    <w:rsid w:val="008C32A6"/>
    <w:rsid w:val="008C5F48"/>
    <w:rsid w:val="008C7AA6"/>
    <w:rsid w:val="008D02A1"/>
    <w:rsid w:val="008D2ED1"/>
    <w:rsid w:val="008D72FE"/>
    <w:rsid w:val="008D7FD9"/>
    <w:rsid w:val="008E74D0"/>
    <w:rsid w:val="008F10C0"/>
    <w:rsid w:val="008F7771"/>
    <w:rsid w:val="00915277"/>
    <w:rsid w:val="0091641F"/>
    <w:rsid w:val="009351E4"/>
    <w:rsid w:val="00936762"/>
    <w:rsid w:val="00953D5A"/>
    <w:rsid w:val="0096552C"/>
    <w:rsid w:val="00970818"/>
    <w:rsid w:val="009710C4"/>
    <w:rsid w:val="00973328"/>
    <w:rsid w:val="0097683D"/>
    <w:rsid w:val="009871B4"/>
    <w:rsid w:val="00991416"/>
    <w:rsid w:val="009A3534"/>
    <w:rsid w:val="009A71DD"/>
    <w:rsid w:val="009C1109"/>
    <w:rsid w:val="009C29B1"/>
    <w:rsid w:val="009C70BD"/>
    <w:rsid w:val="009D27DB"/>
    <w:rsid w:val="009D3C8E"/>
    <w:rsid w:val="009D5F4F"/>
    <w:rsid w:val="009D7339"/>
    <w:rsid w:val="009E0016"/>
    <w:rsid w:val="009E4A48"/>
    <w:rsid w:val="009E6B2F"/>
    <w:rsid w:val="009F37B8"/>
    <w:rsid w:val="009F5A71"/>
    <w:rsid w:val="009F649A"/>
    <w:rsid w:val="00A01C11"/>
    <w:rsid w:val="00A0249F"/>
    <w:rsid w:val="00A06622"/>
    <w:rsid w:val="00A07D08"/>
    <w:rsid w:val="00A11B9A"/>
    <w:rsid w:val="00A1419B"/>
    <w:rsid w:val="00A14BB4"/>
    <w:rsid w:val="00A21842"/>
    <w:rsid w:val="00A21F68"/>
    <w:rsid w:val="00A3589D"/>
    <w:rsid w:val="00A35CD4"/>
    <w:rsid w:val="00A412C8"/>
    <w:rsid w:val="00A44FBB"/>
    <w:rsid w:val="00A54D69"/>
    <w:rsid w:val="00AA43BE"/>
    <w:rsid w:val="00AA7786"/>
    <w:rsid w:val="00AB08B4"/>
    <w:rsid w:val="00AB0ADF"/>
    <w:rsid w:val="00AB3C70"/>
    <w:rsid w:val="00AB42B1"/>
    <w:rsid w:val="00AB4E3C"/>
    <w:rsid w:val="00AC1904"/>
    <w:rsid w:val="00AC49B5"/>
    <w:rsid w:val="00AD01AB"/>
    <w:rsid w:val="00AE27E7"/>
    <w:rsid w:val="00AE675B"/>
    <w:rsid w:val="00AE68A4"/>
    <w:rsid w:val="00AF1758"/>
    <w:rsid w:val="00B05DBA"/>
    <w:rsid w:val="00B079C5"/>
    <w:rsid w:val="00B1027F"/>
    <w:rsid w:val="00B11F76"/>
    <w:rsid w:val="00B16B07"/>
    <w:rsid w:val="00B21C77"/>
    <w:rsid w:val="00B22137"/>
    <w:rsid w:val="00B270F9"/>
    <w:rsid w:val="00B47A24"/>
    <w:rsid w:val="00B507E9"/>
    <w:rsid w:val="00B520CE"/>
    <w:rsid w:val="00B63603"/>
    <w:rsid w:val="00B65C23"/>
    <w:rsid w:val="00B66429"/>
    <w:rsid w:val="00B71715"/>
    <w:rsid w:val="00B729AE"/>
    <w:rsid w:val="00B76E15"/>
    <w:rsid w:val="00B84F70"/>
    <w:rsid w:val="00B86C2F"/>
    <w:rsid w:val="00B91542"/>
    <w:rsid w:val="00BA254A"/>
    <w:rsid w:val="00BB21E7"/>
    <w:rsid w:val="00BC3D02"/>
    <w:rsid w:val="00BC574E"/>
    <w:rsid w:val="00BD7E28"/>
    <w:rsid w:val="00BE0580"/>
    <w:rsid w:val="00BF103A"/>
    <w:rsid w:val="00BF503B"/>
    <w:rsid w:val="00BF6BDF"/>
    <w:rsid w:val="00BF7271"/>
    <w:rsid w:val="00C07EF9"/>
    <w:rsid w:val="00C24D4D"/>
    <w:rsid w:val="00C31C91"/>
    <w:rsid w:val="00C35D07"/>
    <w:rsid w:val="00C467A4"/>
    <w:rsid w:val="00C51621"/>
    <w:rsid w:val="00C55206"/>
    <w:rsid w:val="00C629D9"/>
    <w:rsid w:val="00C62A79"/>
    <w:rsid w:val="00C64949"/>
    <w:rsid w:val="00C834E4"/>
    <w:rsid w:val="00C83971"/>
    <w:rsid w:val="00C861C1"/>
    <w:rsid w:val="00C96410"/>
    <w:rsid w:val="00CA1398"/>
    <w:rsid w:val="00CA3081"/>
    <w:rsid w:val="00CA3220"/>
    <w:rsid w:val="00CA57CA"/>
    <w:rsid w:val="00CB2521"/>
    <w:rsid w:val="00CB449A"/>
    <w:rsid w:val="00CC1D8D"/>
    <w:rsid w:val="00CC4BE1"/>
    <w:rsid w:val="00CD3839"/>
    <w:rsid w:val="00CE2EAC"/>
    <w:rsid w:val="00CE559E"/>
    <w:rsid w:val="00D20A79"/>
    <w:rsid w:val="00D2126F"/>
    <w:rsid w:val="00D27037"/>
    <w:rsid w:val="00D2742E"/>
    <w:rsid w:val="00D27EB5"/>
    <w:rsid w:val="00D36277"/>
    <w:rsid w:val="00D40307"/>
    <w:rsid w:val="00D406D0"/>
    <w:rsid w:val="00D43E91"/>
    <w:rsid w:val="00D62733"/>
    <w:rsid w:val="00D65FC8"/>
    <w:rsid w:val="00D66BDA"/>
    <w:rsid w:val="00D75332"/>
    <w:rsid w:val="00D80FD4"/>
    <w:rsid w:val="00D8512E"/>
    <w:rsid w:val="00D907CF"/>
    <w:rsid w:val="00DA546B"/>
    <w:rsid w:val="00DA5AC2"/>
    <w:rsid w:val="00DB5646"/>
    <w:rsid w:val="00DC0402"/>
    <w:rsid w:val="00DC1774"/>
    <w:rsid w:val="00DC2976"/>
    <w:rsid w:val="00DC4F85"/>
    <w:rsid w:val="00DD4EB8"/>
    <w:rsid w:val="00DF2E92"/>
    <w:rsid w:val="00E20BD9"/>
    <w:rsid w:val="00E25403"/>
    <w:rsid w:val="00E32991"/>
    <w:rsid w:val="00E3378F"/>
    <w:rsid w:val="00E36C68"/>
    <w:rsid w:val="00E3709B"/>
    <w:rsid w:val="00E442A5"/>
    <w:rsid w:val="00E5064E"/>
    <w:rsid w:val="00E565C7"/>
    <w:rsid w:val="00E57DA5"/>
    <w:rsid w:val="00E70D72"/>
    <w:rsid w:val="00E71AB0"/>
    <w:rsid w:val="00E73323"/>
    <w:rsid w:val="00E74039"/>
    <w:rsid w:val="00E81721"/>
    <w:rsid w:val="00E819B7"/>
    <w:rsid w:val="00E84D5B"/>
    <w:rsid w:val="00EA140E"/>
    <w:rsid w:val="00EA62FF"/>
    <w:rsid w:val="00EB4554"/>
    <w:rsid w:val="00EC1446"/>
    <w:rsid w:val="00EC1BF2"/>
    <w:rsid w:val="00EC2613"/>
    <w:rsid w:val="00EE15EF"/>
    <w:rsid w:val="00F34C65"/>
    <w:rsid w:val="00F40AFB"/>
    <w:rsid w:val="00F51EBE"/>
    <w:rsid w:val="00F52E4D"/>
    <w:rsid w:val="00F538E8"/>
    <w:rsid w:val="00F56383"/>
    <w:rsid w:val="00F600CE"/>
    <w:rsid w:val="00F60D79"/>
    <w:rsid w:val="00F63AB2"/>
    <w:rsid w:val="00F72AE9"/>
    <w:rsid w:val="00F81001"/>
    <w:rsid w:val="00F846BC"/>
    <w:rsid w:val="00F8518B"/>
    <w:rsid w:val="00F90F21"/>
    <w:rsid w:val="00F92F4B"/>
    <w:rsid w:val="00FD24BC"/>
    <w:rsid w:val="00FE2E5E"/>
    <w:rsid w:val="00FE62ED"/>
    <w:rsid w:val="00FF12B6"/>
    <w:rsid w:val="00FF5385"/>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1AB4"/>
  <w15:docId w15:val="{BD5594AC-68D3-4B26-BEB1-EE78A7BF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after="120" w:line="271"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Georgia" w:eastAsia="Georgia" w:hAnsi="Georgia" w:cs="Georgia"/>
      <w:sz w:val="20"/>
      <w:szCs w:val="20"/>
    </w:r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EB4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554"/>
    <w:rPr>
      <w:rFonts w:ascii="Segoe UI" w:hAnsi="Segoe UI" w:cs="Segoe UI"/>
      <w:sz w:val="18"/>
      <w:szCs w:val="18"/>
    </w:rPr>
  </w:style>
  <w:style w:type="paragraph" w:styleId="Header">
    <w:name w:val="header"/>
    <w:basedOn w:val="Normal"/>
    <w:link w:val="HeaderChar"/>
    <w:uiPriority w:val="99"/>
    <w:unhideWhenUsed/>
    <w:rsid w:val="00EB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554"/>
  </w:style>
  <w:style w:type="paragraph" w:styleId="Footer">
    <w:name w:val="footer"/>
    <w:basedOn w:val="Normal"/>
    <w:link w:val="FooterChar"/>
    <w:uiPriority w:val="99"/>
    <w:unhideWhenUsed/>
    <w:rsid w:val="00EB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554"/>
  </w:style>
  <w:style w:type="paragraph" w:styleId="CommentSubject">
    <w:name w:val="annotation subject"/>
    <w:basedOn w:val="CommentText"/>
    <w:next w:val="CommentText"/>
    <w:link w:val="CommentSubjectChar"/>
    <w:uiPriority w:val="99"/>
    <w:semiHidden/>
    <w:unhideWhenUsed/>
    <w:rsid w:val="00735032"/>
    <w:rPr>
      <w:b/>
      <w:bCs/>
    </w:rPr>
  </w:style>
  <w:style w:type="character" w:customStyle="1" w:styleId="CommentSubjectChar">
    <w:name w:val="Comment Subject Char"/>
    <w:basedOn w:val="CommentTextChar"/>
    <w:link w:val="CommentSubject"/>
    <w:uiPriority w:val="99"/>
    <w:semiHidden/>
    <w:rsid w:val="00735032"/>
    <w:rPr>
      <w:b/>
      <w:bCs/>
      <w:sz w:val="20"/>
      <w:szCs w:val="20"/>
    </w:rPr>
  </w:style>
  <w:style w:type="paragraph" w:styleId="EndnoteText">
    <w:name w:val="endnote text"/>
    <w:basedOn w:val="Normal"/>
    <w:link w:val="EndnoteTextChar"/>
    <w:uiPriority w:val="99"/>
    <w:unhideWhenUsed/>
    <w:rsid w:val="00735032"/>
    <w:pPr>
      <w:spacing w:after="0" w:line="240" w:lineRule="auto"/>
    </w:pPr>
    <w:rPr>
      <w:sz w:val="20"/>
      <w:szCs w:val="20"/>
    </w:rPr>
  </w:style>
  <w:style w:type="character" w:customStyle="1" w:styleId="EndnoteTextChar">
    <w:name w:val="Endnote Text Char"/>
    <w:basedOn w:val="DefaultParagraphFont"/>
    <w:link w:val="EndnoteText"/>
    <w:uiPriority w:val="99"/>
    <w:rsid w:val="00735032"/>
    <w:rPr>
      <w:sz w:val="20"/>
      <w:szCs w:val="20"/>
    </w:rPr>
  </w:style>
  <w:style w:type="character" w:styleId="EndnoteReference">
    <w:name w:val="endnote reference"/>
    <w:basedOn w:val="DefaultParagraphFont"/>
    <w:uiPriority w:val="99"/>
    <w:semiHidden/>
    <w:unhideWhenUsed/>
    <w:rsid w:val="00735032"/>
    <w:rPr>
      <w:vertAlign w:val="superscript"/>
    </w:rPr>
  </w:style>
  <w:style w:type="paragraph" w:styleId="Revision">
    <w:name w:val="Revision"/>
    <w:hidden/>
    <w:uiPriority w:val="99"/>
    <w:semiHidden/>
    <w:rsid w:val="00E3378F"/>
    <w:pPr>
      <w:spacing w:after="0" w:line="240" w:lineRule="auto"/>
      <w:jc w:val="left"/>
    </w:p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Cha,Ch"/>
    <w:basedOn w:val="Normal"/>
    <w:link w:val="FootnoteTextChar"/>
    <w:unhideWhenUsed/>
    <w:rsid w:val="004064B6"/>
    <w:pPr>
      <w:spacing w:after="0" w:line="240" w:lineRule="auto"/>
    </w:pPr>
    <w:rPr>
      <w:sz w:val="20"/>
      <w:szCs w:val="20"/>
    </w:rPr>
  </w:style>
  <w:style w:type="character" w:customStyle="1" w:styleId="FootnoteTextChar">
    <w:name w:val="Footnote Text Char"/>
    <w:aliases w:val="ARM footnote Text Char1,Footnote Text Char1 Char1,Footnote Text Char2 Char1,Footnote Text Char11 Char1,Footnote Text Char3 Char1,Footnote Text Char4 Char1,Footnote Text Char5 Char1,Footnote Text Char6 Char1,Footnote Text Char12 Char1"/>
    <w:basedOn w:val="DefaultParagraphFont"/>
    <w:link w:val="FootnoteText"/>
    <w:uiPriority w:val="99"/>
    <w:rsid w:val="004064B6"/>
    <w:rPr>
      <w:sz w:val="20"/>
      <w:szCs w:val="20"/>
    </w:rPr>
  </w:style>
  <w:style w:type="character" w:styleId="FootnoteReference">
    <w:name w:val="footnote reference"/>
    <w:basedOn w:val="DefaultParagraphFont"/>
    <w:uiPriority w:val="99"/>
    <w:unhideWhenUsed/>
    <w:rsid w:val="004064B6"/>
    <w:rPr>
      <w:vertAlign w:val="superscript"/>
    </w:rPr>
  </w:style>
  <w:style w:type="paragraph" w:customStyle="1" w:styleId="Default">
    <w:name w:val="Default"/>
    <w:rsid w:val="00742838"/>
    <w:pPr>
      <w:autoSpaceDE w:val="0"/>
      <w:autoSpaceDN w:val="0"/>
      <w:adjustRightInd w:val="0"/>
      <w:spacing w:after="0" w:line="240" w:lineRule="auto"/>
      <w:jc w:val="left"/>
    </w:pPr>
    <w:rPr>
      <w:color w:val="000000"/>
      <w:sz w:val="24"/>
      <w:szCs w:val="24"/>
      <w:lang w:val="en-US"/>
    </w:rPr>
  </w:style>
  <w:style w:type="character" w:customStyle="1" w:styleId="FootnoteTextChar7">
    <w:name w:val="Footnote Text Char7"/>
    <w:aliases w:val="ARM footnote Text Char,Footnote Text Char1 Char,Footnote Text Char2 Char,Footnote Text Char11 Char,Footnote Text Char3 Char,Footnote Text Char4 Char,Footnote Text Char5 Char,Footnote Text Char6 Char,Footnote Text Char12 Char,Cha Char"/>
    <w:uiPriority w:val="99"/>
    <w:locked/>
    <w:rsid w:val="00775D09"/>
    <w:rPr>
      <w:kern w:val="8"/>
      <w:lang w:val="en-US" w:bidi="he-IL"/>
    </w:rPr>
  </w:style>
  <w:style w:type="table" w:styleId="TableGrid">
    <w:name w:val="Table Grid"/>
    <w:basedOn w:val="TableNormal"/>
    <w:uiPriority w:val="59"/>
    <w:rsid w:val="00775D09"/>
    <w:pPr>
      <w:spacing w:after="0" w:line="240" w:lineRule="auto"/>
      <w:jc w:val="left"/>
    </w:pPr>
    <w:rPr>
      <w:rFonts w:asciiTheme="minorHAnsi" w:eastAsiaTheme="minorEastAsia" w:hAnsiTheme="minorHAnsi" w:cstheme="minorBidi"/>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775D09"/>
    <w:pPr>
      <w:spacing w:after="240" w:line="240" w:lineRule="atLeast"/>
      <w:jc w:val="left"/>
    </w:pPr>
    <w:rPr>
      <w:rFonts w:eastAsiaTheme="minorHAnsi"/>
      <w:sz w:val="20"/>
      <w:szCs w:val="20"/>
    </w:rPr>
  </w:style>
  <w:style w:type="character" w:customStyle="1" w:styleId="BodyTextChar">
    <w:name w:val="Body Text Char"/>
    <w:basedOn w:val="DefaultParagraphFont"/>
    <w:link w:val="BodyText"/>
    <w:rsid w:val="00775D09"/>
    <w:rPr>
      <w:rFonts w:eastAsiaTheme="minorHAnsi"/>
      <w:sz w:val="20"/>
      <w:szCs w:val="20"/>
    </w:rPr>
  </w:style>
  <w:style w:type="paragraph" w:styleId="ListParagraph">
    <w:name w:val="List Paragraph"/>
    <w:basedOn w:val="Normal"/>
    <w:uiPriority w:val="34"/>
    <w:qFormat/>
    <w:rsid w:val="00574414"/>
    <w:pPr>
      <w:ind w:left="720"/>
      <w:contextualSpacing/>
    </w:pPr>
  </w:style>
  <w:style w:type="paragraph" w:customStyle="1" w:styleId="bodytext0">
    <w:name w:val="bodytext"/>
    <w:basedOn w:val="Normal"/>
    <w:rsid w:val="006101BC"/>
    <w:pPr>
      <w:spacing w:before="100" w:beforeAutospacing="1" w:after="100" w:afterAutospacing="1" w:line="240" w:lineRule="auto"/>
      <w:jc w:val="left"/>
    </w:pPr>
    <w:rPr>
      <w:rFonts w:ascii="Times New Roman" w:eastAsia="Times New Roman" w:hAnsi="Times New Roman" w:cs="Times New Roman"/>
      <w:color w:val="000000"/>
      <w:sz w:val="24"/>
      <w:szCs w:val="24"/>
      <w:lang w:val="en-ZA" w:eastAsia="en-ZA"/>
    </w:rPr>
  </w:style>
  <w:style w:type="character" w:styleId="Strong">
    <w:name w:val="Strong"/>
    <w:basedOn w:val="DefaultParagraphFont"/>
    <w:qFormat/>
    <w:rsid w:val="00D66BDA"/>
    <w:rPr>
      <w:b/>
      <w:bCs/>
    </w:rPr>
  </w:style>
  <w:style w:type="paragraph" w:customStyle="1" w:styleId="IFACNumberAndLetterHB">
    <w:name w:val="IFAC NumberAndLetter_HB"/>
    <w:basedOn w:val="ListParagraph"/>
    <w:autoRedefine/>
    <w:qFormat/>
    <w:rsid w:val="00EA62FF"/>
    <w:pPr>
      <w:numPr>
        <w:numId w:val="22"/>
      </w:numPr>
      <w:tabs>
        <w:tab w:val="left" w:pos="720"/>
      </w:tabs>
      <w:spacing w:before="120" w:after="0" w:line="240" w:lineRule="exact"/>
      <w:ind w:left="734" w:hanging="547"/>
      <w:contextualSpacing w:val="0"/>
    </w:pPr>
    <w:rPr>
      <w:rFonts w:ascii="Times New Roman" w:eastAsia="Times New Roman" w:hAnsi="Times New Roman" w:cs="Times New Roman"/>
      <w:kern w:val="2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6908">
      <w:bodyDiv w:val="1"/>
      <w:marLeft w:val="0"/>
      <w:marRight w:val="0"/>
      <w:marTop w:val="0"/>
      <w:marBottom w:val="0"/>
      <w:divBdr>
        <w:top w:val="none" w:sz="0" w:space="0" w:color="auto"/>
        <w:left w:val="none" w:sz="0" w:space="0" w:color="auto"/>
        <w:bottom w:val="none" w:sz="0" w:space="0" w:color="auto"/>
        <w:right w:val="none" w:sz="0" w:space="0" w:color="auto"/>
      </w:divBdr>
    </w:div>
    <w:div w:id="27727573">
      <w:bodyDiv w:val="1"/>
      <w:marLeft w:val="0"/>
      <w:marRight w:val="0"/>
      <w:marTop w:val="0"/>
      <w:marBottom w:val="0"/>
      <w:divBdr>
        <w:top w:val="none" w:sz="0" w:space="0" w:color="auto"/>
        <w:left w:val="none" w:sz="0" w:space="0" w:color="auto"/>
        <w:bottom w:val="none" w:sz="0" w:space="0" w:color="auto"/>
        <w:right w:val="none" w:sz="0" w:space="0" w:color="auto"/>
      </w:divBdr>
    </w:div>
    <w:div w:id="143939530">
      <w:bodyDiv w:val="1"/>
      <w:marLeft w:val="0"/>
      <w:marRight w:val="0"/>
      <w:marTop w:val="0"/>
      <w:marBottom w:val="0"/>
      <w:divBdr>
        <w:top w:val="none" w:sz="0" w:space="0" w:color="auto"/>
        <w:left w:val="none" w:sz="0" w:space="0" w:color="auto"/>
        <w:bottom w:val="none" w:sz="0" w:space="0" w:color="auto"/>
        <w:right w:val="none" w:sz="0" w:space="0" w:color="auto"/>
      </w:divBdr>
    </w:div>
    <w:div w:id="468938606">
      <w:bodyDiv w:val="1"/>
      <w:marLeft w:val="0"/>
      <w:marRight w:val="0"/>
      <w:marTop w:val="0"/>
      <w:marBottom w:val="0"/>
      <w:divBdr>
        <w:top w:val="none" w:sz="0" w:space="0" w:color="auto"/>
        <w:left w:val="none" w:sz="0" w:space="0" w:color="auto"/>
        <w:bottom w:val="none" w:sz="0" w:space="0" w:color="auto"/>
        <w:right w:val="none" w:sz="0" w:space="0" w:color="auto"/>
      </w:divBdr>
    </w:div>
    <w:div w:id="647636727">
      <w:bodyDiv w:val="1"/>
      <w:marLeft w:val="0"/>
      <w:marRight w:val="0"/>
      <w:marTop w:val="0"/>
      <w:marBottom w:val="0"/>
      <w:divBdr>
        <w:top w:val="none" w:sz="0" w:space="0" w:color="auto"/>
        <w:left w:val="none" w:sz="0" w:space="0" w:color="auto"/>
        <w:bottom w:val="none" w:sz="0" w:space="0" w:color="auto"/>
        <w:right w:val="none" w:sz="0" w:space="0" w:color="auto"/>
      </w:divBdr>
    </w:div>
    <w:div w:id="1069577404">
      <w:bodyDiv w:val="1"/>
      <w:marLeft w:val="0"/>
      <w:marRight w:val="0"/>
      <w:marTop w:val="0"/>
      <w:marBottom w:val="0"/>
      <w:divBdr>
        <w:top w:val="none" w:sz="0" w:space="0" w:color="auto"/>
        <w:left w:val="none" w:sz="0" w:space="0" w:color="auto"/>
        <w:bottom w:val="none" w:sz="0" w:space="0" w:color="auto"/>
        <w:right w:val="none" w:sz="0" w:space="0" w:color="auto"/>
      </w:divBdr>
    </w:div>
    <w:div w:id="1288707981">
      <w:bodyDiv w:val="1"/>
      <w:marLeft w:val="0"/>
      <w:marRight w:val="0"/>
      <w:marTop w:val="0"/>
      <w:marBottom w:val="0"/>
      <w:divBdr>
        <w:top w:val="none" w:sz="0" w:space="0" w:color="auto"/>
        <w:left w:val="none" w:sz="0" w:space="0" w:color="auto"/>
        <w:bottom w:val="none" w:sz="0" w:space="0" w:color="auto"/>
        <w:right w:val="none" w:sz="0" w:space="0" w:color="auto"/>
      </w:divBdr>
    </w:div>
    <w:div w:id="1601374181">
      <w:bodyDiv w:val="1"/>
      <w:marLeft w:val="0"/>
      <w:marRight w:val="0"/>
      <w:marTop w:val="0"/>
      <w:marBottom w:val="0"/>
      <w:divBdr>
        <w:top w:val="none" w:sz="0" w:space="0" w:color="auto"/>
        <w:left w:val="none" w:sz="0" w:space="0" w:color="auto"/>
        <w:bottom w:val="none" w:sz="0" w:space="0" w:color="auto"/>
        <w:right w:val="none" w:sz="0" w:space="0" w:color="auto"/>
      </w:divBdr>
    </w:div>
    <w:div w:id="198777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CEDD8-018A-41BA-976C-8ED68C80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Kumu Matambo</dc:creator>
  <cp:lastModifiedBy>Kumukakwashe Matambo</cp:lastModifiedBy>
  <cp:revision>4</cp:revision>
  <cp:lastPrinted>2022-04-29T06:45:00Z</cp:lastPrinted>
  <dcterms:created xsi:type="dcterms:W3CDTF">2022-04-03T05:48:00Z</dcterms:created>
  <dcterms:modified xsi:type="dcterms:W3CDTF">2022-04-29T06:45:00Z</dcterms:modified>
</cp:coreProperties>
</file>