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721A6" w14:textId="77777777" w:rsidR="00CF6996" w:rsidRPr="00084BC2" w:rsidRDefault="00B415EF" w:rsidP="00B415EF">
      <w:pPr>
        <w:widowControl/>
        <w:autoSpaceDE/>
        <w:autoSpaceDN/>
        <w:adjustRightInd/>
        <w:spacing w:after="0"/>
        <w:jc w:val="left"/>
        <w:rPr>
          <w:b/>
          <w:sz w:val="24"/>
          <w:szCs w:val="24"/>
        </w:rPr>
      </w:pPr>
      <w:r w:rsidRPr="00084BC2">
        <w:rPr>
          <w:rFonts w:eastAsia="Times New Roman"/>
          <w:noProof/>
          <w:color w:val="51626F"/>
          <w:sz w:val="20"/>
          <w:szCs w:val="20"/>
          <w:lang w:val="en-US" w:eastAsia="en-US"/>
        </w:rPr>
        <mc:AlternateContent>
          <mc:Choice Requires="wps">
            <w:drawing>
              <wp:anchor distT="0" distB="0" distL="114300" distR="114300" simplePos="0" relativeHeight="251661312" behindDoc="0" locked="0" layoutInCell="1" allowOverlap="1" wp14:anchorId="5207C0B4" wp14:editId="0E78A1D8">
                <wp:simplePos x="0" y="0"/>
                <wp:positionH relativeFrom="column">
                  <wp:posOffset>-2334895</wp:posOffset>
                </wp:positionH>
                <wp:positionV relativeFrom="paragraph">
                  <wp:posOffset>4724400</wp:posOffset>
                </wp:positionV>
                <wp:extent cx="1057275" cy="123825"/>
                <wp:effectExtent l="0" t="0" r="0" b="0"/>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123825"/>
                        </a:xfrm>
                        <a:prstGeom prst="rect">
                          <a:avLst/>
                        </a:prstGeom>
                        <a:noFill/>
                        <a:ln w="6350">
                          <a:noFill/>
                        </a:ln>
                        <a:effectLst/>
                      </wps:spPr>
                      <wps:txbx>
                        <w:txbxContent>
                          <w:p w14:paraId="76B2EF8F" w14:textId="77777777" w:rsidR="00AB355B" w:rsidRPr="0007680F" w:rsidRDefault="00AB355B" w:rsidP="00CF6996">
                            <w:pPr>
                              <w:rPr>
                                <w:b/>
                                <w:color w:val="51626F"/>
                                <w:sz w:val="48"/>
                                <w:szCs w:val="36"/>
                              </w:rPr>
                            </w:pPr>
                          </w:p>
                          <w:p w14:paraId="499D4353" w14:textId="77777777" w:rsidR="00AB355B" w:rsidRDefault="00AB355B" w:rsidP="00CF69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7C0B4" id="_x0000_t202" coordsize="21600,21600" o:spt="202" path="m,l,21600r21600,l21600,xe">
                <v:stroke joinstyle="miter"/>
                <v:path gradientshapeok="t" o:connecttype="rect"/>
              </v:shapetype>
              <v:shape id="Text Box 27" o:spid="_x0000_s1026" type="#_x0000_t202" style="position:absolute;margin-left:-183.85pt;margin-top:372pt;width:83.2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" filled="f" stroked="f" strokeweight=".5pt">
                <v:textbox>
                  <w:txbxContent>
                    <w:p w14:paraId="76B2EF8F" w14:textId="77777777" w:rsidR="00AB355B" w:rsidRPr="0007680F" w:rsidRDefault="00AB355B" w:rsidP="00CF6996">
                      <w:pPr>
                        <w:rPr>
                          <w:b/>
                          <w:color w:val="51626F"/>
                          <w:sz w:val="48"/>
                          <w:szCs w:val="36"/>
                        </w:rPr>
                      </w:pPr>
                    </w:p>
                    <w:p w14:paraId="499D4353" w14:textId="77777777" w:rsidR="00AB355B" w:rsidRDefault="00AB355B" w:rsidP="00CF6996"/>
                  </w:txbxContent>
                </v:textbox>
              </v:shape>
            </w:pict>
          </mc:Fallback>
        </mc:AlternateContent>
      </w:r>
    </w:p>
    <w:p w14:paraId="2C12B51F" w14:textId="6F88E5FD" w:rsidR="00CF6996" w:rsidRPr="00B06842" w:rsidRDefault="00D3634A" w:rsidP="007E0241">
      <w:pPr>
        <w:widowControl/>
        <w:autoSpaceDE/>
        <w:autoSpaceDN/>
        <w:adjustRightInd/>
        <w:spacing w:line="360" w:lineRule="auto"/>
        <w:ind w:right="6"/>
        <w:jc w:val="right"/>
        <w:rPr>
          <w:rFonts w:cs="Arial"/>
          <w:b/>
          <w:sz w:val="28"/>
          <w:szCs w:val="28"/>
        </w:rPr>
      </w:pPr>
      <w:r w:rsidRPr="00B06842">
        <w:rPr>
          <w:rFonts w:cs="Arial"/>
          <w:b/>
          <w:sz w:val="28"/>
          <w:szCs w:val="28"/>
        </w:rPr>
        <w:t>SAA</w:t>
      </w:r>
      <w:r w:rsidR="0005077D" w:rsidRPr="00B06842">
        <w:rPr>
          <w:rFonts w:cs="Arial"/>
          <w:b/>
          <w:sz w:val="28"/>
          <w:szCs w:val="28"/>
        </w:rPr>
        <w:t>E</w:t>
      </w:r>
      <w:r w:rsidRPr="00B06842">
        <w:rPr>
          <w:rFonts w:cs="Arial"/>
          <w:b/>
          <w:sz w:val="28"/>
          <w:szCs w:val="28"/>
        </w:rPr>
        <w:t>PS</w:t>
      </w:r>
      <w:r w:rsidR="00AD42FD" w:rsidRPr="00B06842">
        <w:rPr>
          <w:rFonts w:cs="Arial"/>
          <w:b/>
          <w:sz w:val="28"/>
          <w:szCs w:val="28"/>
        </w:rPr>
        <w:t xml:space="preserve"> </w:t>
      </w:r>
      <w:r w:rsidR="0005077D" w:rsidRPr="00B06842">
        <w:rPr>
          <w:rFonts w:cs="Arial"/>
          <w:b/>
          <w:sz w:val="28"/>
          <w:szCs w:val="28"/>
        </w:rPr>
        <w:t>1</w:t>
      </w:r>
    </w:p>
    <w:p w14:paraId="64BB3B9A" w14:textId="29C452BB" w:rsidR="00160FE8" w:rsidRPr="00B06842" w:rsidRDefault="000B627F" w:rsidP="007E0241">
      <w:pPr>
        <w:widowControl/>
        <w:autoSpaceDE/>
        <w:autoSpaceDN/>
        <w:adjustRightInd/>
        <w:spacing w:line="360" w:lineRule="auto"/>
        <w:jc w:val="right"/>
        <w:rPr>
          <w:rFonts w:cs="Arial"/>
          <w:b/>
          <w:sz w:val="24"/>
          <w:szCs w:val="24"/>
        </w:rPr>
      </w:pPr>
      <w:r w:rsidRPr="00B06842">
        <w:rPr>
          <w:rFonts w:cs="Arial"/>
          <w:b/>
          <w:sz w:val="24"/>
          <w:szCs w:val="24"/>
        </w:rPr>
        <w:t>August 2018</w:t>
      </w:r>
      <w:r w:rsidR="00783C5C">
        <w:rPr>
          <w:rFonts w:cs="Arial"/>
          <w:b/>
          <w:sz w:val="24"/>
          <w:szCs w:val="24"/>
        </w:rPr>
        <w:t xml:space="preserve"> Updated</w:t>
      </w:r>
      <w:r w:rsidRPr="00B06842">
        <w:rPr>
          <w:rFonts w:cs="Arial"/>
          <w:b/>
          <w:sz w:val="24"/>
          <w:szCs w:val="24"/>
        </w:rPr>
        <w:t xml:space="preserve"> </w:t>
      </w:r>
    </w:p>
    <w:p w14:paraId="1A773D88" w14:textId="77777777" w:rsidR="00586C56" w:rsidRPr="00B06842" w:rsidRDefault="00896B8D" w:rsidP="00123B46">
      <w:pPr>
        <w:widowControl/>
        <w:tabs>
          <w:tab w:val="left" w:pos="2100"/>
          <w:tab w:val="right" w:pos="8511"/>
        </w:tabs>
        <w:autoSpaceDE/>
        <w:autoSpaceDN/>
        <w:adjustRightInd/>
        <w:jc w:val="left"/>
        <w:rPr>
          <w:rFonts w:cs="Arial"/>
          <w:b/>
        </w:rPr>
      </w:pPr>
      <w:r w:rsidRPr="00B06842">
        <w:rPr>
          <w:rFonts w:cs="Arial"/>
        </w:rPr>
        <w:tab/>
      </w:r>
      <w:r w:rsidRPr="00B06842">
        <w:rPr>
          <w:rFonts w:cs="Arial"/>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3"/>
      </w:tblGrid>
      <w:tr w:rsidR="00586C56" w:rsidRPr="00FB6FEC" w14:paraId="26786977" w14:textId="77777777" w:rsidTr="00B92444">
        <w:trPr>
          <w:trHeight w:val="1673"/>
        </w:trPr>
        <w:tc>
          <w:tcPr>
            <w:tcW w:w="9242" w:type="dxa"/>
            <w:shd w:val="clear" w:color="auto" w:fill="D9D9D9"/>
            <w:vAlign w:val="center"/>
          </w:tcPr>
          <w:p w14:paraId="6B804A51" w14:textId="77777777" w:rsidR="00586C56" w:rsidRPr="00FB6FEC" w:rsidRDefault="00586C56" w:rsidP="00B92444">
            <w:pPr>
              <w:spacing w:line="276" w:lineRule="auto"/>
              <w:rPr>
                <w:rFonts w:eastAsia="Arial" w:cs="Arial"/>
                <w:b/>
                <w:szCs w:val="20"/>
                <w:lang w:eastAsia="en-US"/>
              </w:rPr>
            </w:pPr>
            <w:r w:rsidRPr="00FB6FEC">
              <w:rPr>
                <w:rFonts w:eastAsia="Arial" w:cs="Arial"/>
                <w:b/>
                <w:sz w:val="18"/>
                <w:szCs w:val="18"/>
                <w:lang w:eastAsia="en-US"/>
              </w:rPr>
              <w:t>Updated in November 2021 for conforming and consequential amendments to the IAASB’s International Standards arising from the IAASB’s Quality Management Standards</w:t>
            </w:r>
            <w:r w:rsidRPr="00FB6FEC">
              <w:rPr>
                <w:rFonts w:eastAsia="Arial" w:cs="Arial"/>
                <w:b/>
                <w:bCs/>
                <w:szCs w:val="20"/>
                <w:lang w:eastAsia="en-US"/>
              </w:rPr>
              <w:t>.</w:t>
            </w:r>
          </w:p>
          <w:p w14:paraId="33B0034E" w14:textId="77777777" w:rsidR="00586C56" w:rsidRPr="00FB6FEC" w:rsidRDefault="00586C56" w:rsidP="00B92444">
            <w:pPr>
              <w:spacing w:line="276" w:lineRule="auto"/>
              <w:rPr>
                <w:rFonts w:eastAsia="Arial" w:cs="Arial"/>
                <w:sz w:val="18"/>
                <w:szCs w:val="18"/>
                <w:lang w:eastAsia="en-US"/>
              </w:rPr>
            </w:pPr>
            <w:r w:rsidRPr="00FB6FEC">
              <w:rPr>
                <w:rFonts w:eastAsia="Arial" w:cs="Arial"/>
                <w:sz w:val="18"/>
                <w:szCs w:val="18"/>
                <w:lang w:eastAsia="en-US"/>
              </w:rPr>
              <w:t>Effective date:</w:t>
            </w:r>
          </w:p>
          <w:p w14:paraId="027BA72C" w14:textId="77777777" w:rsidR="00586C56" w:rsidRPr="00FB6FEC" w:rsidRDefault="00586C56" w:rsidP="00586C56">
            <w:pPr>
              <w:numPr>
                <w:ilvl w:val="0"/>
                <w:numId w:val="49"/>
              </w:numPr>
              <w:spacing w:line="276" w:lineRule="auto"/>
              <w:contextualSpacing/>
              <w:rPr>
                <w:rFonts w:eastAsia="Arial" w:cs="Arial"/>
                <w:sz w:val="18"/>
                <w:szCs w:val="18"/>
                <w:lang w:eastAsia="en-US"/>
              </w:rPr>
            </w:pPr>
            <w:r w:rsidRPr="00FB6FEC">
              <w:rPr>
                <w:rFonts w:eastAsia="Arial" w:cs="Arial"/>
                <w:sz w:val="18"/>
                <w:szCs w:val="18"/>
                <w:lang w:eastAsia="en-US"/>
              </w:rPr>
              <w:t>Audits and reviews of financial statements for periods beginning on or after 15 December 2022; and</w:t>
            </w:r>
          </w:p>
          <w:p w14:paraId="5CC902AC" w14:textId="77777777" w:rsidR="00586C56" w:rsidRPr="00FB6FEC" w:rsidRDefault="00586C56" w:rsidP="00586C56">
            <w:pPr>
              <w:numPr>
                <w:ilvl w:val="0"/>
                <w:numId w:val="49"/>
              </w:numPr>
              <w:spacing w:line="276" w:lineRule="auto"/>
              <w:contextualSpacing/>
              <w:rPr>
                <w:rFonts w:eastAsia="Arial" w:cs="Arial"/>
                <w:b/>
                <w:szCs w:val="20"/>
                <w:lang w:eastAsia="en-US"/>
              </w:rPr>
            </w:pPr>
            <w:r w:rsidRPr="00FB6FEC">
              <w:rPr>
                <w:rFonts w:eastAsia="Arial" w:cs="Arial"/>
                <w:sz w:val="18"/>
                <w:szCs w:val="18"/>
                <w:lang w:eastAsia="en-US"/>
              </w:rPr>
              <w:t>Other assurance and related services engagements beginning on or after 15 December 2022.</w:t>
            </w:r>
          </w:p>
        </w:tc>
      </w:tr>
    </w:tbl>
    <w:p w14:paraId="281241DA" w14:textId="11523992" w:rsidR="00D3634A" w:rsidRPr="00B06842" w:rsidRDefault="00D3634A" w:rsidP="00123B46">
      <w:pPr>
        <w:widowControl/>
        <w:tabs>
          <w:tab w:val="left" w:pos="2100"/>
          <w:tab w:val="right" w:pos="8511"/>
        </w:tabs>
        <w:autoSpaceDE/>
        <w:autoSpaceDN/>
        <w:adjustRightInd/>
        <w:jc w:val="left"/>
        <w:rPr>
          <w:rFonts w:cs="Arial"/>
          <w:b/>
        </w:rPr>
      </w:pPr>
    </w:p>
    <w:p w14:paraId="5F750004" w14:textId="77777777" w:rsidR="00CF6996" w:rsidRPr="00B06842" w:rsidRDefault="00CF6996" w:rsidP="00D3634A">
      <w:pPr>
        <w:widowControl/>
        <w:autoSpaceDE/>
        <w:autoSpaceDN/>
        <w:adjustRightInd/>
      </w:pPr>
    </w:p>
    <w:p w14:paraId="268E7FA8" w14:textId="77777777" w:rsidR="001C6E2E" w:rsidRPr="00B06842" w:rsidRDefault="001C6E2E" w:rsidP="00D3634A">
      <w:pPr>
        <w:widowControl/>
        <w:autoSpaceDE/>
        <w:autoSpaceDN/>
        <w:adjustRightInd/>
      </w:pPr>
    </w:p>
    <w:p w14:paraId="43C42094" w14:textId="77777777" w:rsidR="003424B0" w:rsidRPr="00B06842" w:rsidRDefault="003424B0" w:rsidP="00D3634A">
      <w:pPr>
        <w:widowControl/>
        <w:autoSpaceDE/>
        <w:autoSpaceDN/>
        <w:adjustRightInd/>
      </w:pPr>
    </w:p>
    <w:p w14:paraId="5622B1B8" w14:textId="77777777" w:rsidR="00077042" w:rsidRPr="00B06842" w:rsidRDefault="00077042" w:rsidP="00D3634A"/>
    <w:p w14:paraId="0C08C586" w14:textId="77777777" w:rsidR="00077042" w:rsidRPr="00B06842" w:rsidRDefault="00077042" w:rsidP="00D3634A"/>
    <w:p w14:paraId="478E6BD0" w14:textId="77777777" w:rsidR="00264375" w:rsidRPr="00B06842" w:rsidRDefault="00264375" w:rsidP="00D3634A"/>
    <w:p w14:paraId="3DCAE500" w14:textId="77777777" w:rsidR="0094729C" w:rsidRPr="00B06842" w:rsidRDefault="0094729C" w:rsidP="00D3634A"/>
    <w:p w14:paraId="2BC0140F" w14:textId="3AE2B489" w:rsidR="00264375" w:rsidRPr="00B06842" w:rsidRDefault="00743AD0" w:rsidP="00743AD0">
      <w:pPr>
        <w:tabs>
          <w:tab w:val="left" w:pos="6564"/>
        </w:tabs>
      </w:pPr>
      <w:r w:rsidRPr="00B06842">
        <w:tab/>
      </w:r>
    </w:p>
    <w:p w14:paraId="02CE3BE0" w14:textId="77777777" w:rsidR="00074C11" w:rsidRPr="00B06842" w:rsidRDefault="00074C11" w:rsidP="001D7D5D">
      <w:pPr>
        <w:jc w:val="center"/>
      </w:pPr>
      <w:r w:rsidRPr="00B06842">
        <w:rPr>
          <w:noProof/>
          <w:lang w:val="en-US" w:eastAsia="en-US"/>
        </w:rPr>
        <w:drawing>
          <wp:inline distT="0" distB="0" distL="0" distR="0" wp14:anchorId="44E596E3" wp14:editId="36DA5DE1">
            <wp:extent cx="1885950" cy="7143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885950" cy="714375"/>
                    </a:xfrm>
                    <a:prstGeom prst="rect">
                      <a:avLst/>
                    </a:prstGeom>
                    <a:noFill/>
                    <a:ln w="9525">
                      <a:noFill/>
                      <a:miter lim="800000"/>
                      <a:headEnd/>
                      <a:tailEnd/>
                    </a:ln>
                  </pic:spPr>
                </pic:pic>
              </a:graphicData>
            </a:graphic>
          </wp:inline>
        </w:drawing>
      </w:r>
    </w:p>
    <w:p w14:paraId="3CDBAB3C" w14:textId="77777777" w:rsidR="00074C11" w:rsidRPr="00B06842" w:rsidRDefault="00074C11" w:rsidP="00D3634A"/>
    <w:p w14:paraId="5244F2BE" w14:textId="3562AF62" w:rsidR="00074C11" w:rsidRPr="00B06842" w:rsidRDefault="00074C11" w:rsidP="00B37071">
      <w:pPr>
        <w:pBdr>
          <w:bottom w:val="single" w:sz="4" w:space="1" w:color="auto"/>
        </w:pBdr>
        <w:spacing w:line="360" w:lineRule="auto"/>
        <w:ind w:left="851"/>
        <w:jc w:val="center"/>
        <w:rPr>
          <w:rFonts w:cs="Arial"/>
          <w:i/>
          <w:sz w:val="24"/>
          <w:szCs w:val="24"/>
        </w:rPr>
      </w:pPr>
      <w:r w:rsidRPr="00B06842">
        <w:rPr>
          <w:rFonts w:cs="Arial"/>
          <w:i/>
          <w:sz w:val="24"/>
          <w:szCs w:val="24"/>
        </w:rPr>
        <w:t xml:space="preserve">South African </w:t>
      </w:r>
      <w:r w:rsidR="0005077D" w:rsidRPr="00B06842">
        <w:rPr>
          <w:rFonts w:cs="Arial"/>
          <w:i/>
          <w:sz w:val="24"/>
          <w:szCs w:val="24"/>
        </w:rPr>
        <w:t xml:space="preserve">Assurance Engagements </w:t>
      </w:r>
      <w:r w:rsidRPr="00B06842">
        <w:rPr>
          <w:rFonts w:cs="Arial"/>
          <w:i/>
          <w:sz w:val="24"/>
          <w:szCs w:val="24"/>
        </w:rPr>
        <w:t>Practice Statement</w:t>
      </w:r>
      <w:r w:rsidR="00264375" w:rsidRPr="00B06842">
        <w:rPr>
          <w:rFonts w:cs="Arial"/>
          <w:i/>
          <w:sz w:val="24"/>
          <w:szCs w:val="24"/>
        </w:rPr>
        <w:t xml:space="preserve"> </w:t>
      </w:r>
      <w:r w:rsidRPr="00B06842">
        <w:rPr>
          <w:rFonts w:cs="Arial"/>
          <w:i/>
          <w:sz w:val="24"/>
          <w:szCs w:val="24"/>
        </w:rPr>
        <w:t>(SAA</w:t>
      </w:r>
      <w:r w:rsidR="0005077D" w:rsidRPr="00B06842">
        <w:rPr>
          <w:rFonts w:cs="Arial"/>
          <w:i/>
          <w:sz w:val="24"/>
          <w:szCs w:val="24"/>
        </w:rPr>
        <w:t>E</w:t>
      </w:r>
      <w:r w:rsidRPr="00B06842">
        <w:rPr>
          <w:rFonts w:cs="Arial"/>
          <w:i/>
          <w:sz w:val="24"/>
          <w:szCs w:val="24"/>
        </w:rPr>
        <w:t>PS)</w:t>
      </w:r>
      <w:r w:rsidR="00720EB7" w:rsidRPr="00B06842">
        <w:rPr>
          <w:rFonts w:cs="Arial"/>
          <w:i/>
          <w:sz w:val="24"/>
          <w:szCs w:val="24"/>
        </w:rPr>
        <w:t xml:space="preserve"> </w:t>
      </w:r>
      <w:r w:rsidR="0005077D" w:rsidRPr="00B06842">
        <w:rPr>
          <w:rFonts w:cs="Arial"/>
          <w:i/>
          <w:sz w:val="24"/>
          <w:szCs w:val="24"/>
        </w:rPr>
        <w:t>1</w:t>
      </w:r>
    </w:p>
    <w:p w14:paraId="3A213A9E" w14:textId="00772D52" w:rsidR="00416E7C" w:rsidRPr="00B06842" w:rsidRDefault="000F6254" w:rsidP="00B37071">
      <w:pPr>
        <w:spacing w:line="360" w:lineRule="auto"/>
        <w:ind w:left="851" w:right="240" w:hanging="22"/>
        <w:jc w:val="center"/>
        <w:rPr>
          <w:rFonts w:cs="Arial"/>
          <w:b/>
          <w:sz w:val="32"/>
          <w:szCs w:val="32"/>
        </w:rPr>
      </w:pPr>
      <w:r w:rsidRPr="00B06842">
        <w:rPr>
          <w:rFonts w:cs="Arial"/>
          <w:b/>
          <w:sz w:val="32"/>
          <w:szCs w:val="32"/>
        </w:rPr>
        <w:t xml:space="preserve">Sustainability </w:t>
      </w:r>
      <w:r w:rsidR="0005077D" w:rsidRPr="00B06842">
        <w:rPr>
          <w:rFonts w:cs="Arial"/>
          <w:b/>
          <w:sz w:val="32"/>
          <w:szCs w:val="32"/>
        </w:rPr>
        <w:t>Assurance</w:t>
      </w:r>
      <w:r w:rsidR="001065FB" w:rsidRPr="00B06842">
        <w:rPr>
          <w:rFonts w:cs="Arial"/>
          <w:b/>
          <w:sz w:val="32"/>
          <w:szCs w:val="32"/>
        </w:rPr>
        <w:t xml:space="preserve"> Engagement</w:t>
      </w:r>
      <w:r w:rsidR="007F29AC" w:rsidRPr="00B06842">
        <w:rPr>
          <w:rFonts w:cs="Arial"/>
          <w:b/>
          <w:sz w:val="32"/>
          <w:szCs w:val="32"/>
        </w:rPr>
        <w:t>s</w:t>
      </w:r>
      <w:r w:rsidR="00DA72F0" w:rsidRPr="00B06842">
        <w:rPr>
          <w:rFonts w:cs="Arial"/>
          <w:b/>
          <w:sz w:val="32"/>
          <w:szCs w:val="32"/>
        </w:rPr>
        <w:t xml:space="preserve">: </w:t>
      </w:r>
      <w:r w:rsidR="00B64E4A" w:rsidRPr="00B06842">
        <w:rPr>
          <w:rFonts w:cs="Arial"/>
          <w:b/>
          <w:sz w:val="32"/>
          <w:szCs w:val="32"/>
        </w:rPr>
        <w:t>Rational Purpose,</w:t>
      </w:r>
      <w:r w:rsidR="00C50F32" w:rsidRPr="00B06842">
        <w:rPr>
          <w:rFonts w:cs="Arial"/>
          <w:b/>
          <w:sz w:val="32"/>
          <w:szCs w:val="32"/>
        </w:rPr>
        <w:t xml:space="preserve"> </w:t>
      </w:r>
      <w:r w:rsidR="005D5DE3" w:rsidRPr="00B06842">
        <w:rPr>
          <w:rFonts w:cs="Arial"/>
          <w:b/>
          <w:sz w:val="32"/>
          <w:szCs w:val="32"/>
        </w:rPr>
        <w:t xml:space="preserve">Appropriateness of Underlying Subject Matter and </w:t>
      </w:r>
      <w:r w:rsidR="00DA72F0" w:rsidRPr="00B06842">
        <w:rPr>
          <w:rFonts w:cs="Arial"/>
          <w:b/>
          <w:sz w:val="32"/>
          <w:szCs w:val="32"/>
        </w:rPr>
        <w:t>Suitability of Criteria</w:t>
      </w:r>
      <w:r w:rsidR="003C40F8" w:rsidRPr="00B06842">
        <w:rPr>
          <w:rFonts w:cs="Arial"/>
          <w:b/>
          <w:sz w:val="32"/>
          <w:szCs w:val="32"/>
        </w:rPr>
        <w:t xml:space="preserve"> </w:t>
      </w:r>
    </w:p>
    <w:p w14:paraId="27D27FD7" w14:textId="77777777" w:rsidR="00154FC6" w:rsidRPr="00B06842" w:rsidRDefault="00154FC6" w:rsidP="00D3634A">
      <w:pPr>
        <w:rPr>
          <w:rFonts w:cs="Arial"/>
          <w:b/>
          <w:sz w:val="32"/>
          <w:szCs w:val="32"/>
        </w:rPr>
      </w:pPr>
    </w:p>
    <w:p w14:paraId="517F16AC" w14:textId="79FE7125" w:rsidR="0005077D" w:rsidRPr="00B06842" w:rsidRDefault="0005077D" w:rsidP="00D3634A"/>
    <w:p w14:paraId="3442C8FB" w14:textId="77777777" w:rsidR="007E3A54" w:rsidRPr="00B06842" w:rsidRDefault="007E3A54" w:rsidP="00D3634A">
      <w:pPr>
        <w:sectPr w:rsidR="007E3A54" w:rsidRPr="00B06842" w:rsidSect="00101227">
          <w:headerReference w:type="even" r:id="rId10"/>
          <w:headerReference w:type="default" r:id="rId11"/>
          <w:footerReference w:type="even" r:id="rId12"/>
          <w:footerReference w:type="default" r:id="rId13"/>
          <w:headerReference w:type="first" r:id="rId14"/>
          <w:pgSz w:w="11907" w:h="16840" w:code="9"/>
          <w:pgMar w:top="1440" w:right="1797" w:bottom="1440" w:left="1797" w:header="720" w:footer="720" w:gutter="0"/>
          <w:cols w:space="720"/>
          <w:titlePg/>
          <w:docGrid w:linePitch="360"/>
        </w:sectPr>
      </w:pPr>
    </w:p>
    <w:p w14:paraId="0496D61F" w14:textId="77777777" w:rsidR="007E3A54" w:rsidRPr="00B06842" w:rsidRDefault="007E3A54" w:rsidP="007E3A54">
      <w:pPr>
        <w:widowControl/>
        <w:spacing w:after="0" w:line="276" w:lineRule="auto"/>
        <w:jc w:val="center"/>
        <w:rPr>
          <w:rFonts w:eastAsia="Times New Roman" w:cs="Arial"/>
          <w:lang w:eastAsia="en-ZA"/>
        </w:rPr>
      </w:pPr>
      <w:r w:rsidRPr="00B06842">
        <w:rPr>
          <w:rFonts w:eastAsia="Times New Roman" w:cs="Arial"/>
          <w:lang w:eastAsia="en-ZA"/>
        </w:rPr>
        <w:lastRenderedPageBreak/>
        <w:t>Independent Regulatory Board for Auditors</w:t>
      </w:r>
    </w:p>
    <w:p w14:paraId="29A11E62" w14:textId="77777777" w:rsidR="007E3A54" w:rsidRPr="00B06842" w:rsidRDefault="007E3A54" w:rsidP="007E3A54">
      <w:pPr>
        <w:widowControl/>
        <w:spacing w:after="0" w:line="276" w:lineRule="auto"/>
        <w:jc w:val="center"/>
        <w:rPr>
          <w:rFonts w:eastAsia="Times New Roman" w:cs="Arial"/>
          <w:lang w:eastAsia="en-ZA"/>
        </w:rPr>
      </w:pPr>
      <w:r w:rsidRPr="00B06842">
        <w:rPr>
          <w:rFonts w:eastAsia="Times New Roman" w:cs="Arial"/>
          <w:lang w:eastAsia="en-ZA"/>
        </w:rPr>
        <w:t>PO Box 8237, Greenstone, 1616</w:t>
      </w:r>
    </w:p>
    <w:p w14:paraId="25175525" w14:textId="77777777" w:rsidR="007E3A54" w:rsidRPr="00B06842" w:rsidRDefault="007E3A54" w:rsidP="007E3A54">
      <w:pPr>
        <w:spacing w:after="0" w:line="276" w:lineRule="auto"/>
        <w:jc w:val="center"/>
        <w:rPr>
          <w:rFonts w:cs="Arial"/>
        </w:rPr>
      </w:pPr>
      <w:r w:rsidRPr="00B06842">
        <w:rPr>
          <w:rFonts w:eastAsia="Times New Roman" w:cs="Arial"/>
          <w:lang w:eastAsia="en-ZA"/>
        </w:rPr>
        <w:t>Johannesburg</w:t>
      </w:r>
    </w:p>
    <w:p w14:paraId="0B2A211F" w14:textId="77777777" w:rsidR="007E3A54" w:rsidRPr="00B06842" w:rsidRDefault="007E3A54" w:rsidP="007E3A54">
      <w:pPr>
        <w:spacing w:line="276" w:lineRule="auto"/>
        <w:rPr>
          <w:rFonts w:cs="Arial"/>
        </w:rPr>
      </w:pPr>
    </w:p>
    <w:p w14:paraId="6A4549F9" w14:textId="392EF3E5" w:rsidR="007E3A54" w:rsidRPr="00384ADF" w:rsidRDefault="007E3A54" w:rsidP="007E3A54">
      <w:pPr>
        <w:spacing w:line="276" w:lineRule="auto"/>
        <w:rPr>
          <w:rFonts w:cs="Arial"/>
        </w:rPr>
      </w:pPr>
      <w:r w:rsidRPr="00B06842">
        <w:rPr>
          <w:rFonts w:cs="Arial"/>
        </w:rPr>
        <w:t>This South African Assurance Engagements Practice Statement (SAA</w:t>
      </w:r>
      <w:r w:rsidR="00302536" w:rsidRPr="00B06842">
        <w:rPr>
          <w:rFonts w:cs="Arial"/>
        </w:rPr>
        <w:t>E</w:t>
      </w:r>
      <w:r w:rsidRPr="00B06842">
        <w:rPr>
          <w:rFonts w:cs="Arial"/>
        </w:rPr>
        <w:t xml:space="preserve">PS) </w:t>
      </w:r>
      <w:r w:rsidR="00302536" w:rsidRPr="00B06842">
        <w:rPr>
          <w:rFonts w:cs="Arial"/>
        </w:rPr>
        <w:t>1</w:t>
      </w:r>
      <w:r w:rsidRPr="00B06842">
        <w:rPr>
          <w:rFonts w:cs="Arial"/>
        </w:rPr>
        <w:t xml:space="preserve">, </w:t>
      </w:r>
      <w:r w:rsidR="00302536" w:rsidRPr="00B06842">
        <w:rPr>
          <w:rFonts w:cs="Arial"/>
          <w:i/>
        </w:rPr>
        <w:t>Sustainability Assurance Engagement</w:t>
      </w:r>
      <w:r w:rsidR="007F29AC" w:rsidRPr="00B06842">
        <w:rPr>
          <w:rFonts w:cs="Arial"/>
          <w:i/>
        </w:rPr>
        <w:t>s</w:t>
      </w:r>
      <w:r w:rsidR="00302536" w:rsidRPr="00B06842">
        <w:rPr>
          <w:rFonts w:cs="Arial"/>
          <w:i/>
        </w:rPr>
        <w:t>: Rational Purpose, Appropriateness of Underlying Subject Matter and Suitability of Criteria</w:t>
      </w:r>
      <w:r w:rsidRPr="00B06842">
        <w:rPr>
          <w:rFonts w:cs="Arial"/>
        </w:rPr>
        <w:t xml:space="preserve"> was prepared by the Independent Regulatory Board for Auditors’ (IRBA) Committee for Auditing Standards (CFAS) and was approved for issue in </w:t>
      </w:r>
      <w:r w:rsidR="00BF3A74" w:rsidRPr="00384ADF">
        <w:rPr>
          <w:rFonts w:cs="Arial"/>
        </w:rPr>
        <w:t>August</w:t>
      </w:r>
      <w:r w:rsidRPr="00384ADF">
        <w:rPr>
          <w:rFonts w:cs="Arial"/>
        </w:rPr>
        <w:t xml:space="preserve"> 201</w:t>
      </w:r>
      <w:r w:rsidR="00BF3A74" w:rsidRPr="00384ADF">
        <w:rPr>
          <w:rFonts w:cs="Arial"/>
        </w:rPr>
        <w:t>8</w:t>
      </w:r>
      <w:r w:rsidRPr="00384ADF">
        <w:rPr>
          <w:rFonts w:cs="Arial"/>
        </w:rPr>
        <w:t xml:space="preserve">.  </w:t>
      </w:r>
    </w:p>
    <w:p w14:paraId="7F33B9A2" w14:textId="302F0C75" w:rsidR="007E3A54" w:rsidRPr="00384ADF" w:rsidRDefault="004915F0" w:rsidP="007E3A54">
      <w:pPr>
        <w:spacing w:line="276" w:lineRule="auto"/>
        <w:rPr>
          <w:rFonts w:cs="Arial"/>
        </w:rPr>
      </w:pPr>
      <w:r w:rsidRPr="00384ADF">
        <w:t>T</w:t>
      </w:r>
      <w:r w:rsidR="001E4F3B" w:rsidRPr="00384ADF">
        <w:t>o establish whether the preconditions for an assurance engagement are present,</w:t>
      </w:r>
      <w:r w:rsidR="001E4F3B" w:rsidRPr="00384ADF">
        <w:rPr>
          <w:rFonts w:cs="Arial"/>
        </w:rPr>
        <w:t xml:space="preserve"> </w:t>
      </w:r>
      <w:r w:rsidR="007E3A54" w:rsidRPr="00384ADF">
        <w:rPr>
          <w:rFonts w:cs="Arial"/>
        </w:rPr>
        <w:t>SAA</w:t>
      </w:r>
      <w:r w:rsidR="00BF3A74" w:rsidRPr="00384ADF">
        <w:rPr>
          <w:rFonts w:cs="Arial"/>
        </w:rPr>
        <w:t>E</w:t>
      </w:r>
      <w:r w:rsidR="007E3A54" w:rsidRPr="00384ADF">
        <w:rPr>
          <w:rFonts w:cs="Arial"/>
        </w:rPr>
        <w:t xml:space="preserve">PS </w:t>
      </w:r>
      <w:r w:rsidR="00BF3A74" w:rsidRPr="00384ADF">
        <w:rPr>
          <w:rFonts w:cs="Arial"/>
        </w:rPr>
        <w:t>1</w:t>
      </w:r>
      <w:r w:rsidR="007E3A54" w:rsidRPr="00384ADF">
        <w:rPr>
          <w:rFonts w:cs="Arial"/>
        </w:rPr>
        <w:t xml:space="preserve"> </w:t>
      </w:r>
      <w:r w:rsidR="00B76096" w:rsidRPr="00384ADF">
        <w:rPr>
          <w:rFonts w:cs="Arial"/>
        </w:rPr>
        <w:t>is aimed at</w:t>
      </w:r>
      <w:r w:rsidR="00096CC5" w:rsidRPr="00384ADF">
        <w:rPr>
          <w:rFonts w:cs="Arial"/>
        </w:rPr>
        <w:t xml:space="preserve"> providing</w:t>
      </w:r>
      <w:r w:rsidR="00B76096" w:rsidRPr="00384ADF">
        <w:rPr>
          <w:rFonts w:cs="Arial"/>
        </w:rPr>
        <w:t xml:space="preserve"> </w:t>
      </w:r>
      <w:r w:rsidR="00CA1CDB" w:rsidRPr="00384ADF">
        <w:t>practical assistance to practitioners on certain preconditions and related guidance</w:t>
      </w:r>
      <w:r w:rsidR="00CA1CDB" w:rsidRPr="00384ADF" w:rsidDel="00C05A9F">
        <w:t xml:space="preserve"> </w:t>
      </w:r>
      <w:r w:rsidR="00CA1CDB" w:rsidRPr="00384ADF">
        <w:rPr>
          <w:rFonts w:cs="Arial"/>
        </w:rPr>
        <w:t>on determining whether the sustainability assurance engagement exhibits a rational purpose</w:t>
      </w:r>
      <w:r w:rsidR="00CA1CDB" w:rsidRPr="00384ADF">
        <w:t xml:space="preserve">, </w:t>
      </w:r>
      <w:r w:rsidR="0017793C" w:rsidRPr="00384ADF">
        <w:t xml:space="preserve">that </w:t>
      </w:r>
      <w:r w:rsidR="00CA1CDB" w:rsidRPr="00384ADF">
        <w:rPr>
          <w:rFonts w:cs="Arial"/>
        </w:rPr>
        <w:t>the underlying subject matter is appropriate and the criteria that the practitioner expects to be applied in the preparation of the subject matter information are suitable for the engagement circumstances</w:t>
      </w:r>
      <w:r w:rsidR="00CA1CDB" w:rsidRPr="00384ADF" w:rsidDel="006F13B1">
        <w:t xml:space="preserve"> </w:t>
      </w:r>
      <w:r w:rsidR="00CA1CDB" w:rsidRPr="00384ADF">
        <w:t xml:space="preserve">as well as the </w:t>
      </w:r>
      <w:r w:rsidR="00CA1CDB" w:rsidRPr="00384ADF">
        <w:rPr>
          <w:rFonts w:cs="Arial"/>
        </w:rPr>
        <w:t>preparation of appropriate engagement documentation on that determination</w:t>
      </w:r>
      <w:r w:rsidR="00CA1CDB" w:rsidRPr="00384ADF">
        <w:t xml:space="preserve"> when requested to accept a sustainability assurance engagement in accordance with the requirements of </w:t>
      </w:r>
      <w:r w:rsidR="001E4F3B" w:rsidRPr="00384ADF">
        <w:rPr>
          <w:rFonts w:eastAsia="Times New Roman" w:cs="Arial"/>
          <w:color w:val="000000"/>
          <w:lang w:eastAsia="en-ZA"/>
        </w:rPr>
        <w:t xml:space="preserve">the International Standards on Assurance Engagements (ISAE) 3000 (Revised), </w:t>
      </w:r>
      <w:r w:rsidR="001E4F3B" w:rsidRPr="00384ADF">
        <w:rPr>
          <w:rFonts w:eastAsia="Times New Roman" w:cs="Arial"/>
          <w:i/>
          <w:color w:val="000000"/>
          <w:lang w:eastAsia="en-ZA"/>
        </w:rPr>
        <w:t>Assurance Engagements Other than Audits or Reviews of Historical Financial Information</w:t>
      </w:r>
      <w:r w:rsidR="001E4F3B" w:rsidRPr="00384ADF">
        <w:rPr>
          <w:rFonts w:eastAsia="Times New Roman" w:cs="Arial"/>
          <w:color w:val="000000"/>
          <w:lang w:eastAsia="en-ZA"/>
        </w:rPr>
        <w:t>.</w:t>
      </w:r>
      <w:r w:rsidR="007E3A54" w:rsidRPr="00384ADF">
        <w:rPr>
          <w:rFonts w:cs="Arial"/>
        </w:rPr>
        <w:t xml:space="preserve"> </w:t>
      </w:r>
    </w:p>
    <w:p w14:paraId="05EA4425" w14:textId="40888D89" w:rsidR="007E3A54" w:rsidRPr="00384ADF" w:rsidRDefault="007E3A54" w:rsidP="007E3A54">
      <w:pPr>
        <w:spacing w:line="276" w:lineRule="auto"/>
        <w:rPr>
          <w:rFonts w:cs="Arial"/>
        </w:rPr>
      </w:pPr>
      <w:r w:rsidRPr="00384ADF">
        <w:rPr>
          <w:rFonts w:cs="Arial"/>
        </w:rPr>
        <w:t xml:space="preserve">A free download of </w:t>
      </w:r>
      <w:r w:rsidR="00654501" w:rsidRPr="00384ADF">
        <w:rPr>
          <w:rFonts w:cs="Arial"/>
        </w:rPr>
        <w:t>SAAEPS 1</w:t>
      </w:r>
      <w:r w:rsidRPr="00384ADF">
        <w:rPr>
          <w:rFonts w:cs="Arial"/>
        </w:rPr>
        <w:t xml:space="preserve"> is available in both Word and PDF formats from the</w:t>
      </w:r>
      <w:r w:rsidR="00BF3A74" w:rsidRPr="00384ADF">
        <w:rPr>
          <w:rFonts w:cs="Arial"/>
        </w:rPr>
        <w:t xml:space="preserve"> IRBA website</w:t>
      </w:r>
      <w:r w:rsidRPr="00384ADF">
        <w:rPr>
          <w:rFonts w:cs="Arial"/>
        </w:rPr>
        <w:t>.</w:t>
      </w:r>
    </w:p>
    <w:p w14:paraId="0744F88A" w14:textId="77777777" w:rsidR="007E3A54" w:rsidRPr="00384ADF" w:rsidRDefault="007E3A54" w:rsidP="007E3A54">
      <w:pPr>
        <w:spacing w:line="276" w:lineRule="auto"/>
        <w:rPr>
          <w:rFonts w:cs="Arial"/>
        </w:rPr>
      </w:pPr>
      <w:r w:rsidRPr="00384ADF">
        <w:rPr>
          <w:rFonts w:cs="Arial"/>
        </w:rPr>
        <w:t>The IRBA does not accept responsibility for loss caused to any person who acts or refrains from acting in reliance on the material in the IRBA pronouncements, whether such loss is caused by negligence or otherwise.</w:t>
      </w:r>
    </w:p>
    <w:p w14:paraId="7BFF8957" w14:textId="77777777" w:rsidR="007E3A54" w:rsidRPr="00384ADF" w:rsidRDefault="007E3A54" w:rsidP="007E3A54">
      <w:pPr>
        <w:rPr>
          <w:rFonts w:cs="Arial"/>
        </w:rPr>
      </w:pPr>
    </w:p>
    <w:p w14:paraId="1544CC30" w14:textId="26D74E43" w:rsidR="007E3A54" w:rsidRPr="00384ADF" w:rsidRDefault="007E3A54" w:rsidP="007E3A54">
      <w:pPr>
        <w:keepNext/>
        <w:keepLines/>
        <w:widowControl/>
        <w:pBdr>
          <w:top w:val="single" w:sz="4" w:space="1" w:color="auto"/>
          <w:left w:val="single" w:sz="4" w:space="4" w:color="auto"/>
          <w:bottom w:val="single" w:sz="4" w:space="1" w:color="auto"/>
          <w:right w:val="single" w:sz="4" w:space="4" w:color="auto"/>
        </w:pBdr>
        <w:spacing w:line="276" w:lineRule="auto"/>
        <w:rPr>
          <w:rFonts w:cs="Arial"/>
        </w:rPr>
      </w:pPr>
      <w:r w:rsidRPr="00384ADF">
        <w:rPr>
          <w:rFonts w:cs="Arial"/>
        </w:rPr>
        <w:t xml:space="preserve">Copyright © </w:t>
      </w:r>
      <w:r w:rsidR="00BF3A74" w:rsidRPr="00384ADF">
        <w:rPr>
          <w:rFonts w:cs="Arial"/>
        </w:rPr>
        <w:t>August</w:t>
      </w:r>
      <w:r w:rsidRPr="00384ADF">
        <w:rPr>
          <w:rFonts w:cs="Arial"/>
        </w:rPr>
        <w:t xml:space="preserve"> 201</w:t>
      </w:r>
      <w:r w:rsidR="00BF3A74" w:rsidRPr="00384ADF">
        <w:rPr>
          <w:rFonts w:cs="Arial"/>
        </w:rPr>
        <w:t>8</w:t>
      </w:r>
      <w:r w:rsidRPr="00384ADF">
        <w:rPr>
          <w:rFonts w:cs="Arial"/>
        </w:rPr>
        <w:t xml:space="preserve"> by the Independent Regulatory Board for Auditors (IRBA), all rights reserved. Permission is granted to make copies of this work provided that such copies, in whichever format, are for the purpose of registered auditors discharging their professional duties, for use in academic classrooms or for personal use and provided such copies are not sold or disseminated and provided further that each copy bears the following credit line: </w:t>
      </w:r>
    </w:p>
    <w:p w14:paraId="0B5A1167" w14:textId="32EC2EB2" w:rsidR="007E3A54" w:rsidRPr="00384ADF" w:rsidRDefault="007E3A54" w:rsidP="007E3A54">
      <w:pPr>
        <w:pBdr>
          <w:top w:val="single" w:sz="4" w:space="1" w:color="auto"/>
          <w:left w:val="single" w:sz="4" w:space="4" w:color="auto"/>
          <w:bottom w:val="single" w:sz="4" w:space="1" w:color="auto"/>
          <w:right w:val="single" w:sz="4" w:space="4" w:color="auto"/>
        </w:pBdr>
        <w:rPr>
          <w:rFonts w:cs="Arial"/>
        </w:rPr>
      </w:pPr>
      <w:r w:rsidRPr="00384ADF">
        <w:rPr>
          <w:rFonts w:cs="Arial"/>
        </w:rPr>
        <w:t>“</w:t>
      </w:r>
      <w:r w:rsidRPr="00384ADF">
        <w:rPr>
          <w:rFonts w:cs="Arial"/>
          <w:i/>
        </w:rPr>
        <w:t xml:space="preserve">Copyright © </w:t>
      </w:r>
      <w:r w:rsidR="00BF3A74" w:rsidRPr="00384ADF">
        <w:rPr>
          <w:rFonts w:cs="Arial"/>
          <w:i/>
        </w:rPr>
        <w:t>August 2018</w:t>
      </w:r>
      <w:r w:rsidRPr="00384ADF">
        <w:rPr>
          <w:rFonts w:cs="Arial"/>
          <w:i/>
        </w:rPr>
        <w:t xml:space="preserve"> by the Independent Regulatory Board for Auditors. All rights reserved. Used with permission of the IRBA.</w:t>
      </w:r>
      <w:r w:rsidRPr="00384ADF">
        <w:rPr>
          <w:rFonts w:cs="Arial"/>
        </w:rPr>
        <w:t>” Otherwise, written permission from the Independent Regulatory Board for Auditors is required to reproduce, store or transmit or to make other similar uses of this document except as permitted by law.</w:t>
      </w:r>
    </w:p>
    <w:p w14:paraId="314793ED" w14:textId="38FBF069" w:rsidR="00EC4B34" w:rsidRPr="00384ADF" w:rsidRDefault="00EC4B34" w:rsidP="00D3634A">
      <w:pPr>
        <w:sectPr w:rsidR="00EC4B34" w:rsidRPr="00384ADF" w:rsidSect="00101227">
          <w:pgSz w:w="11907" w:h="16840" w:code="9"/>
          <w:pgMar w:top="1440" w:right="1797" w:bottom="1440" w:left="1797" w:header="720" w:footer="720" w:gutter="0"/>
          <w:cols w:space="720"/>
          <w:titlePg/>
          <w:docGrid w:linePitch="360"/>
        </w:sectPr>
      </w:pPr>
    </w:p>
    <w:p w14:paraId="0B32F0CD" w14:textId="616BD2D3" w:rsidR="007B56BA" w:rsidRPr="00384ADF" w:rsidRDefault="007B56BA" w:rsidP="007E0241">
      <w:pPr>
        <w:spacing w:before="240" w:after="240" w:line="276" w:lineRule="auto"/>
        <w:jc w:val="center"/>
        <w:rPr>
          <w:b/>
          <w:sz w:val="20"/>
          <w:szCs w:val="20"/>
        </w:rPr>
      </w:pPr>
      <w:r w:rsidRPr="00384ADF">
        <w:rPr>
          <w:sz w:val="20"/>
          <w:szCs w:val="20"/>
        </w:rPr>
        <w:lastRenderedPageBreak/>
        <w:t>(</w:t>
      </w:r>
      <w:r w:rsidR="00B87300" w:rsidRPr="00384ADF">
        <w:rPr>
          <w:rFonts w:eastAsia="Times New Roman" w:cs="Arial"/>
          <w:color w:val="000000"/>
          <w:lang w:eastAsia="en-ZA"/>
        </w:rPr>
        <w:t>E</w:t>
      </w:r>
      <w:r w:rsidR="001924E5" w:rsidRPr="00384ADF">
        <w:rPr>
          <w:rFonts w:eastAsia="Times New Roman" w:cs="Arial"/>
          <w:color w:val="000000"/>
          <w:lang w:eastAsia="en-ZA"/>
        </w:rPr>
        <w:t xml:space="preserve">ffective </w:t>
      </w:r>
      <w:r w:rsidR="006627F5" w:rsidRPr="00384ADF">
        <w:rPr>
          <w:rFonts w:eastAsia="Times New Roman" w:cs="Arial"/>
          <w:color w:val="000000"/>
          <w:lang w:eastAsia="en-ZA"/>
        </w:rPr>
        <w:t xml:space="preserve">for the </w:t>
      </w:r>
      <w:r w:rsidR="006627F5" w:rsidRPr="00384ADF">
        <w:rPr>
          <w:rFonts w:eastAsia="Times New Roman" w:cs="Arial"/>
          <w:i/>
          <w:color w:val="000000"/>
          <w:lang w:eastAsia="en-ZA"/>
        </w:rPr>
        <w:t>Acceptance and Continuance – Preconditions for the Assurance Engagement</w:t>
      </w:r>
      <w:r w:rsidR="006627F5" w:rsidRPr="00384ADF">
        <w:rPr>
          <w:rFonts w:eastAsia="Times New Roman" w:cs="Arial"/>
          <w:color w:val="000000"/>
          <w:lang w:eastAsia="en-ZA"/>
        </w:rPr>
        <w:t xml:space="preserve"> phase of the assurance </w:t>
      </w:r>
      <w:r w:rsidR="00702F30" w:rsidRPr="00384ADF">
        <w:rPr>
          <w:rFonts w:eastAsia="Times New Roman" w:cs="Arial"/>
          <w:color w:val="000000"/>
          <w:lang w:eastAsia="en-ZA"/>
        </w:rPr>
        <w:t>engagement</w:t>
      </w:r>
      <w:r w:rsidR="006627F5" w:rsidRPr="00384ADF">
        <w:rPr>
          <w:rFonts w:eastAsia="Times New Roman" w:cs="Arial"/>
          <w:color w:val="000000"/>
          <w:lang w:eastAsia="en-ZA"/>
        </w:rPr>
        <w:t xml:space="preserve"> for periods beginning on or after 15 December </w:t>
      </w:r>
      <w:r w:rsidR="00BF3A74" w:rsidRPr="00384ADF">
        <w:rPr>
          <w:rFonts w:eastAsia="Times New Roman" w:cs="Arial"/>
          <w:color w:val="000000"/>
          <w:lang w:eastAsia="en-ZA"/>
        </w:rPr>
        <w:t>2020</w:t>
      </w:r>
      <w:r w:rsidR="006E702C" w:rsidRPr="00384ADF">
        <w:rPr>
          <w:sz w:val="20"/>
          <w:szCs w:val="20"/>
        </w:rPr>
        <w:t>)</w:t>
      </w:r>
    </w:p>
    <w:sdt>
      <w:sdtPr>
        <w:rPr>
          <w:rFonts w:ascii="Arial" w:eastAsia="MS Mincho" w:hAnsi="Arial" w:cstheme="minorHAnsi"/>
          <w:bCs/>
          <w:i/>
          <w:noProof/>
          <w:color w:val="auto"/>
          <w:sz w:val="22"/>
          <w:szCs w:val="22"/>
          <w:lang w:val="en-ZA" w:eastAsia="en-GB"/>
        </w:rPr>
        <w:id w:val="-814568457"/>
        <w:docPartObj>
          <w:docPartGallery w:val="Table of Contents"/>
          <w:docPartUnique/>
        </w:docPartObj>
      </w:sdtPr>
      <w:sdtEndPr>
        <w:rPr>
          <w:rFonts w:cs="Times New Roman"/>
          <w:i w:val="0"/>
        </w:rPr>
      </w:sdtEndPr>
      <w:sdtContent>
        <w:p w14:paraId="64FE68CE" w14:textId="77777777" w:rsidR="00651231" w:rsidRPr="00384ADF" w:rsidRDefault="00651231" w:rsidP="00F658C8">
          <w:pPr>
            <w:pStyle w:val="TOCHeading"/>
            <w:spacing w:after="0"/>
            <w:rPr>
              <w:rStyle w:val="Heading2Char"/>
              <w:rFonts w:cs="Times New Roman"/>
              <w:b/>
              <w:color w:val="auto"/>
              <w:sz w:val="24"/>
              <w:szCs w:val="24"/>
              <w:u w:val="single"/>
              <w:lang w:val="en-ZA"/>
            </w:rPr>
          </w:pPr>
          <w:r w:rsidRPr="00384ADF">
            <w:rPr>
              <w:rStyle w:val="Heading2Char"/>
              <w:b/>
              <w:sz w:val="24"/>
              <w:szCs w:val="24"/>
              <w:u w:val="single"/>
              <w:lang w:val="en-ZA"/>
            </w:rPr>
            <w:t>Contents</w:t>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8E1706" w:rsidRPr="00384ADF">
            <w:rPr>
              <w:rStyle w:val="Heading2Char"/>
              <w:b/>
              <w:sz w:val="24"/>
              <w:szCs w:val="24"/>
              <w:u w:val="single"/>
              <w:lang w:val="en-ZA"/>
            </w:rPr>
            <w:t xml:space="preserve"> </w:t>
          </w:r>
          <w:r w:rsidR="00101227" w:rsidRPr="00384ADF">
            <w:rPr>
              <w:rStyle w:val="Heading2Char"/>
              <w:b/>
              <w:sz w:val="24"/>
              <w:szCs w:val="24"/>
              <w:u w:val="single"/>
              <w:lang w:val="en-ZA"/>
            </w:rPr>
            <w:t xml:space="preserve">       </w:t>
          </w:r>
          <w:r w:rsidR="00055037" w:rsidRPr="00384ADF">
            <w:rPr>
              <w:rStyle w:val="Heading2Char"/>
              <w:b/>
              <w:sz w:val="24"/>
              <w:szCs w:val="24"/>
              <w:u w:val="single"/>
              <w:lang w:val="en-ZA"/>
            </w:rPr>
            <w:t>Page</w:t>
          </w:r>
        </w:p>
        <w:p w14:paraId="6FF44441" w14:textId="066AE62F" w:rsidR="00E238F7" w:rsidRDefault="00651231">
          <w:pPr>
            <w:pStyle w:val="TOC1"/>
            <w:rPr>
              <w:rFonts w:asciiTheme="minorHAnsi" w:eastAsiaTheme="minorEastAsia" w:hAnsiTheme="minorHAnsi" w:cstheme="minorBidi"/>
              <w:b w:val="0"/>
              <w:bCs w:val="0"/>
              <w:lang w:eastAsia="en-ZA"/>
            </w:rPr>
          </w:pPr>
          <w:r w:rsidRPr="00384ADF">
            <w:fldChar w:fldCharType="begin"/>
          </w:r>
          <w:r w:rsidRPr="00384ADF">
            <w:instrText xml:space="preserve"> TOC \o "1-3" \h \z \u </w:instrText>
          </w:r>
          <w:r w:rsidRPr="00384ADF">
            <w:fldChar w:fldCharType="separate"/>
          </w:r>
          <w:hyperlink w:anchor="_Toc43704042" w:history="1">
            <w:r w:rsidR="00E238F7" w:rsidRPr="00E312F9">
              <w:rPr>
                <w:rStyle w:val="Hyperlink"/>
              </w:rPr>
              <w:t>Introduction</w:t>
            </w:r>
            <w:r w:rsidR="00E238F7">
              <w:rPr>
                <w:webHidden/>
              </w:rPr>
              <w:tab/>
            </w:r>
            <w:r w:rsidR="00E238F7">
              <w:rPr>
                <w:webHidden/>
              </w:rPr>
              <w:fldChar w:fldCharType="begin"/>
            </w:r>
            <w:r w:rsidR="00E238F7">
              <w:rPr>
                <w:webHidden/>
              </w:rPr>
              <w:instrText xml:space="preserve"> PAGEREF _Toc43704042 \h </w:instrText>
            </w:r>
            <w:r w:rsidR="00E238F7">
              <w:rPr>
                <w:webHidden/>
              </w:rPr>
            </w:r>
            <w:r w:rsidR="00E238F7">
              <w:rPr>
                <w:webHidden/>
              </w:rPr>
              <w:fldChar w:fldCharType="separate"/>
            </w:r>
            <w:r w:rsidR="00FB6ACE">
              <w:rPr>
                <w:webHidden/>
              </w:rPr>
              <w:t>5</w:t>
            </w:r>
            <w:r w:rsidR="00E238F7">
              <w:rPr>
                <w:webHidden/>
              </w:rPr>
              <w:fldChar w:fldCharType="end"/>
            </w:r>
          </w:hyperlink>
        </w:p>
        <w:p w14:paraId="08EB5A71" w14:textId="6CA3ACE5" w:rsidR="00E238F7" w:rsidRDefault="00FB6ACE">
          <w:pPr>
            <w:pStyle w:val="TOC2"/>
            <w:rPr>
              <w:rFonts w:asciiTheme="minorHAnsi" w:eastAsiaTheme="minorEastAsia" w:hAnsiTheme="minorHAnsi" w:cstheme="minorBidi"/>
              <w:bCs w:val="0"/>
              <w:noProof/>
              <w:szCs w:val="22"/>
              <w:lang w:eastAsia="en-ZA"/>
            </w:rPr>
          </w:pPr>
          <w:hyperlink w:anchor="_Toc43704043" w:history="1">
            <w:r w:rsidR="00E238F7" w:rsidRPr="00E312F9">
              <w:rPr>
                <w:rStyle w:val="Hyperlink"/>
                <w:noProof/>
              </w:rPr>
              <w:t>Scope</w:t>
            </w:r>
            <w:r w:rsidR="00E238F7">
              <w:rPr>
                <w:noProof/>
                <w:webHidden/>
              </w:rPr>
              <w:tab/>
            </w:r>
            <w:r w:rsidR="00E238F7">
              <w:rPr>
                <w:noProof/>
                <w:webHidden/>
              </w:rPr>
              <w:fldChar w:fldCharType="begin"/>
            </w:r>
            <w:r w:rsidR="00E238F7">
              <w:rPr>
                <w:noProof/>
                <w:webHidden/>
              </w:rPr>
              <w:instrText xml:space="preserve"> PAGEREF _Toc43704043 \h </w:instrText>
            </w:r>
            <w:r w:rsidR="00E238F7">
              <w:rPr>
                <w:noProof/>
                <w:webHidden/>
              </w:rPr>
            </w:r>
            <w:r w:rsidR="00E238F7">
              <w:rPr>
                <w:noProof/>
                <w:webHidden/>
              </w:rPr>
              <w:fldChar w:fldCharType="separate"/>
            </w:r>
            <w:r>
              <w:rPr>
                <w:noProof/>
                <w:webHidden/>
              </w:rPr>
              <w:t>6</w:t>
            </w:r>
            <w:r w:rsidR="00E238F7">
              <w:rPr>
                <w:noProof/>
                <w:webHidden/>
              </w:rPr>
              <w:fldChar w:fldCharType="end"/>
            </w:r>
          </w:hyperlink>
        </w:p>
        <w:p w14:paraId="47F95906" w14:textId="774C3362" w:rsidR="00E238F7" w:rsidRDefault="00FB6ACE">
          <w:pPr>
            <w:pStyle w:val="TOC1"/>
            <w:rPr>
              <w:rFonts w:asciiTheme="minorHAnsi" w:eastAsiaTheme="minorEastAsia" w:hAnsiTheme="minorHAnsi" w:cstheme="minorBidi"/>
              <w:b w:val="0"/>
              <w:bCs w:val="0"/>
              <w:lang w:eastAsia="en-ZA"/>
            </w:rPr>
          </w:pPr>
          <w:hyperlink w:anchor="_Toc43704044" w:history="1">
            <w:r w:rsidR="00E238F7" w:rsidRPr="00E312F9">
              <w:rPr>
                <w:rStyle w:val="Hyperlink"/>
              </w:rPr>
              <w:t>Effective Date</w:t>
            </w:r>
            <w:r w:rsidR="00E238F7">
              <w:rPr>
                <w:webHidden/>
              </w:rPr>
              <w:tab/>
            </w:r>
            <w:r w:rsidR="00E238F7">
              <w:rPr>
                <w:webHidden/>
              </w:rPr>
              <w:fldChar w:fldCharType="begin"/>
            </w:r>
            <w:r w:rsidR="00E238F7">
              <w:rPr>
                <w:webHidden/>
              </w:rPr>
              <w:instrText xml:space="preserve"> PAGEREF _Toc43704044 \h </w:instrText>
            </w:r>
            <w:r w:rsidR="00E238F7">
              <w:rPr>
                <w:webHidden/>
              </w:rPr>
            </w:r>
            <w:r w:rsidR="00E238F7">
              <w:rPr>
                <w:webHidden/>
              </w:rPr>
              <w:fldChar w:fldCharType="separate"/>
            </w:r>
            <w:r>
              <w:rPr>
                <w:webHidden/>
              </w:rPr>
              <w:t>11</w:t>
            </w:r>
            <w:r w:rsidR="00E238F7">
              <w:rPr>
                <w:webHidden/>
              </w:rPr>
              <w:fldChar w:fldCharType="end"/>
            </w:r>
          </w:hyperlink>
        </w:p>
        <w:p w14:paraId="43D908F5" w14:textId="0A532724" w:rsidR="00E238F7" w:rsidRDefault="00FB6ACE">
          <w:pPr>
            <w:pStyle w:val="TOC1"/>
            <w:rPr>
              <w:rFonts w:asciiTheme="minorHAnsi" w:eastAsiaTheme="minorEastAsia" w:hAnsiTheme="minorHAnsi" w:cstheme="minorBidi"/>
              <w:b w:val="0"/>
              <w:bCs w:val="0"/>
              <w:lang w:eastAsia="en-ZA"/>
            </w:rPr>
          </w:pPr>
          <w:hyperlink w:anchor="_Toc43704045" w:history="1">
            <w:r w:rsidR="00E238F7" w:rsidRPr="00E312F9">
              <w:rPr>
                <w:rStyle w:val="Hyperlink"/>
              </w:rPr>
              <w:t>Objective</w:t>
            </w:r>
            <w:r w:rsidR="00E238F7">
              <w:rPr>
                <w:webHidden/>
              </w:rPr>
              <w:tab/>
            </w:r>
            <w:r w:rsidR="00E238F7">
              <w:rPr>
                <w:webHidden/>
              </w:rPr>
              <w:fldChar w:fldCharType="begin"/>
            </w:r>
            <w:r w:rsidR="00E238F7">
              <w:rPr>
                <w:webHidden/>
              </w:rPr>
              <w:instrText xml:space="preserve"> PAGEREF _Toc43704045 \h </w:instrText>
            </w:r>
            <w:r w:rsidR="00E238F7">
              <w:rPr>
                <w:webHidden/>
              </w:rPr>
            </w:r>
            <w:r w:rsidR="00E238F7">
              <w:rPr>
                <w:webHidden/>
              </w:rPr>
              <w:fldChar w:fldCharType="separate"/>
            </w:r>
            <w:r>
              <w:rPr>
                <w:webHidden/>
              </w:rPr>
              <w:t>11</w:t>
            </w:r>
            <w:r w:rsidR="00E238F7">
              <w:rPr>
                <w:webHidden/>
              </w:rPr>
              <w:fldChar w:fldCharType="end"/>
            </w:r>
          </w:hyperlink>
        </w:p>
        <w:p w14:paraId="7839674E" w14:textId="3793192F" w:rsidR="00E238F7" w:rsidRDefault="00FB6ACE">
          <w:pPr>
            <w:pStyle w:val="TOC1"/>
            <w:rPr>
              <w:rFonts w:asciiTheme="minorHAnsi" w:eastAsiaTheme="minorEastAsia" w:hAnsiTheme="minorHAnsi" w:cstheme="minorBidi"/>
              <w:b w:val="0"/>
              <w:bCs w:val="0"/>
              <w:lang w:eastAsia="en-ZA"/>
            </w:rPr>
          </w:pPr>
          <w:hyperlink w:anchor="_Toc43704046" w:history="1">
            <w:r w:rsidR="00E238F7" w:rsidRPr="00E312F9">
              <w:rPr>
                <w:rStyle w:val="Hyperlink"/>
              </w:rPr>
              <w:t>Definitions</w:t>
            </w:r>
            <w:r w:rsidR="00E238F7">
              <w:rPr>
                <w:webHidden/>
              </w:rPr>
              <w:tab/>
            </w:r>
            <w:r w:rsidR="00E238F7">
              <w:rPr>
                <w:webHidden/>
              </w:rPr>
              <w:fldChar w:fldCharType="begin"/>
            </w:r>
            <w:r w:rsidR="00E238F7">
              <w:rPr>
                <w:webHidden/>
              </w:rPr>
              <w:instrText xml:space="preserve"> PAGEREF _Toc43704046 \h </w:instrText>
            </w:r>
            <w:r w:rsidR="00E238F7">
              <w:rPr>
                <w:webHidden/>
              </w:rPr>
            </w:r>
            <w:r w:rsidR="00E238F7">
              <w:rPr>
                <w:webHidden/>
              </w:rPr>
              <w:fldChar w:fldCharType="separate"/>
            </w:r>
            <w:r>
              <w:rPr>
                <w:webHidden/>
              </w:rPr>
              <w:t>12</w:t>
            </w:r>
            <w:r w:rsidR="00E238F7">
              <w:rPr>
                <w:webHidden/>
              </w:rPr>
              <w:fldChar w:fldCharType="end"/>
            </w:r>
          </w:hyperlink>
        </w:p>
        <w:p w14:paraId="4D3D2667" w14:textId="44C2DF62" w:rsidR="00E238F7" w:rsidRDefault="00FB6ACE">
          <w:pPr>
            <w:pStyle w:val="TOC1"/>
            <w:rPr>
              <w:rFonts w:asciiTheme="minorHAnsi" w:eastAsiaTheme="minorEastAsia" w:hAnsiTheme="minorHAnsi" w:cstheme="minorBidi"/>
              <w:b w:val="0"/>
              <w:bCs w:val="0"/>
              <w:lang w:eastAsia="en-ZA"/>
            </w:rPr>
          </w:pPr>
          <w:hyperlink w:anchor="_Toc43704047" w:history="1">
            <w:r w:rsidR="00E238F7" w:rsidRPr="00E312F9">
              <w:rPr>
                <w:rStyle w:val="Hyperlink"/>
              </w:rPr>
              <w:t>Concepts Relevant to the Guidance Provided in this SAAEPS</w:t>
            </w:r>
            <w:r w:rsidR="00E238F7">
              <w:rPr>
                <w:webHidden/>
              </w:rPr>
              <w:tab/>
            </w:r>
            <w:r w:rsidR="00E238F7">
              <w:rPr>
                <w:webHidden/>
              </w:rPr>
              <w:fldChar w:fldCharType="begin"/>
            </w:r>
            <w:r w:rsidR="00E238F7">
              <w:rPr>
                <w:webHidden/>
              </w:rPr>
              <w:instrText xml:space="preserve"> PAGEREF _Toc43704047 \h </w:instrText>
            </w:r>
            <w:r w:rsidR="00E238F7">
              <w:rPr>
                <w:webHidden/>
              </w:rPr>
            </w:r>
            <w:r w:rsidR="00E238F7">
              <w:rPr>
                <w:webHidden/>
              </w:rPr>
              <w:fldChar w:fldCharType="separate"/>
            </w:r>
            <w:r>
              <w:rPr>
                <w:webHidden/>
              </w:rPr>
              <w:t>13</w:t>
            </w:r>
            <w:r w:rsidR="00E238F7">
              <w:rPr>
                <w:webHidden/>
              </w:rPr>
              <w:fldChar w:fldCharType="end"/>
            </w:r>
          </w:hyperlink>
        </w:p>
        <w:p w14:paraId="3DF71C0E" w14:textId="46E7BEEC" w:rsidR="00E238F7" w:rsidRDefault="00FB6ACE">
          <w:pPr>
            <w:pStyle w:val="TOC2"/>
            <w:rPr>
              <w:rFonts w:asciiTheme="minorHAnsi" w:eastAsiaTheme="minorEastAsia" w:hAnsiTheme="minorHAnsi" w:cstheme="minorBidi"/>
              <w:bCs w:val="0"/>
              <w:noProof/>
              <w:szCs w:val="22"/>
              <w:lang w:eastAsia="en-ZA"/>
            </w:rPr>
          </w:pPr>
          <w:hyperlink w:anchor="_Toc43704048" w:history="1">
            <w:r w:rsidR="00E238F7" w:rsidRPr="00E312F9">
              <w:rPr>
                <w:rStyle w:val="Hyperlink"/>
                <w:noProof/>
              </w:rPr>
              <w:t>Sustainability information</w:t>
            </w:r>
            <w:r w:rsidR="00E238F7">
              <w:rPr>
                <w:noProof/>
                <w:webHidden/>
              </w:rPr>
              <w:tab/>
            </w:r>
            <w:r w:rsidR="00E238F7">
              <w:rPr>
                <w:noProof/>
                <w:webHidden/>
              </w:rPr>
              <w:fldChar w:fldCharType="begin"/>
            </w:r>
            <w:r w:rsidR="00E238F7">
              <w:rPr>
                <w:noProof/>
                <w:webHidden/>
              </w:rPr>
              <w:instrText xml:space="preserve"> PAGEREF _Toc43704048 \h </w:instrText>
            </w:r>
            <w:r w:rsidR="00E238F7">
              <w:rPr>
                <w:noProof/>
                <w:webHidden/>
              </w:rPr>
            </w:r>
            <w:r w:rsidR="00E238F7">
              <w:rPr>
                <w:noProof/>
                <w:webHidden/>
              </w:rPr>
              <w:fldChar w:fldCharType="separate"/>
            </w:r>
            <w:r>
              <w:rPr>
                <w:noProof/>
                <w:webHidden/>
              </w:rPr>
              <w:t>13</w:t>
            </w:r>
            <w:r w:rsidR="00E238F7">
              <w:rPr>
                <w:noProof/>
                <w:webHidden/>
              </w:rPr>
              <w:fldChar w:fldCharType="end"/>
            </w:r>
          </w:hyperlink>
        </w:p>
        <w:p w14:paraId="4BFC085F" w14:textId="27FA055D" w:rsidR="00E238F7" w:rsidRDefault="00FB6ACE">
          <w:pPr>
            <w:pStyle w:val="TOC3"/>
            <w:rPr>
              <w:rFonts w:asciiTheme="minorHAnsi" w:eastAsiaTheme="minorEastAsia" w:hAnsiTheme="minorHAnsi" w:cstheme="minorBidi"/>
              <w:noProof/>
              <w:szCs w:val="22"/>
              <w:lang w:eastAsia="en-ZA"/>
            </w:rPr>
          </w:pPr>
          <w:hyperlink w:anchor="_Toc43704049" w:history="1">
            <w:r w:rsidR="00E238F7" w:rsidRPr="00E312F9">
              <w:rPr>
                <w:rStyle w:val="Hyperlink"/>
                <w:noProof/>
              </w:rPr>
              <w:t>Nature of sustainability information</w:t>
            </w:r>
            <w:r w:rsidR="00E238F7">
              <w:rPr>
                <w:noProof/>
                <w:webHidden/>
              </w:rPr>
              <w:tab/>
            </w:r>
            <w:r w:rsidR="00E238F7">
              <w:rPr>
                <w:noProof/>
                <w:webHidden/>
              </w:rPr>
              <w:fldChar w:fldCharType="begin"/>
            </w:r>
            <w:r w:rsidR="00E238F7">
              <w:rPr>
                <w:noProof/>
                <w:webHidden/>
              </w:rPr>
              <w:instrText xml:space="preserve"> PAGEREF _Toc43704049 \h </w:instrText>
            </w:r>
            <w:r w:rsidR="00E238F7">
              <w:rPr>
                <w:noProof/>
                <w:webHidden/>
              </w:rPr>
            </w:r>
            <w:r w:rsidR="00E238F7">
              <w:rPr>
                <w:noProof/>
                <w:webHidden/>
              </w:rPr>
              <w:fldChar w:fldCharType="separate"/>
            </w:r>
            <w:r>
              <w:rPr>
                <w:noProof/>
                <w:webHidden/>
              </w:rPr>
              <w:t>13</w:t>
            </w:r>
            <w:r w:rsidR="00E238F7">
              <w:rPr>
                <w:noProof/>
                <w:webHidden/>
              </w:rPr>
              <w:fldChar w:fldCharType="end"/>
            </w:r>
          </w:hyperlink>
        </w:p>
        <w:p w14:paraId="1EDA02B3" w14:textId="217580A5" w:rsidR="00E238F7" w:rsidRDefault="00FB6ACE">
          <w:pPr>
            <w:pStyle w:val="TOC2"/>
            <w:rPr>
              <w:rFonts w:asciiTheme="minorHAnsi" w:eastAsiaTheme="minorEastAsia" w:hAnsiTheme="minorHAnsi" w:cstheme="minorBidi"/>
              <w:bCs w:val="0"/>
              <w:noProof/>
              <w:szCs w:val="22"/>
              <w:lang w:eastAsia="en-ZA"/>
            </w:rPr>
          </w:pPr>
          <w:hyperlink w:anchor="_Toc43704050" w:history="1">
            <w:r w:rsidR="00E238F7" w:rsidRPr="00E312F9">
              <w:rPr>
                <w:rStyle w:val="Hyperlink"/>
                <w:noProof/>
              </w:rPr>
              <w:t>Reporting infrastructure</w:t>
            </w:r>
            <w:r w:rsidR="00E238F7">
              <w:rPr>
                <w:noProof/>
                <w:webHidden/>
              </w:rPr>
              <w:tab/>
            </w:r>
            <w:r w:rsidR="00E238F7">
              <w:rPr>
                <w:noProof/>
                <w:webHidden/>
              </w:rPr>
              <w:fldChar w:fldCharType="begin"/>
            </w:r>
            <w:r w:rsidR="00E238F7">
              <w:rPr>
                <w:noProof/>
                <w:webHidden/>
              </w:rPr>
              <w:instrText xml:space="preserve"> PAGEREF _Toc43704050 \h </w:instrText>
            </w:r>
            <w:r w:rsidR="00E238F7">
              <w:rPr>
                <w:noProof/>
                <w:webHidden/>
              </w:rPr>
            </w:r>
            <w:r w:rsidR="00E238F7">
              <w:rPr>
                <w:noProof/>
                <w:webHidden/>
              </w:rPr>
              <w:fldChar w:fldCharType="separate"/>
            </w:r>
            <w:r>
              <w:rPr>
                <w:noProof/>
                <w:webHidden/>
              </w:rPr>
              <w:t>15</w:t>
            </w:r>
            <w:r w:rsidR="00E238F7">
              <w:rPr>
                <w:noProof/>
                <w:webHidden/>
              </w:rPr>
              <w:fldChar w:fldCharType="end"/>
            </w:r>
          </w:hyperlink>
        </w:p>
        <w:p w14:paraId="2CA64CDE" w14:textId="0CAA5C45" w:rsidR="00E238F7" w:rsidRDefault="00FB6ACE">
          <w:pPr>
            <w:pStyle w:val="TOC3"/>
            <w:rPr>
              <w:rFonts w:asciiTheme="minorHAnsi" w:eastAsiaTheme="minorEastAsia" w:hAnsiTheme="minorHAnsi" w:cstheme="minorBidi"/>
              <w:noProof/>
              <w:szCs w:val="22"/>
              <w:lang w:eastAsia="en-ZA"/>
            </w:rPr>
          </w:pPr>
          <w:hyperlink w:anchor="_Toc43704051" w:history="1">
            <w:r w:rsidR="00E238F7" w:rsidRPr="00E312F9">
              <w:rPr>
                <w:rStyle w:val="Hyperlink"/>
                <w:noProof/>
              </w:rPr>
              <w:t>Relevant reporting framework</w:t>
            </w:r>
            <w:r w:rsidR="00E238F7">
              <w:rPr>
                <w:noProof/>
                <w:webHidden/>
              </w:rPr>
              <w:tab/>
            </w:r>
            <w:r w:rsidR="00E238F7">
              <w:rPr>
                <w:noProof/>
                <w:webHidden/>
              </w:rPr>
              <w:fldChar w:fldCharType="begin"/>
            </w:r>
            <w:r w:rsidR="00E238F7">
              <w:rPr>
                <w:noProof/>
                <w:webHidden/>
              </w:rPr>
              <w:instrText xml:space="preserve"> PAGEREF _Toc43704051 \h </w:instrText>
            </w:r>
            <w:r w:rsidR="00E238F7">
              <w:rPr>
                <w:noProof/>
                <w:webHidden/>
              </w:rPr>
            </w:r>
            <w:r w:rsidR="00E238F7">
              <w:rPr>
                <w:noProof/>
                <w:webHidden/>
              </w:rPr>
              <w:fldChar w:fldCharType="separate"/>
            </w:r>
            <w:r>
              <w:rPr>
                <w:noProof/>
                <w:webHidden/>
              </w:rPr>
              <w:t>15</w:t>
            </w:r>
            <w:r w:rsidR="00E238F7">
              <w:rPr>
                <w:noProof/>
                <w:webHidden/>
              </w:rPr>
              <w:fldChar w:fldCharType="end"/>
            </w:r>
          </w:hyperlink>
        </w:p>
        <w:p w14:paraId="02DFB133" w14:textId="37AADB30" w:rsidR="00E238F7" w:rsidRDefault="00FB6ACE">
          <w:pPr>
            <w:pStyle w:val="TOC3"/>
            <w:rPr>
              <w:rFonts w:asciiTheme="minorHAnsi" w:eastAsiaTheme="minorEastAsia" w:hAnsiTheme="minorHAnsi" w:cstheme="minorBidi"/>
              <w:noProof/>
              <w:szCs w:val="22"/>
              <w:lang w:eastAsia="en-ZA"/>
            </w:rPr>
          </w:pPr>
          <w:hyperlink w:anchor="_Toc43704052" w:history="1">
            <w:r w:rsidR="00E238F7" w:rsidRPr="00E312F9">
              <w:rPr>
                <w:rStyle w:val="Hyperlink"/>
                <w:noProof/>
              </w:rPr>
              <w:t>Reporting policies and procedures</w:t>
            </w:r>
            <w:r w:rsidR="00E238F7">
              <w:rPr>
                <w:noProof/>
                <w:webHidden/>
              </w:rPr>
              <w:tab/>
            </w:r>
            <w:r w:rsidR="00E238F7">
              <w:rPr>
                <w:noProof/>
                <w:webHidden/>
              </w:rPr>
              <w:fldChar w:fldCharType="begin"/>
            </w:r>
            <w:r w:rsidR="00E238F7">
              <w:rPr>
                <w:noProof/>
                <w:webHidden/>
              </w:rPr>
              <w:instrText xml:space="preserve"> PAGEREF _Toc43704052 \h </w:instrText>
            </w:r>
            <w:r w:rsidR="00E238F7">
              <w:rPr>
                <w:noProof/>
                <w:webHidden/>
              </w:rPr>
            </w:r>
            <w:r w:rsidR="00E238F7">
              <w:rPr>
                <w:noProof/>
                <w:webHidden/>
              </w:rPr>
              <w:fldChar w:fldCharType="separate"/>
            </w:r>
            <w:r>
              <w:rPr>
                <w:noProof/>
                <w:webHidden/>
              </w:rPr>
              <w:t>16</w:t>
            </w:r>
            <w:r w:rsidR="00E238F7">
              <w:rPr>
                <w:noProof/>
                <w:webHidden/>
              </w:rPr>
              <w:fldChar w:fldCharType="end"/>
            </w:r>
          </w:hyperlink>
        </w:p>
        <w:p w14:paraId="5A9DAF1E" w14:textId="29776039" w:rsidR="00E238F7" w:rsidRDefault="00FB6ACE">
          <w:pPr>
            <w:pStyle w:val="TOC3"/>
            <w:rPr>
              <w:rFonts w:asciiTheme="minorHAnsi" w:eastAsiaTheme="minorEastAsia" w:hAnsiTheme="minorHAnsi" w:cstheme="minorBidi"/>
              <w:noProof/>
              <w:szCs w:val="22"/>
              <w:lang w:eastAsia="en-ZA"/>
            </w:rPr>
          </w:pPr>
          <w:hyperlink w:anchor="_Toc43704053" w:history="1">
            <w:r w:rsidR="00E238F7" w:rsidRPr="00E312F9">
              <w:rPr>
                <w:rStyle w:val="Hyperlink"/>
                <w:noProof/>
              </w:rPr>
              <w:t>Reporting systems and controls</w:t>
            </w:r>
            <w:r w:rsidR="00E238F7">
              <w:rPr>
                <w:noProof/>
                <w:webHidden/>
              </w:rPr>
              <w:tab/>
            </w:r>
            <w:r w:rsidR="00E238F7">
              <w:rPr>
                <w:noProof/>
                <w:webHidden/>
              </w:rPr>
              <w:fldChar w:fldCharType="begin"/>
            </w:r>
            <w:r w:rsidR="00E238F7">
              <w:rPr>
                <w:noProof/>
                <w:webHidden/>
              </w:rPr>
              <w:instrText xml:space="preserve"> PAGEREF _Toc43704053 \h </w:instrText>
            </w:r>
            <w:r w:rsidR="00E238F7">
              <w:rPr>
                <w:noProof/>
                <w:webHidden/>
              </w:rPr>
            </w:r>
            <w:r w:rsidR="00E238F7">
              <w:rPr>
                <w:noProof/>
                <w:webHidden/>
              </w:rPr>
              <w:fldChar w:fldCharType="separate"/>
            </w:r>
            <w:r>
              <w:rPr>
                <w:noProof/>
                <w:webHidden/>
              </w:rPr>
              <w:t>16</w:t>
            </w:r>
            <w:r w:rsidR="00E238F7">
              <w:rPr>
                <w:noProof/>
                <w:webHidden/>
              </w:rPr>
              <w:fldChar w:fldCharType="end"/>
            </w:r>
          </w:hyperlink>
        </w:p>
        <w:p w14:paraId="6E53F793" w14:textId="6F314257" w:rsidR="00E238F7" w:rsidRDefault="00FB6ACE">
          <w:pPr>
            <w:pStyle w:val="TOC3"/>
            <w:rPr>
              <w:rFonts w:asciiTheme="minorHAnsi" w:eastAsiaTheme="minorEastAsia" w:hAnsiTheme="minorHAnsi" w:cstheme="minorBidi"/>
              <w:noProof/>
              <w:szCs w:val="22"/>
              <w:lang w:eastAsia="en-ZA"/>
            </w:rPr>
          </w:pPr>
          <w:hyperlink w:anchor="_Toc43704054" w:history="1">
            <w:r w:rsidR="00E238F7" w:rsidRPr="00E312F9">
              <w:rPr>
                <w:rStyle w:val="Hyperlink"/>
                <w:noProof/>
              </w:rPr>
              <w:t>Governance and oversight</w:t>
            </w:r>
            <w:r w:rsidR="00E238F7">
              <w:rPr>
                <w:noProof/>
                <w:webHidden/>
              </w:rPr>
              <w:tab/>
            </w:r>
            <w:r w:rsidR="00E238F7">
              <w:rPr>
                <w:noProof/>
                <w:webHidden/>
              </w:rPr>
              <w:fldChar w:fldCharType="begin"/>
            </w:r>
            <w:r w:rsidR="00E238F7">
              <w:rPr>
                <w:noProof/>
                <w:webHidden/>
              </w:rPr>
              <w:instrText xml:space="preserve"> PAGEREF _Toc43704054 \h </w:instrText>
            </w:r>
            <w:r w:rsidR="00E238F7">
              <w:rPr>
                <w:noProof/>
                <w:webHidden/>
              </w:rPr>
            </w:r>
            <w:r w:rsidR="00E238F7">
              <w:rPr>
                <w:noProof/>
                <w:webHidden/>
              </w:rPr>
              <w:fldChar w:fldCharType="separate"/>
            </w:r>
            <w:r>
              <w:rPr>
                <w:noProof/>
                <w:webHidden/>
              </w:rPr>
              <w:t>16</w:t>
            </w:r>
            <w:r w:rsidR="00E238F7">
              <w:rPr>
                <w:noProof/>
                <w:webHidden/>
              </w:rPr>
              <w:fldChar w:fldCharType="end"/>
            </w:r>
          </w:hyperlink>
        </w:p>
        <w:p w14:paraId="264DC5E7" w14:textId="37728F92" w:rsidR="00E238F7" w:rsidRDefault="00FB6ACE">
          <w:pPr>
            <w:pStyle w:val="TOC2"/>
            <w:rPr>
              <w:rFonts w:asciiTheme="minorHAnsi" w:eastAsiaTheme="minorEastAsia" w:hAnsiTheme="minorHAnsi" w:cstheme="minorBidi"/>
              <w:bCs w:val="0"/>
              <w:noProof/>
              <w:szCs w:val="22"/>
              <w:lang w:eastAsia="en-ZA"/>
            </w:rPr>
          </w:pPr>
          <w:hyperlink w:anchor="_Toc43704055" w:history="1">
            <w:r w:rsidR="00E238F7" w:rsidRPr="00E312F9">
              <w:rPr>
                <w:rStyle w:val="Hyperlink"/>
                <w:noProof/>
              </w:rPr>
              <w:t>Underlying subject matter, subject matter information and criteria</w:t>
            </w:r>
            <w:r w:rsidR="00E238F7">
              <w:rPr>
                <w:noProof/>
                <w:webHidden/>
              </w:rPr>
              <w:tab/>
            </w:r>
            <w:r w:rsidR="00E238F7">
              <w:rPr>
                <w:noProof/>
                <w:webHidden/>
              </w:rPr>
              <w:fldChar w:fldCharType="begin"/>
            </w:r>
            <w:r w:rsidR="00E238F7">
              <w:rPr>
                <w:noProof/>
                <w:webHidden/>
              </w:rPr>
              <w:instrText xml:space="preserve"> PAGEREF _Toc43704055 \h </w:instrText>
            </w:r>
            <w:r w:rsidR="00E238F7">
              <w:rPr>
                <w:noProof/>
                <w:webHidden/>
              </w:rPr>
            </w:r>
            <w:r w:rsidR="00E238F7">
              <w:rPr>
                <w:noProof/>
                <w:webHidden/>
              </w:rPr>
              <w:fldChar w:fldCharType="separate"/>
            </w:r>
            <w:r>
              <w:rPr>
                <w:noProof/>
                <w:webHidden/>
              </w:rPr>
              <w:t>16</w:t>
            </w:r>
            <w:r w:rsidR="00E238F7">
              <w:rPr>
                <w:noProof/>
                <w:webHidden/>
              </w:rPr>
              <w:fldChar w:fldCharType="end"/>
            </w:r>
          </w:hyperlink>
        </w:p>
        <w:p w14:paraId="10AE005E" w14:textId="6C7FFBD0" w:rsidR="00E238F7" w:rsidRDefault="00FB6ACE">
          <w:pPr>
            <w:pStyle w:val="TOC1"/>
            <w:rPr>
              <w:rFonts w:asciiTheme="minorHAnsi" w:eastAsiaTheme="minorEastAsia" w:hAnsiTheme="minorHAnsi" w:cstheme="minorBidi"/>
              <w:b w:val="0"/>
              <w:bCs w:val="0"/>
              <w:lang w:eastAsia="en-ZA"/>
            </w:rPr>
          </w:pPr>
          <w:hyperlink w:anchor="_Toc43704056" w:history="1">
            <w:r w:rsidR="00E238F7" w:rsidRPr="00E312F9">
              <w:rPr>
                <w:rStyle w:val="Hyperlink"/>
              </w:rPr>
              <w:t>Preconditions to Sustainability Assurance Engagements</w:t>
            </w:r>
            <w:r w:rsidR="00E238F7">
              <w:rPr>
                <w:webHidden/>
              </w:rPr>
              <w:tab/>
            </w:r>
            <w:r w:rsidR="00E238F7">
              <w:rPr>
                <w:webHidden/>
              </w:rPr>
              <w:fldChar w:fldCharType="begin"/>
            </w:r>
            <w:r w:rsidR="00E238F7">
              <w:rPr>
                <w:webHidden/>
              </w:rPr>
              <w:instrText xml:space="preserve"> PAGEREF _Toc43704056 \h </w:instrText>
            </w:r>
            <w:r w:rsidR="00E238F7">
              <w:rPr>
                <w:webHidden/>
              </w:rPr>
            </w:r>
            <w:r w:rsidR="00E238F7">
              <w:rPr>
                <w:webHidden/>
              </w:rPr>
              <w:fldChar w:fldCharType="separate"/>
            </w:r>
            <w:r>
              <w:rPr>
                <w:webHidden/>
              </w:rPr>
              <w:t>18</w:t>
            </w:r>
            <w:r w:rsidR="00E238F7">
              <w:rPr>
                <w:webHidden/>
              </w:rPr>
              <w:fldChar w:fldCharType="end"/>
            </w:r>
          </w:hyperlink>
        </w:p>
        <w:p w14:paraId="7E50DAA1" w14:textId="77916355" w:rsidR="00E238F7" w:rsidRDefault="00FB6ACE">
          <w:pPr>
            <w:pStyle w:val="TOC2"/>
            <w:rPr>
              <w:rFonts w:asciiTheme="minorHAnsi" w:eastAsiaTheme="minorEastAsia" w:hAnsiTheme="minorHAnsi" w:cstheme="minorBidi"/>
              <w:bCs w:val="0"/>
              <w:noProof/>
              <w:szCs w:val="22"/>
              <w:lang w:eastAsia="en-ZA"/>
            </w:rPr>
          </w:pPr>
          <w:hyperlink w:anchor="_Toc43704057" w:history="1">
            <w:r w:rsidR="00E238F7" w:rsidRPr="00E312F9">
              <w:rPr>
                <w:rStyle w:val="Hyperlink"/>
                <w:noProof/>
              </w:rPr>
              <w:t>Rational purpose</w:t>
            </w:r>
            <w:r w:rsidR="00E238F7">
              <w:rPr>
                <w:noProof/>
                <w:webHidden/>
              </w:rPr>
              <w:tab/>
            </w:r>
            <w:r w:rsidR="00E238F7">
              <w:rPr>
                <w:noProof/>
                <w:webHidden/>
              </w:rPr>
              <w:fldChar w:fldCharType="begin"/>
            </w:r>
            <w:r w:rsidR="00E238F7">
              <w:rPr>
                <w:noProof/>
                <w:webHidden/>
              </w:rPr>
              <w:instrText xml:space="preserve"> PAGEREF _Toc43704057 \h </w:instrText>
            </w:r>
            <w:r w:rsidR="00E238F7">
              <w:rPr>
                <w:noProof/>
                <w:webHidden/>
              </w:rPr>
            </w:r>
            <w:r w:rsidR="00E238F7">
              <w:rPr>
                <w:noProof/>
                <w:webHidden/>
              </w:rPr>
              <w:fldChar w:fldCharType="separate"/>
            </w:r>
            <w:r>
              <w:rPr>
                <w:noProof/>
                <w:webHidden/>
              </w:rPr>
              <w:t>19</w:t>
            </w:r>
            <w:r w:rsidR="00E238F7">
              <w:rPr>
                <w:noProof/>
                <w:webHidden/>
              </w:rPr>
              <w:fldChar w:fldCharType="end"/>
            </w:r>
          </w:hyperlink>
        </w:p>
        <w:p w14:paraId="7EE05370" w14:textId="596D7EAF" w:rsidR="00E238F7" w:rsidRDefault="00FB6ACE">
          <w:pPr>
            <w:pStyle w:val="TOC3"/>
            <w:rPr>
              <w:rFonts w:asciiTheme="minorHAnsi" w:eastAsiaTheme="minorEastAsia" w:hAnsiTheme="minorHAnsi" w:cstheme="minorBidi"/>
              <w:noProof/>
              <w:szCs w:val="22"/>
              <w:lang w:eastAsia="en-ZA"/>
            </w:rPr>
          </w:pPr>
          <w:hyperlink w:anchor="_Toc43704058" w:history="1">
            <w:r w:rsidR="00E238F7" w:rsidRPr="00E312F9">
              <w:rPr>
                <w:rStyle w:val="Hyperlink"/>
                <w:noProof/>
              </w:rPr>
              <w:t>Underlying subject matter</w:t>
            </w:r>
            <w:r w:rsidR="00E238F7">
              <w:rPr>
                <w:noProof/>
                <w:webHidden/>
              </w:rPr>
              <w:tab/>
            </w:r>
            <w:r w:rsidR="00E238F7">
              <w:rPr>
                <w:noProof/>
                <w:webHidden/>
              </w:rPr>
              <w:fldChar w:fldCharType="begin"/>
            </w:r>
            <w:r w:rsidR="00E238F7">
              <w:rPr>
                <w:noProof/>
                <w:webHidden/>
              </w:rPr>
              <w:instrText xml:space="preserve"> PAGEREF _Toc43704058 \h </w:instrText>
            </w:r>
            <w:r w:rsidR="00E238F7">
              <w:rPr>
                <w:noProof/>
                <w:webHidden/>
              </w:rPr>
            </w:r>
            <w:r w:rsidR="00E238F7">
              <w:rPr>
                <w:noProof/>
                <w:webHidden/>
              </w:rPr>
              <w:fldChar w:fldCharType="separate"/>
            </w:r>
            <w:r>
              <w:rPr>
                <w:noProof/>
                <w:webHidden/>
              </w:rPr>
              <w:t>20</w:t>
            </w:r>
            <w:r w:rsidR="00E238F7">
              <w:rPr>
                <w:noProof/>
                <w:webHidden/>
              </w:rPr>
              <w:fldChar w:fldCharType="end"/>
            </w:r>
          </w:hyperlink>
        </w:p>
        <w:p w14:paraId="7EEDE0C0" w14:textId="545526B9" w:rsidR="00E238F7" w:rsidRDefault="00FB6ACE">
          <w:pPr>
            <w:pStyle w:val="TOC3"/>
            <w:rPr>
              <w:rFonts w:asciiTheme="minorHAnsi" w:eastAsiaTheme="minorEastAsia" w:hAnsiTheme="minorHAnsi" w:cstheme="minorBidi"/>
              <w:noProof/>
              <w:szCs w:val="22"/>
              <w:lang w:eastAsia="en-ZA"/>
            </w:rPr>
          </w:pPr>
          <w:hyperlink w:anchor="_Toc43704059" w:history="1">
            <w:r w:rsidR="00E238F7" w:rsidRPr="00E312F9">
              <w:rPr>
                <w:rStyle w:val="Hyperlink"/>
                <w:noProof/>
              </w:rPr>
              <w:t>Entity context</w:t>
            </w:r>
            <w:r w:rsidR="00E238F7">
              <w:rPr>
                <w:noProof/>
                <w:webHidden/>
              </w:rPr>
              <w:tab/>
            </w:r>
            <w:r w:rsidR="00E238F7">
              <w:rPr>
                <w:noProof/>
                <w:webHidden/>
              </w:rPr>
              <w:fldChar w:fldCharType="begin"/>
            </w:r>
            <w:r w:rsidR="00E238F7">
              <w:rPr>
                <w:noProof/>
                <w:webHidden/>
              </w:rPr>
              <w:instrText xml:space="preserve"> PAGEREF _Toc43704059 \h </w:instrText>
            </w:r>
            <w:r w:rsidR="00E238F7">
              <w:rPr>
                <w:noProof/>
                <w:webHidden/>
              </w:rPr>
            </w:r>
            <w:r w:rsidR="00E238F7">
              <w:rPr>
                <w:noProof/>
                <w:webHidden/>
              </w:rPr>
              <w:fldChar w:fldCharType="separate"/>
            </w:r>
            <w:r>
              <w:rPr>
                <w:noProof/>
                <w:webHidden/>
              </w:rPr>
              <w:t>21</w:t>
            </w:r>
            <w:r w:rsidR="00E238F7">
              <w:rPr>
                <w:noProof/>
                <w:webHidden/>
              </w:rPr>
              <w:fldChar w:fldCharType="end"/>
            </w:r>
          </w:hyperlink>
        </w:p>
        <w:p w14:paraId="06D429B4" w14:textId="6C393E85" w:rsidR="00E238F7" w:rsidRDefault="00FB6ACE">
          <w:pPr>
            <w:pStyle w:val="TOC3"/>
            <w:rPr>
              <w:rFonts w:asciiTheme="minorHAnsi" w:eastAsiaTheme="minorEastAsia" w:hAnsiTheme="minorHAnsi" w:cstheme="minorBidi"/>
              <w:noProof/>
              <w:szCs w:val="22"/>
              <w:lang w:eastAsia="en-ZA"/>
            </w:rPr>
          </w:pPr>
          <w:hyperlink w:anchor="_Toc43704060" w:history="1">
            <w:r w:rsidR="00E238F7" w:rsidRPr="00E312F9">
              <w:rPr>
                <w:rStyle w:val="Hyperlink"/>
                <w:noProof/>
              </w:rPr>
              <w:t>Reporting infrastructure</w:t>
            </w:r>
            <w:r w:rsidR="00E238F7">
              <w:rPr>
                <w:noProof/>
                <w:webHidden/>
              </w:rPr>
              <w:tab/>
            </w:r>
            <w:r w:rsidR="00E238F7">
              <w:rPr>
                <w:noProof/>
                <w:webHidden/>
              </w:rPr>
              <w:fldChar w:fldCharType="begin"/>
            </w:r>
            <w:r w:rsidR="00E238F7">
              <w:rPr>
                <w:noProof/>
                <w:webHidden/>
              </w:rPr>
              <w:instrText xml:space="preserve"> PAGEREF _Toc43704060 \h </w:instrText>
            </w:r>
            <w:r w:rsidR="00E238F7">
              <w:rPr>
                <w:noProof/>
                <w:webHidden/>
              </w:rPr>
            </w:r>
            <w:r w:rsidR="00E238F7">
              <w:rPr>
                <w:noProof/>
                <w:webHidden/>
              </w:rPr>
              <w:fldChar w:fldCharType="separate"/>
            </w:r>
            <w:r>
              <w:rPr>
                <w:noProof/>
                <w:webHidden/>
              </w:rPr>
              <w:t>22</w:t>
            </w:r>
            <w:r w:rsidR="00E238F7">
              <w:rPr>
                <w:noProof/>
                <w:webHidden/>
              </w:rPr>
              <w:fldChar w:fldCharType="end"/>
            </w:r>
          </w:hyperlink>
        </w:p>
        <w:p w14:paraId="14508CED" w14:textId="567F0B82" w:rsidR="00E238F7" w:rsidRDefault="00FB6ACE">
          <w:pPr>
            <w:pStyle w:val="TOC3"/>
            <w:rPr>
              <w:rFonts w:asciiTheme="minorHAnsi" w:eastAsiaTheme="minorEastAsia" w:hAnsiTheme="minorHAnsi" w:cstheme="minorBidi"/>
              <w:noProof/>
              <w:szCs w:val="22"/>
              <w:lang w:eastAsia="en-ZA"/>
            </w:rPr>
          </w:pPr>
          <w:hyperlink w:anchor="_Toc43704061" w:history="1">
            <w:r w:rsidR="00E238F7" w:rsidRPr="00E312F9">
              <w:rPr>
                <w:rStyle w:val="Hyperlink"/>
                <w:noProof/>
              </w:rPr>
              <w:t>Concluding on rational purpose</w:t>
            </w:r>
            <w:r w:rsidR="00E238F7">
              <w:rPr>
                <w:noProof/>
                <w:webHidden/>
              </w:rPr>
              <w:tab/>
            </w:r>
            <w:r w:rsidR="00E238F7">
              <w:rPr>
                <w:noProof/>
                <w:webHidden/>
              </w:rPr>
              <w:fldChar w:fldCharType="begin"/>
            </w:r>
            <w:r w:rsidR="00E238F7">
              <w:rPr>
                <w:noProof/>
                <w:webHidden/>
              </w:rPr>
              <w:instrText xml:space="preserve"> PAGEREF _Toc43704061 \h </w:instrText>
            </w:r>
            <w:r w:rsidR="00E238F7">
              <w:rPr>
                <w:noProof/>
                <w:webHidden/>
              </w:rPr>
            </w:r>
            <w:r w:rsidR="00E238F7">
              <w:rPr>
                <w:noProof/>
                <w:webHidden/>
              </w:rPr>
              <w:fldChar w:fldCharType="separate"/>
            </w:r>
            <w:r>
              <w:rPr>
                <w:noProof/>
                <w:webHidden/>
              </w:rPr>
              <w:t>27</w:t>
            </w:r>
            <w:r w:rsidR="00E238F7">
              <w:rPr>
                <w:noProof/>
                <w:webHidden/>
              </w:rPr>
              <w:fldChar w:fldCharType="end"/>
            </w:r>
          </w:hyperlink>
        </w:p>
        <w:p w14:paraId="713B0BDA" w14:textId="2F08424B" w:rsidR="00E238F7" w:rsidRDefault="00FB6ACE">
          <w:pPr>
            <w:pStyle w:val="TOC2"/>
            <w:rPr>
              <w:rFonts w:asciiTheme="minorHAnsi" w:eastAsiaTheme="minorEastAsia" w:hAnsiTheme="minorHAnsi" w:cstheme="minorBidi"/>
              <w:bCs w:val="0"/>
              <w:noProof/>
              <w:szCs w:val="22"/>
              <w:lang w:eastAsia="en-ZA"/>
            </w:rPr>
          </w:pPr>
          <w:hyperlink w:anchor="_Toc43704062" w:history="1">
            <w:r w:rsidR="00E238F7" w:rsidRPr="00E312F9">
              <w:rPr>
                <w:rStyle w:val="Hyperlink"/>
                <w:noProof/>
              </w:rPr>
              <w:t>Appropriateness of underlying subject matter and suitability of criteria</w:t>
            </w:r>
            <w:r w:rsidR="00E238F7">
              <w:rPr>
                <w:noProof/>
                <w:webHidden/>
              </w:rPr>
              <w:tab/>
            </w:r>
            <w:r w:rsidR="00E238F7">
              <w:rPr>
                <w:noProof/>
                <w:webHidden/>
              </w:rPr>
              <w:fldChar w:fldCharType="begin"/>
            </w:r>
            <w:r w:rsidR="00E238F7">
              <w:rPr>
                <w:noProof/>
                <w:webHidden/>
              </w:rPr>
              <w:instrText xml:space="preserve"> PAGEREF _Toc43704062 \h </w:instrText>
            </w:r>
            <w:r w:rsidR="00E238F7">
              <w:rPr>
                <w:noProof/>
                <w:webHidden/>
              </w:rPr>
            </w:r>
            <w:r w:rsidR="00E238F7">
              <w:rPr>
                <w:noProof/>
                <w:webHidden/>
              </w:rPr>
              <w:fldChar w:fldCharType="separate"/>
            </w:r>
            <w:r>
              <w:rPr>
                <w:noProof/>
                <w:webHidden/>
              </w:rPr>
              <w:t>29</w:t>
            </w:r>
            <w:r w:rsidR="00E238F7">
              <w:rPr>
                <w:noProof/>
                <w:webHidden/>
              </w:rPr>
              <w:fldChar w:fldCharType="end"/>
            </w:r>
          </w:hyperlink>
        </w:p>
        <w:p w14:paraId="0142AD66" w14:textId="49289968" w:rsidR="00E238F7" w:rsidRDefault="00FB6ACE">
          <w:pPr>
            <w:pStyle w:val="TOC3"/>
            <w:rPr>
              <w:rFonts w:asciiTheme="minorHAnsi" w:eastAsiaTheme="minorEastAsia" w:hAnsiTheme="minorHAnsi" w:cstheme="minorBidi"/>
              <w:noProof/>
              <w:szCs w:val="22"/>
              <w:lang w:eastAsia="en-ZA"/>
            </w:rPr>
          </w:pPr>
          <w:hyperlink w:anchor="_Toc43704063" w:history="1">
            <w:r w:rsidR="00E238F7" w:rsidRPr="00E312F9">
              <w:rPr>
                <w:rStyle w:val="Hyperlink"/>
                <w:noProof/>
              </w:rPr>
              <w:t>Step 1: Appropriateness of the underlying subject matter</w:t>
            </w:r>
            <w:r w:rsidR="00E238F7">
              <w:rPr>
                <w:noProof/>
                <w:webHidden/>
              </w:rPr>
              <w:tab/>
            </w:r>
            <w:r w:rsidR="00E238F7">
              <w:rPr>
                <w:noProof/>
                <w:webHidden/>
              </w:rPr>
              <w:fldChar w:fldCharType="begin"/>
            </w:r>
            <w:r w:rsidR="00E238F7">
              <w:rPr>
                <w:noProof/>
                <w:webHidden/>
              </w:rPr>
              <w:instrText xml:space="preserve"> PAGEREF _Toc43704063 \h </w:instrText>
            </w:r>
            <w:r w:rsidR="00E238F7">
              <w:rPr>
                <w:noProof/>
                <w:webHidden/>
              </w:rPr>
            </w:r>
            <w:r w:rsidR="00E238F7">
              <w:rPr>
                <w:noProof/>
                <w:webHidden/>
              </w:rPr>
              <w:fldChar w:fldCharType="separate"/>
            </w:r>
            <w:r>
              <w:rPr>
                <w:noProof/>
                <w:webHidden/>
              </w:rPr>
              <w:t>29</w:t>
            </w:r>
            <w:r w:rsidR="00E238F7">
              <w:rPr>
                <w:noProof/>
                <w:webHidden/>
              </w:rPr>
              <w:fldChar w:fldCharType="end"/>
            </w:r>
          </w:hyperlink>
        </w:p>
        <w:p w14:paraId="7602D7A0" w14:textId="3F2109EA" w:rsidR="00E238F7" w:rsidRDefault="00FB6ACE">
          <w:pPr>
            <w:pStyle w:val="TOC3"/>
            <w:rPr>
              <w:rFonts w:asciiTheme="minorHAnsi" w:eastAsiaTheme="minorEastAsia" w:hAnsiTheme="minorHAnsi" w:cstheme="minorBidi"/>
              <w:noProof/>
              <w:szCs w:val="22"/>
              <w:lang w:eastAsia="en-ZA"/>
            </w:rPr>
          </w:pPr>
          <w:hyperlink w:anchor="_Toc43704064" w:history="1">
            <w:r w:rsidR="00E238F7" w:rsidRPr="00E312F9">
              <w:rPr>
                <w:rStyle w:val="Hyperlink"/>
                <w:noProof/>
              </w:rPr>
              <w:t>Step 2: Suitability of criteria</w:t>
            </w:r>
            <w:r w:rsidR="00E238F7">
              <w:rPr>
                <w:noProof/>
                <w:webHidden/>
              </w:rPr>
              <w:tab/>
            </w:r>
            <w:r w:rsidR="00E238F7">
              <w:rPr>
                <w:noProof/>
                <w:webHidden/>
              </w:rPr>
              <w:fldChar w:fldCharType="begin"/>
            </w:r>
            <w:r w:rsidR="00E238F7">
              <w:rPr>
                <w:noProof/>
                <w:webHidden/>
              </w:rPr>
              <w:instrText xml:space="preserve"> PAGEREF _Toc43704064 \h </w:instrText>
            </w:r>
            <w:r w:rsidR="00E238F7">
              <w:rPr>
                <w:noProof/>
                <w:webHidden/>
              </w:rPr>
            </w:r>
            <w:r w:rsidR="00E238F7">
              <w:rPr>
                <w:noProof/>
                <w:webHidden/>
              </w:rPr>
              <w:fldChar w:fldCharType="separate"/>
            </w:r>
            <w:r>
              <w:rPr>
                <w:noProof/>
                <w:webHidden/>
              </w:rPr>
              <w:t>32</w:t>
            </w:r>
            <w:r w:rsidR="00E238F7">
              <w:rPr>
                <w:noProof/>
                <w:webHidden/>
              </w:rPr>
              <w:fldChar w:fldCharType="end"/>
            </w:r>
          </w:hyperlink>
        </w:p>
        <w:p w14:paraId="66171075" w14:textId="4476230A" w:rsidR="00E238F7" w:rsidRDefault="00FB6ACE">
          <w:pPr>
            <w:pStyle w:val="TOC3"/>
            <w:rPr>
              <w:rFonts w:asciiTheme="minorHAnsi" w:eastAsiaTheme="minorEastAsia" w:hAnsiTheme="minorHAnsi" w:cstheme="minorBidi"/>
              <w:noProof/>
              <w:szCs w:val="22"/>
              <w:lang w:eastAsia="en-ZA"/>
            </w:rPr>
          </w:pPr>
          <w:hyperlink w:anchor="_Toc43704065" w:history="1">
            <w:r w:rsidR="00E238F7" w:rsidRPr="00E312F9">
              <w:rPr>
                <w:rStyle w:val="Hyperlink"/>
                <w:noProof/>
              </w:rPr>
              <w:t>Conclusion on the appropriateness of underlying subject matter and suitability of criteria</w:t>
            </w:r>
            <w:r w:rsidR="00E238F7">
              <w:rPr>
                <w:noProof/>
                <w:webHidden/>
              </w:rPr>
              <w:tab/>
            </w:r>
            <w:r w:rsidR="00E238F7">
              <w:rPr>
                <w:noProof/>
                <w:webHidden/>
              </w:rPr>
              <w:fldChar w:fldCharType="begin"/>
            </w:r>
            <w:r w:rsidR="00E238F7">
              <w:rPr>
                <w:noProof/>
                <w:webHidden/>
              </w:rPr>
              <w:instrText xml:space="preserve"> PAGEREF _Toc43704065 \h </w:instrText>
            </w:r>
            <w:r w:rsidR="00E238F7">
              <w:rPr>
                <w:noProof/>
                <w:webHidden/>
              </w:rPr>
            </w:r>
            <w:r w:rsidR="00E238F7">
              <w:rPr>
                <w:noProof/>
                <w:webHidden/>
              </w:rPr>
              <w:fldChar w:fldCharType="separate"/>
            </w:r>
            <w:r>
              <w:rPr>
                <w:noProof/>
                <w:webHidden/>
              </w:rPr>
              <w:t>39</w:t>
            </w:r>
            <w:r w:rsidR="00E238F7">
              <w:rPr>
                <w:noProof/>
                <w:webHidden/>
              </w:rPr>
              <w:fldChar w:fldCharType="end"/>
            </w:r>
          </w:hyperlink>
        </w:p>
        <w:p w14:paraId="1DDF3D23" w14:textId="23F05CFB" w:rsidR="00E238F7" w:rsidRDefault="00FB6ACE">
          <w:pPr>
            <w:pStyle w:val="TOC2"/>
            <w:rPr>
              <w:rFonts w:asciiTheme="minorHAnsi" w:eastAsiaTheme="minorEastAsia" w:hAnsiTheme="minorHAnsi" w:cstheme="minorBidi"/>
              <w:bCs w:val="0"/>
              <w:noProof/>
              <w:szCs w:val="22"/>
              <w:lang w:eastAsia="en-ZA"/>
            </w:rPr>
          </w:pPr>
          <w:hyperlink w:anchor="_Toc43704066" w:history="1">
            <w:r w:rsidR="00E238F7" w:rsidRPr="00E312F9">
              <w:rPr>
                <w:rStyle w:val="Hyperlink"/>
                <w:noProof/>
              </w:rPr>
              <w:t xml:space="preserve">Overall conclusions on rational purpose and </w:t>
            </w:r>
            <w:r w:rsidR="00E238F7" w:rsidRPr="00E312F9">
              <w:rPr>
                <w:rStyle w:val="Hyperlink"/>
                <w:rFonts w:cs="Arial"/>
                <w:noProof/>
              </w:rPr>
              <w:t>appropriateness of underlying subject matter and suitability of criteria</w:t>
            </w:r>
            <w:r w:rsidR="00E238F7">
              <w:rPr>
                <w:noProof/>
                <w:webHidden/>
              </w:rPr>
              <w:tab/>
            </w:r>
            <w:r w:rsidR="00E238F7">
              <w:rPr>
                <w:noProof/>
                <w:webHidden/>
              </w:rPr>
              <w:fldChar w:fldCharType="begin"/>
            </w:r>
            <w:r w:rsidR="00E238F7">
              <w:rPr>
                <w:noProof/>
                <w:webHidden/>
              </w:rPr>
              <w:instrText xml:space="preserve"> PAGEREF _Toc43704066 \h </w:instrText>
            </w:r>
            <w:r w:rsidR="00E238F7">
              <w:rPr>
                <w:noProof/>
                <w:webHidden/>
              </w:rPr>
            </w:r>
            <w:r w:rsidR="00E238F7">
              <w:rPr>
                <w:noProof/>
                <w:webHidden/>
              </w:rPr>
              <w:fldChar w:fldCharType="separate"/>
            </w:r>
            <w:r>
              <w:rPr>
                <w:noProof/>
                <w:webHidden/>
              </w:rPr>
              <w:t>39</w:t>
            </w:r>
            <w:r w:rsidR="00E238F7">
              <w:rPr>
                <w:noProof/>
                <w:webHidden/>
              </w:rPr>
              <w:fldChar w:fldCharType="end"/>
            </w:r>
          </w:hyperlink>
        </w:p>
        <w:p w14:paraId="18391905" w14:textId="4430C539" w:rsidR="00E238F7" w:rsidRDefault="00FB6ACE">
          <w:pPr>
            <w:pStyle w:val="TOC1"/>
            <w:rPr>
              <w:rFonts w:asciiTheme="minorHAnsi" w:eastAsiaTheme="minorEastAsia" w:hAnsiTheme="minorHAnsi" w:cstheme="minorBidi"/>
              <w:b w:val="0"/>
              <w:bCs w:val="0"/>
              <w:lang w:eastAsia="en-ZA"/>
            </w:rPr>
          </w:pPr>
          <w:hyperlink w:anchor="_Toc43704067" w:history="1">
            <w:r w:rsidR="00E238F7" w:rsidRPr="00E312F9">
              <w:rPr>
                <w:rStyle w:val="Hyperlink"/>
              </w:rPr>
              <w:t>Documentation</w:t>
            </w:r>
            <w:r w:rsidR="00E238F7">
              <w:rPr>
                <w:webHidden/>
              </w:rPr>
              <w:tab/>
            </w:r>
            <w:r w:rsidR="00E238F7">
              <w:rPr>
                <w:webHidden/>
              </w:rPr>
              <w:fldChar w:fldCharType="begin"/>
            </w:r>
            <w:r w:rsidR="00E238F7">
              <w:rPr>
                <w:webHidden/>
              </w:rPr>
              <w:instrText xml:space="preserve"> PAGEREF _Toc43704067 \h </w:instrText>
            </w:r>
            <w:r w:rsidR="00E238F7">
              <w:rPr>
                <w:webHidden/>
              </w:rPr>
            </w:r>
            <w:r w:rsidR="00E238F7">
              <w:rPr>
                <w:webHidden/>
              </w:rPr>
              <w:fldChar w:fldCharType="separate"/>
            </w:r>
            <w:r>
              <w:rPr>
                <w:webHidden/>
              </w:rPr>
              <w:t>40</w:t>
            </w:r>
            <w:r w:rsidR="00E238F7">
              <w:rPr>
                <w:webHidden/>
              </w:rPr>
              <w:fldChar w:fldCharType="end"/>
            </w:r>
          </w:hyperlink>
        </w:p>
        <w:p w14:paraId="61819C39" w14:textId="27B6D3CC" w:rsidR="00E238F7" w:rsidRDefault="00FB6ACE">
          <w:pPr>
            <w:pStyle w:val="TOC1"/>
            <w:rPr>
              <w:rFonts w:asciiTheme="minorHAnsi" w:eastAsiaTheme="minorEastAsia" w:hAnsiTheme="minorHAnsi" w:cstheme="minorBidi"/>
              <w:b w:val="0"/>
              <w:bCs w:val="0"/>
              <w:lang w:eastAsia="en-ZA"/>
            </w:rPr>
          </w:pPr>
          <w:hyperlink w:anchor="_Toc43704068" w:history="1">
            <w:r w:rsidR="00E238F7" w:rsidRPr="00E312F9">
              <w:rPr>
                <w:rStyle w:val="Hyperlink"/>
              </w:rPr>
              <w:t>APPENDIX A: Considerations</w:t>
            </w:r>
            <w:r w:rsidR="00E238F7">
              <w:rPr>
                <w:webHidden/>
              </w:rPr>
              <w:tab/>
            </w:r>
            <w:r w:rsidR="00E238F7">
              <w:rPr>
                <w:webHidden/>
              </w:rPr>
              <w:fldChar w:fldCharType="begin"/>
            </w:r>
            <w:r w:rsidR="00E238F7">
              <w:rPr>
                <w:webHidden/>
              </w:rPr>
              <w:instrText xml:space="preserve"> PAGEREF _Toc43704068 \h </w:instrText>
            </w:r>
            <w:r w:rsidR="00E238F7">
              <w:rPr>
                <w:webHidden/>
              </w:rPr>
            </w:r>
            <w:r w:rsidR="00E238F7">
              <w:rPr>
                <w:webHidden/>
              </w:rPr>
              <w:fldChar w:fldCharType="separate"/>
            </w:r>
            <w:r>
              <w:rPr>
                <w:webHidden/>
              </w:rPr>
              <w:t>43</w:t>
            </w:r>
            <w:r w:rsidR="00E238F7">
              <w:rPr>
                <w:webHidden/>
              </w:rPr>
              <w:fldChar w:fldCharType="end"/>
            </w:r>
          </w:hyperlink>
        </w:p>
        <w:p w14:paraId="44531484" w14:textId="7EEFBFAE" w:rsidR="00E238F7" w:rsidRDefault="00FB6ACE">
          <w:pPr>
            <w:pStyle w:val="TOC1"/>
            <w:rPr>
              <w:rFonts w:asciiTheme="minorHAnsi" w:eastAsiaTheme="minorEastAsia" w:hAnsiTheme="minorHAnsi" w:cstheme="minorBidi"/>
              <w:b w:val="0"/>
              <w:bCs w:val="0"/>
              <w:lang w:eastAsia="en-ZA"/>
            </w:rPr>
          </w:pPr>
          <w:hyperlink w:anchor="_Toc43704069" w:history="1">
            <w:r w:rsidR="00E238F7" w:rsidRPr="00E312F9">
              <w:rPr>
                <w:rStyle w:val="Hyperlink"/>
              </w:rPr>
              <w:t>APPENDIX B: Flowchart</w:t>
            </w:r>
            <w:r w:rsidR="00E238F7">
              <w:rPr>
                <w:webHidden/>
              </w:rPr>
              <w:tab/>
            </w:r>
            <w:r w:rsidR="00E238F7">
              <w:rPr>
                <w:webHidden/>
              </w:rPr>
              <w:fldChar w:fldCharType="begin"/>
            </w:r>
            <w:r w:rsidR="00E238F7">
              <w:rPr>
                <w:webHidden/>
              </w:rPr>
              <w:instrText xml:space="preserve"> PAGEREF _Toc43704069 \h </w:instrText>
            </w:r>
            <w:r w:rsidR="00E238F7">
              <w:rPr>
                <w:webHidden/>
              </w:rPr>
            </w:r>
            <w:r w:rsidR="00E238F7">
              <w:rPr>
                <w:webHidden/>
              </w:rPr>
              <w:fldChar w:fldCharType="separate"/>
            </w:r>
            <w:r>
              <w:rPr>
                <w:webHidden/>
              </w:rPr>
              <w:t>49</w:t>
            </w:r>
            <w:r w:rsidR="00E238F7">
              <w:rPr>
                <w:webHidden/>
              </w:rPr>
              <w:fldChar w:fldCharType="end"/>
            </w:r>
          </w:hyperlink>
        </w:p>
        <w:p w14:paraId="4246F5AD" w14:textId="727A1A25" w:rsidR="00E238F7" w:rsidRDefault="00FB6ACE">
          <w:pPr>
            <w:pStyle w:val="TOC1"/>
            <w:rPr>
              <w:rFonts w:asciiTheme="minorHAnsi" w:eastAsiaTheme="minorEastAsia" w:hAnsiTheme="minorHAnsi" w:cstheme="minorBidi"/>
              <w:b w:val="0"/>
              <w:bCs w:val="0"/>
              <w:lang w:eastAsia="en-ZA"/>
            </w:rPr>
          </w:pPr>
          <w:hyperlink w:anchor="_Toc43704070" w:history="1">
            <w:r w:rsidR="00E238F7" w:rsidRPr="00E312F9">
              <w:rPr>
                <w:rStyle w:val="Hyperlink"/>
              </w:rPr>
              <w:t>APPENDIX C: Practical Example</w:t>
            </w:r>
            <w:r w:rsidR="00E238F7">
              <w:rPr>
                <w:webHidden/>
              </w:rPr>
              <w:tab/>
            </w:r>
            <w:r w:rsidR="00E238F7">
              <w:rPr>
                <w:webHidden/>
              </w:rPr>
              <w:fldChar w:fldCharType="begin"/>
            </w:r>
            <w:r w:rsidR="00E238F7">
              <w:rPr>
                <w:webHidden/>
              </w:rPr>
              <w:instrText xml:space="preserve"> PAGEREF _Toc43704070 \h </w:instrText>
            </w:r>
            <w:r w:rsidR="00E238F7">
              <w:rPr>
                <w:webHidden/>
              </w:rPr>
            </w:r>
            <w:r w:rsidR="00E238F7">
              <w:rPr>
                <w:webHidden/>
              </w:rPr>
              <w:fldChar w:fldCharType="separate"/>
            </w:r>
            <w:r>
              <w:rPr>
                <w:webHidden/>
              </w:rPr>
              <w:t>51</w:t>
            </w:r>
            <w:r w:rsidR="00E238F7">
              <w:rPr>
                <w:webHidden/>
              </w:rPr>
              <w:fldChar w:fldCharType="end"/>
            </w:r>
          </w:hyperlink>
        </w:p>
        <w:p w14:paraId="6408758D" w14:textId="0BF847EE" w:rsidR="000804C2" w:rsidRPr="00384ADF" w:rsidRDefault="00651231" w:rsidP="00955F36">
          <w:pPr>
            <w:pStyle w:val="TOC1"/>
            <w:sectPr w:rsidR="000804C2" w:rsidRPr="00384ADF" w:rsidSect="00726778">
              <w:headerReference w:type="default" r:id="rId15"/>
              <w:pgSz w:w="11907" w:h="16840" w:code="9"/>
              <w:pgMar w:top="1440" w:right="1797" w:bottom="1440" w:left="1797" w:header="720" w:footer="720" w:gutter="0"/>
              <w:cols w:space="720"/>
              <w:noEndnote/>
            </w:sectPr>
          </w:pPr>
          <w:r w:rsidRPr="00384ADF">
            <w:fldChar w:fldCharType="end"/>
          </w:r>
        </w:p>
      </w:sdtContent>
    </w:sdt>
    <w:p w14:paraId="33928641" w14:textId="4D1949B0" w:rsidR="004E2DC7" w:rsidRPr="00384ADF" w:rsidRDefault="00385C28" w:rsidP="007E0241">
      <w:pPr>
        <w:pBdr>
          <w:top w:val="single" w:sz="4" w:space="1" w:color="auto"/>
          <w:left w:val="single" w:sz="4" w:space="4" w:color="auto"/>
          <w:bottom w:val="single" w:sz="4" w:space="1" w:color="auto"/>
          <w:right w:val="single" w:sz="4" w:space="4" w:color="auto"/>
        </w:pBdr>
        <w:spacing w:line="276" w:lineRule="auto"/>
        <w:ind w:left="142"/>
        <w:rPr>
          <w:rFonts w:cs="Arial"/>
        </w:rPr>
      </w:pPr>
      <w:r w:rsidRPr="00384ADF">
        <w:t>T</w:t>
      </w:r>
      <w:r w:rsidR="00C05A9F" w:rsidRPr="00384ADF">
        <w:t>o establish whether the preconditions for an assurance engagement are present,</w:t>
      </w:r>
      <w:r w:rsidR="00C05A9F" w:rsidRPr="00384ADF">
        <w:rPr>
          <w:rFonts w:cs="Arial"/>
        </w:rPr>
        <w:t xml:space="preserve"> this </w:t>
      </w:r>
      <w:r w:rsidR="006A6C2F" w:rsidRPr="00384ADF">
        <w:rPr>
          <w:rFonts w:cs="Arial"/>
          <w:color w:val="000000"/>
        </w:rPr>
        <w:t xml:space="preserve">South African </w:t>
      </w:r>
      <w:r w:rsidR="00B87300" w:rsidRPr="00384ADF">
        <w:rPr>
          <w:rFonts w:cs="Arial"/>
          <w:color w:val="000000"/>
        </w:rPr>
        <w:t xml:space="preserve">Assurance Engagements </w:t>
      </w:r>
      <w:r w:rsidR="006A6C2F" w:rsidRPr="00384ADF">
        <w:rPr>
          <w:rFonts w:cs="Arial"/>
          <w:color w:val="000000"/>
        </w:rPr>
        <w:t>Practice Statement (</w:t>
      </w:r>
      <w:r w:rsidR="006A6C2F" w:rsidRPr="00384ADF">
        <w:rPr>
          <w:rFonts w:cs="Arial"/>
        </w:rPr>
        <w:t>SAA</w:t>
      </w:r>
      <w:r w:rsidR="00B87300" w:rsidRPr="00384ADF">
        <w:rPr>
          <w:rFonts w:cs="Arial"/>
        </w:rPr>
        <w:t>E</w:t>
      </w:r>
      <w:r w:rsidR="006A6C2F" w:rsidRPr="00384ADF">
        <w:rPr>
          <w:rFonts w:cs="Arial"/>
        </w:rPr>
        <w:t xml:space="preserve">PS) </w:t>
      </w:r>
      <w:r w:rsidR="00B87300" w:rsidRPr="00384ADF">
        <w:rPr>
          <w:rFonts w:cs="Arial"/>
        </w:rPr>
        <w:t>1</w:t>
      </w:r>
      <w:r w:rsidR="00AC7826" w:rsidRPr="00384ADF">
        <w:rPr>
          <w:rFonts w:cs="Arial"/>
        </w:rPr>
        <w:t>,</w:t>
      </w:r>
      <w:r w:rsidR="00B87300" w:rsidRPr="00384ADF">
        <w:rPr>
          <w:rFonts w:cs="Arial"/>
        </w:rPr>
        <w:t xml:space="preserve"> </w:t>
      </w:r>
      <w:r w:rsidR="000F6254" w:rsidRPr="00384ADF">
        <w:rPr>
          <w:rFonts w:cs="Arial"/>
          <w:i/>
        </w:rPr>
        <w:t xml:space="preserve">Sustainability </w:t>
      </w:r>
      <w:r w:rsidR="00C50F32" w:rsidRPr="00384ADF">
        <w:rPr>
          <w:rFonts w:cs="Arial"/>
          <w:i/>
        </w:rPr>
        <w:t>Assurance</w:t>
      </w:r>
      <w:r w:rsidR="00183D53" w:rsidRPr="00384ADF">
        <w:rPr>
          <w:rFonts w:cs="Arial"/>
          <w:i/>
        </w:rPr>
        <w:t xml:space="preserve"> Engagement</w:t>
      </w:r>
      <w:r w:rsidR="003C718E" w:rsidRPr="00384ADF">
        <w:rPr>
          <w:rFonts w:cs="Arial"/>
          <w:i/>
        </w:rPr>
        <w:t>s</w:t>
      </w:r>
      <w:r w:rsidR="00C50F32" w:rsidRPr="00384ADF">
        <w:rPr>
          <w:rFonts w:cs="Arial"/>
          <w:i/>
        </w:rPr>
        <w:t>: Rational Purpose, Appropriateness of Underlying Subject Matter and Suitability of Criteria</w:t>
      </w:r>
      <w:r w:rsidR="00AC7826" w:rsidRPr="00384ADF">
        <w:rPr>
          <w:rFonts w:cs="Arial"/>
        </w:rPr>
        <w:t>,</w:t>
      </w:r>
      <w:r w:rsidR="006A6C2F" w:rsidRPr="00384ADF">
        <w:rPr>
          <w:rFonts w:cs="Arial"/>
        </w:rPr>
        <w:t xml:space="preserve"> </w:t>
      </w:r>
      <w:r w:rsidRPr="00384ADF">
        <w:rPr>
          <w:rFonts w:cs="Arial"/>
        </w:rPr>
        <w:t xml:space="preserve">provides </w:t>
      </w:r>
      <w:r w:rsidR="00096CC5" w:rsidRPr="00384ADF">
        <w:t>practical assistance to practitioners on certain preconditions and related guidance</w:t>
      </w:r>
      <w:r w:rsidR="00096CC5" w:rsidRPr="00384ADF" w:rsidDel="00C05A9F">
        <w:t xml:space="preserve"> </w:t>
      </w:r>
      <w:r w:rsidR="00096CC5" w:rsidRPr="00384ADF">
        <w:rPr>
          <w:rFonts w:cs="Arial"/>
        </w:rPr>
        <w:t>on determining whether the sustainability assurance engagement exhibits a rational purpose</w:t>
      </w:r>
      <w:r w:rsidR="00096CC5" w:rsidRPr="00384ADF">
        <w:t xml:space="preserve">, </w:t>
      </w:r>
      <w:r w:rsidR="0017793C" w:rsidRPr="00384ADF">
        <w:t xml:space="preserve">that </w:t>
      </w:r>
      <w:r w:rsidR="00096CC5" w:rsidRPr="00384ADF">
        <w:rPr>
          <w:rFonts w:cs="Arial"/>
        </w:rPr>
        <w:t>the underlying subject matter is appropriate and the criteria that the practitioner expects to be applied in the preparation of the subject matter information are suitable for the engagement circumstances</w:t>
      </w:r>
      <w:r w:rsidR="00096CC5" w:rsidRPr="00384ADF" w:rsidDel="006F13B1">
        <w:t xml:space="preserve"> </w:t>
      </w:r>
      <w:r w:rsidR="00096CC5" w:rsidRPr="00384ADF">
        <w:t xml:space="preserve">as well as the </w:t>
      </w:r>
      <w:r w:rsidR="00096CC5" w:rsidRPr="00384ADF">
        <w:rPr>
          <w:rFonts w:cs="Arial"/>
        </w:rPr>
        <w:t>preparation of appropriate engagement documentation on that determination</w:t>
      </w:r>
      <w:r w:rsidR="00096CC5" w:rsidRPr="00384ADF">
        <w:t xml:space="preserve"> when requested to accept a sustainability assurance engagement in accordance with the requirements of </w:t>
      </w:r>
      <w:r w:rsidR="00096CC5" w:rsidRPr="00384ADF">
        <w:rPr>
          <w:rFonts w:eastAsia="Times New Roman" w:cs="Arial"/>
          <w:color w:val="000000"/>
          <w:lang w:eastAsia="en-ZA"/>
        </w:rPr>
        <w:t xml:space="preserve">the International Standards on Assurance Engagements (ISAE) 3000 (Revised), </w:t>
      </w:r>
      <w:r w:rsidR="00096CC5" w:rsidRPr="00384ADF">
        <w:rPr>
          <w:rFonts w:eastAsia="Times New Roman" w:cs="Arial"/>
          <w:i/>
          <w:color w:val="000000"/>
          <w:lang w:eastAsia="en-ZA"/>
        </w:rPr>
        <w:t>Assurance Engagements Other than Audits or Reviews of Historical Financial Information</w:t>
      </w:r>
      <w:r w:rsidR="001532FF" w:rsidRPr="00384ADF">
        <w:rPr>
          <w:rFonts w:eastAsia="Times New Roman" w:cs="Arial"/>
          <w:color w:val="000000"/>
          <w:lang w:eastAsia="en-ZA"/>
        </w:rPr>
        <w:t>.</w:t>
      </w:r>
      <w:r w:rsidR="006A6C2F" w:rsidRPr="00384ADF">
        <w:rPr>
          <w:rFonts w:cs="Arial"/>
        </w:rPr>
        <w:t xml:space="preserve"> </w:t>
      </w:r>
    </w:p>
    <w:p w14:paraId="2AA7F42E" w14:textId="6739C85C" w:rsidR="0022652F" w:rsidRPr="00384ADF" w:rsidRDefault="0022652F" w:rsidP="007E0241">
      <w:pPr>
        <w:pBdr>
          <w:top w:val="single" w:sz="4" w:space="1" w:color="auto"/>
          <w:left w:val="single" w:sz="4" w:space="4" w:color="auto"/>
          <w:bottom w:val="single" w:sz="4" w:space="1" w:color="auto"/>
          <w:right w:val="single" w:sz="4" w:space="4" w:color="auto"/>
        </w:pBdr>
        <w:spacing w:line="276" w:lineRule="auto"/>
        <w:ind w:left="142"/>
        <w:rPr>
          <w:rFonts w:eastAsia="Times New Roman" w:cs="Arial"/>
          <w:color w:val="000000"/>
          <w:lang w:eastAsia="en-ZA"/>
        </w:rPr>
      </w:pPr>
      <w:r w:rsidRPr="00384ADF">
        <w:rPr>
          <w:rFonts w:eastAsia="Times New Roman" w:cs="Arial"/>
          <w:color w:val="000000"/>
          <w:lang w:eastAsia="en-ZA"/>
        </w:rPr>
        <w:t xml:space="preserve">South African Practice Statements are developed and issued by the IRBA to provide practical assistance to auditors in the implementation of relevant International or South African </w:t>
      </w:r>
      <w:r w:rsidRPr="00384ADF">
        <w:rPr>
          <w:rFonts w:eastAsia="Times New Roman" w:cs="Arial"/>
          <w:i/>
          <w:iCs/>
          <w:color w:val="000000"/>
          <w:lang w:eastAsia="en-ZA"/>
        </w:rPr>
        <w:t xml:space="preserve">Standards on Quality </w:t>
      </w:r>
      <w:r w:rsidR="00586C56">
        <w:rPr>
          <w:rFonts w:eastAsia="Times New Roman" w:cs="Arial"/>
          <w:i/>
          <w:iCs/>
          <w:color w:val="000000"/>
          <w:lang w:eastAsia="en-ZA"/>
        </w:rPr>
        <w:t>Management</w:t>
      </w:r>
      <w:r w:rsidRPr="00384ADF">
        <w:rPr>
          <w:rFonts w:eastAsia="Times New Roman" w:cs="Arial"/>
          <w:i/>
          <w:iCs/>
          <w:color w:val="000000"/>
          <w:lang w:eastAsia="en-ZA"/>
        </w:rPr>
        <w:t>, Auditing, Review, Other Assurance and Related Services Pronouncements</w:t>
      </w:r>
      <w:r w:rsidRPr="00384ADF">
        <w:rPr>
          <w:rFonts w:eastAsia="Times New Roman" w:cs="Arial"/>
          <w:color w:val="000000"/>
          <w:lang w:eastAsia="en-ZA"/>
        </w:rPr>
        <w:t>. South African Practice Statements do not impose requirements on auditors beyond those included in the International or South African Standards or South African regulatory requirements and do not change the auditor’s responsibility to comply, in all material respects, with the requirements of the International or South African Standards or with South African regulatory requirements relevant to the audit, review, other assurance or related services engagement.</w:t>
      </w:r>
    </w:p>
    <w:p w14:paraId="30676129" w14:textId="6E5DD3C0" w:rsidR="0022652F" w:rsidRPr="00384ADF" w:rsidRDefault="0022652F" w:rsidP="007E0241">
      <w:pPr>
        <w:pBdr>
          <w:top w:val="single" w:sz="4" w:space="1" w:color="auto"/>
          <w:left w:val="single" w:sz="4" w:space="4" w:color="auto"/>
          <w:bottom w:val="single" w:sz="4" w:space="1" w:color="auto"/>
          <w:right w:val="single" w:sz="4" w:space="4" w:color="auto"/>
        </w:pBdr>
        <w:spacing w:line="276" w:lineRule="auto"/>
        <w:ind w:left="142"/>
        <w:rPr>
          <w:rFonts w:eastAsia="Times New Roman" w:cs="Arial"/>
          <w:color w:val="000000"/>
          <w:lang w:eastAsia="en-ZA"/>
        </w:rPr>
      </w:pPr>
      <w:r w:rsidRPr="00384ADF">
        <w:rPr>
          <w:rFonts w:eastAsia="Times New Roman" w:cs="Arial"/>
          <w:color w:val="000000"/>
          <w:lang w:eastAsia="en-ZA"/>
        </w:rPr>
        <w:t>An auditor is required to have an understanding of the entire text of every South African Practice Statement to enable the auditor to assess whether or not any particular South African Practice Statement is relevant to an engagement, and if so, to enable the auditor to apply the requirements of the particular International or South African Standard/s to which the South African Practice Statement relates, properly.</w:t>
      </w:r>
    </w:p>
    <w:p w14:paraId="0AB0C37E" w14:textId="2BFC3B6B" w:rsidR="00A37AEA" w:rsidRPr="00384ADF" w:rsidRDefault="0022652F" w:rsidP="007E0241">
      <w:pPr>
        <w:pBdr>
          <w:top w:val="single" w:sz="4" w:space="1" w:color="auto"/>
          <w:left w:val="single" w:sz="4" w:space="4" w:color="auto"/>
          <w:bottom w:val="single" w:sz="4" w:space="1" w:color="auto"/>
          <w:right w:val="single" w:sz="4" w:space="4" w:color="auto"/>
        </w:pBdr>
        <w:spacing w:line="276" w:lineRule="auto"/>
        <w:ind w:left="142"/>
        <w:rPr>
          <w:rFonts w:cs="Arial"/>
          <w:color w:val="000000"/>
        </w:rPr>
      </w:pPr>
      <w:r w:rsidRPr="00384ADF">
        <w:rPr>
          <w:rFonts w:eastAsia="Times New Roman" w:cs="Arial"/>
          <w:color w:val="000000"/>
          <w:lang w:eastAsia="en-ZA"/>
        </w:rPr>
        <w:t xml:space="preserve">In terms of </w:t>
      </w:r>
      <w:r w:rsidR="00AC7826" w:rsidRPr="00384ADF">
        <w:rPr>
          <w:rFonts w:eastAsia="Times New Roman" w:cs="Arial"/>
          <w:color w:val="000000"/>
          <w:lang w:eastAsia="en-ZA"/>
        </w:rPr>
        <w:t xml:space="preserve">Section </w:t>
      </w:r>
      <w:r w:rsidRPr="00384ADF">
        <w:rPr>
          <w:rFonts w:eastAsia="Times New Roman" w:cs="Arial"/>
          <w:color w:val="000000"/>
          <w:lang w:eastAsia="en-ZA"/>
        </w:rPr>
        <w:t>1 of the Auditing Profession Act, No</w:t>
      </w:r>
      <w:r w:rsidR="00AC7826" w:rsidRPr="00384ADF">
        <w:rPr>
          <w:rFonts w:eastAsia="Times New Roman" w:cs="Arial"/>
          <w:color w:val="000000"/>
          <w:lang w:eastAsia="en-ZA"/>
        </w:rPr>
        <w:t>.</w:t>
      </w:r>
      <w:r w:rsidRPr="00384ADF">
        <w:rPr>
          <w:rFonts w:eastAsia="Times New Roman" w:cs="Arial"/>
          <w:color w:val="000000"/>
          <w:lang w:eastAsia="en-ZA"/>
        </w:rPr>
        <w:t xml:space="preserve"> 26 of 2005 (the Act), a South African Practice Statement is included in the definition of “auditing pronouncements” and in terms of the Act, the auditor must, in the performance of an audit, comply with those standards, practice statements, guidelines and circulars developed, adopted, issued or prescribed by the Regulatory Board.</w:t>
      </w:r>
    </w:p>
    <w:p w14:paraId="3A4871F2" w14:textId="77777777" w:rsidR="001C5D5B" w:rsidRPr="00384ADF" w:rsidRDefault="001C5D5B" w:rsidP="007E0241">
      <w:pPr>
        <w:rPr>
          <w:rFonts w:cs="Arial"/>
        </w:rPr>
      </w:pPr>
    </w:p>
    <w:p w14:paraId="08481B19" w14:textId="77777777" w:rsidR="008E1706" w:rsidRPr="00384ADF" w:rsidRDefault="008E1706">
      <w:pPr>
        <w:pStyle w:val="Heading1"/>
        <w:rPr>
          <w:rFonts w:hint="eastAsia"/>
        </w:rPr>
        <w:sectPr w:rsidR="008E1706" w:rsidRPr="00384ADF" w:rsidSect="00726778">
          <w:pgSz w:w="11907" w:h="16840" w:code="9"/>
          <w:pgMar w:top="1440" w:right="1701" w:bottom="1440" w:left="1701" w:header="720" w:footer="720" w:gutter="0"/>
          <w:cols w:space="720"/>
          <w:noEndnote/>
          <w:docGrid w:linePitch="326"/>
        </w:sectPr>
      </w:pPr>
    </w:p>
    <w:p w14:paraId="7E1F437D" w14:textId="4E4BD620" w:rsidR="00DB3C5D" w:rsidRPr="00384ADF" w:rsidRDefault="00DB3C5D">
      <w:pPr>
        <w:pStyle w:val="Heading1"/>
        <w:rPr>
          <w:rFonts w:hint="eastAsia"/>
        </w:rPr>
      </w:pPr>
      <w:bookmarkStart w:id="0" w:name="_Introduction"/>
      <w:bookmarkStart w:id="1" w:name="_Toc43704042"/>
      <w:bookmarkStart w:id="2" w:name="_Toc277586735"/>
      <w:bookmarkStart w:id="3" w:name="_Toc299654344"/>
      <w:bookmarkStart w:id="4" w:name="_Toc150931889"/>
      <w:bookmarkStart w:id="5" w:name="_Toc160598971"/>
      <w:bookmarkStart w:id="6" w:name="_Toc160599496"/>
      <w:bookmarkStart w:id="7" w:name="_Toc161706676"/>
      <w:bookmarkEnd w:id="0"/>
      <w:r w:rsidRPr="00384ADF">
        <w:t>Introduction</w:t>
      </w:r>
      <w:bookmarkEnd w:id="1"/>
    </w:p>
    <w:p w14:paraId="7B6BBFCC" w14:textId="48A06321" w:rsidR="006E71BD" w:rsidRPr="00384ADF" w:rsidRDefault="006E71BD" w:rsidP="00445B02">
      <w:pPr>
        <w:pStyle w:val="NumList"/>
        <w:spacing w:line="312" w:lineRule="auto"/>
      </w:pPr>
      <w:r w:rsidRPr="00384ADF">
        <w:t xml:space="preserve">This </w:t>
      </w:r>
      <w:r w:rsidR="00BC49B3" w:rsidRPr="00384ADF">
        <w:t xml:space="preserve">South African Assurance Engagements Practice Statement (SAAEPS) 1, </w:t>
      </w:r>
      <w:r w:rsidR="00BC49B3" w:rsidRPr="00384ADF">
        <w:rPr>
          <w:i/>
        </w:rPr>
        <w:t>Sustainability Assurance Engagements: Rational Purpose, Appropriateness of Underlying Subject Matter and Suitability of Criteria</w:t>
      </w:r>
      <w:r w:rsidR="00385C28" w:rsidRPr="00384ADF">
        <w:t>,</w:t>
      </w:r>
      <w:r w:rsidRPr="00384ADF">
        <w:t xml:space="preserve"> </w:t>
      </w:r>
      <w:r w:rsidR="00A117BD" w:rsidRPr="00384ADF">
        <w:t xml:space="preserve">provides practical assistance </w:t>
      </w:r>
      <w:r w:rsidRPr="00384ADF">
        <w:t xml:space="preserve">on the International Standard on Assurance Engagements (ISAE) 3000 (Revised), </w:t>
      </w:r>
      <w:r w:rsidRPr="00384ADF">
        <w:rPr>
          <w:i/>
        </w:rPr>
        <w:t xml:space="preserve">Assurance Engagements Other than Audits or Reviews of Historical Financial </w:t>
      </w:r>
      <w:r w:rsidR="00DE48F9" w:rsidRPr="00384ADF">
        <w:rPr>
          <w:i/>
        </w:rPr>
        <w:t>Information</w:t>
      </w:r>
      <w:r w:rsidRPr="00384ADF">
        <w:t>,</w:t>
      </w:r>
      <w:r w:rsidRPr="00384ADF">
        <w:rPr>
          <w:i/>
        </w:rPr>
        <w:t xml:space="preserve"> </w:t>
      </w:r>
      <w:r w:rsidRPr="00384ADF">
        <w:t>developed by the International Auditing and Assurance Standards Board (IAASB).</w:t>
      </w:r>
    </w:p>
    <w:p w14:paraId="38FA8D69" w14:textId="77777777" w:rsidR="00BC49B3" w:rsidRPr="00384ADF" w:rsidRDefault="00BC49B3" w:rsidP="00BC49B3">
      <w:pPr>
        <w:pStyle w:val="NumList"/>
        <w:spacing w:line="312" w:lineRule="auto"/>
        <w:ind w:left="561" w:hanging="561"/>
        <w:rPr>
          <w:rFonts w:cs="Arial"/>
        </w:rPr>
      </w:pPr>
      <w:r w:rsidRPr="00384ADF">
        <w:t xml:space="preserve">As part of the </w:t>
      </w:r>
      <w:r w:rsidRPr="00384ADF">
        <w:rPr>
          <w:i/>
        </w:rPr>
        <w:t>Acceptance and Continuance – Preconditions for the Assurance Engagement</w:t>
      </w:r>
      <w:r w:rsidRPr="00384ADF">
        <w:rPr>
          <w:rStyle w:val="FootnoteReference"/>
          <w:vertAlign w:val="superscript"/>
        </w:rPr>
        <w:footnoteReference w:id="1"/>
      </w:r>
      <w:r w:rsidRPr="00384ADF">
        <w:t xml:space="preserve"> phase of an assurance engagement, </w:t>
      </w:r>
      <w:r w:rsidRPr="00384ADF">
        <w:rPr>
          <w:rFonts w:cs="Arial"/>
        </w:rPr>
        <w:t>ISAE 3000 (Revised) requires the practitioner to establish whether the preconditions for an assurance engagement are present, on the basis of a preliminary knowledge of the engagement circumstances and discussion with appropriate parties</w:t>
      </w:r>
      <w:r w:rsidRPr="00384ADF">
        <w:rPr>
          <w:rStyle w:val="FootnoteReference"/>
          <w:rFonts w:cs="Arial"/>
          <w:vertAlign w:val="superscript"/>
        </w:rPr>
        <w:footnoteReference w:id="2"/>
      </w:r>
      <w:r w:rsidRPr="00384ADF">
        <w:rPr>
          <w:rFonts w:cs="Arial"/>
        </w:rPr>
        <w:t xml:space="preserve">. </w:t>
      </w:r>
    </w:p>
    <w:p w14:paraId="3FAD3CCB" w14:textId="5F62EC4C" w:rsidR="00D11696" w:rsidRPr="00384ADF" w:rsidRDefault="00FD0915" w:rsidP="00D11696">
      <w:pPr>
        <w:pStyle w:val="NumList"/>
        <w:spacing w:line="312" w:lineRule="auto"/>
        <w:ind w:left="561" w:hanging="561"/>
      </w:pPr>
      <w:r w:rsidRPr="00384ADF">
        <w:t>T</w:t>
      </w:r>
      <w:r w:rsidR="00D11696" w:rsidRPr="00384ADF">
        <w:rPr>
          <w:rFonts w:cs="Arial"/>
        </w:rPr>
        <w:t>his SAAEPS</w:t>
      </w:r>
      <w:r w:rsidRPr="00384ADF">
        <w:rPr>
          <w:rFonts w:cs="Arial"/>
        </w:rPr>
        <w:t xml:space="preserve"> specifically</w:t>
      </w:r>
      <w:r w:rsidR="00D11696" w:rsidRPr="00384ADF">
        <w:rPr>
          <w:rFonts w:cs="Arial"/>
        </w:rPr>
        <w:t xml:space="preserve"> </w:t>
      </w:r>
      <w:r w:rsidR="00D11696" w:rsidRPr="00384ADF">
        <w:t>provides practical assistance to practitioners on certain preconditions and related guidance</w:t>
      </w:r>
      <w:r w:rsidR="00D11696" w:rsidRPr="00384ADF" w:rsidDel="00C05A9F">
        <w:t xml:space="preserve"> </w:t>
      </w:r>
      <w:r w:rsidR="006F13B1" w:rsidRPr="00384ADF">
        <w:rPr>
          <w:rFonts w:cs="Arial"/>
        </w:rPr>
        <w:t>on determining whether the sustainability assurance engagement exhibits a rational purpose</w:t>
      </w:r>
      <w:r w:rsidR="00D11696" w:rsidRPr="00384ADF">
        <w:t>,</w:t>
      </w:r>
      <w:r w:rsidR="0017793C" w:rsidRPr="00384ADF">
        <w:t xml:space="preserve"> that</w:t>
      </w:r>
      <w:r w:rsidR="00D11696" w:rsidRPr="00384ADF">
        <w:t xml:space="preserve"> </w:t>
      </w:r>
      <w:r w:rsidRPr="00384ADF">
        <w:rPr>
          <w:rFonts w:cs="Arial"/>
        </w:rPr>
        <w:t>the underlying subject matter is appropriate and the criteria that the practitioner expects to be applied in the preparation of the subject matter information are suitable for the engagement circumstances</w:t>
      </w:r>
      <w:r w:rsidR="006F13B1" w:rsidRPr="00384ADF" w:rsidDel="006F13B1">
        <w:t xml:space="preserve"> </w:t>
      </w:r>
      <w:r w:rsidR="00D11696" w:rsidRPr="00384ADF">
        <w:t xml:space="preserve">as well as the </w:t>
      </w:r>
      <w:r w:rsidR="00D11696" w:rsidRPr="00384ADF">
        <w:rPr>
          <w:rFonts w:cs="Arial"/>
        </w:rPr>
        <w:t xml:space="preserve">preparation of appropriate engagement documentation on that </w:t>
      </w:r>
      <w:r w:rsidRPr="00384ADF">
        <w:rPr>
          <w:rFonts w:cs="Arial"/>
        </w:rPr>
        <w:t>determination</w:t>
      </w:r>
      <w:r w:rsidR="00D11696" w:rsidRPr="00384ADF">
        <w:t xml:space="preserve"> when requested to accept a sustainability assurance engagement in accordance with the requirements of ISAE 3000 (Revised). </w:t>
      </w:r>
    </w:p>
    <w:p w14:paraId="0D15BD14" w14:textId="397F11E4" w:rsidR="00733A50" w:rsidRPr="00384ADF" w:rsidRDefault="00733A50" w:rsidP="00445B02">
      <w:pPr>
        <w:pStyle w:val="NumList"/>
        <w:spacing w:line="312" w:lineRule="auto"/>
      </w:pPr>
      <w:r w:rsidRPr="00384ADF">
        <w:rPr>
          <w:rFonts w:cs="Arial"/>
        </w:rPr>
        <w:t>This SAAEPS does not establish new requirements or contain exemptions from the requirements of ISAE 3000 (Revised</w:t>
      </w:r>
      <w:proofErr w:type="gramStart"/>
      <w:r w:rsidRPr="00384ADF">
        <w:rPr>
          <w:rFonts w:cs="Arial"/>
        </w:rPr>
        <w:t>), and</w:t>
      </w:r>
      <w:proofErr w:type="gramEnd"/>
      <w:r w:rsidRPr="00384ADF">
        <w:rPr>
          <w:rFonts w:cs="Arial"/>
        </w:rPr>
        <w:t xml:space="preserve"> should be read with ISAE 3000 (Revised).</w:t>
      </w:r>
      <w:r w:rsidR="00A02268" w:rsidRPr="00384ADF">
        <w:rPr>
          <w:rFonts w:cs="Arial"/>
        </w:rPr>
        <w:t xml:space="preserve"> </w:t>
      </w:r>
    </w:p>
    <w:p w14:paraId="6FA9DC95" w14:textId="734111A5" w:rsidR="006E71BD" w:rsidRPr="00384ADF" w:rsidRDefault="006E71BD" w:rsidP="00445B02">
      <w:pPr>
        <w:pStyle w:val="NumList"/>
        <w:spacing w:line="312" w:lineRule="auto"/>
      </w:pPr>
      <w:r w:rsidRPr="00384ADF">
        <w:t xml:space="preserve">Although this SAAEPS </w:t>
      </w:r>
      <w:r w:rsidR="001478DB" w:rsidRPr="00384ADF">
        <w:t>is focused on</w:t>
      </w:r>
      <w:r w:rsidRPr="00384ADF">
        <w:t xml:space="preserve"> a</w:t>
      </w:r>
      <w:r w:rsidR="00A86FF6" w:rsidRPr="00384ADF">
        <w:t>n assurance engagement on sustainability information reported in an entity’s sustainability report</w:t>
      </w:r>
      <w:r w:rsidRPr="00384ADF">
        <w:t xml:space="preserve">, </w:t>
      </w:r>
      <w:r w:rsidRPr="00384ADF">
        <w:rPr>
          <w:rFonts w:cs="Arial"/>
        </w:rPr>
        <w:t xml:space="preserve">a practitioner may find this SAAEPS, if adapted as necessary, useful when conducting </w:t>
      </w:r>
      <w:r w:rsidR="001478DB" w:rsidRPr="00384ADF">
        <w:rPr>
          <w:rFonts w:cs="Arial"/>
        </w:rPr>
        <w:t xml:space="preserve">some </w:t>
      </w:r>
      <w:r w:rsidRPr="00384ADF">
        <w:rPr>
          <w:rFonts w:cs="Arial"/>
        </w:rPr>
        <w:t>other assurance engagement other than audits or reviews of historical financial information.</w:t>
      </w:r>
    </w:p>
    <w:p w14:paraId="38E04512" w14:textId="0EC68E65" w:rsidR="00D11696" w:rsidRPr="00384ADF" w:rsidRDefault="00D11696" w:rsidP="00384ADF">
      <w:pPr>
        <w:pStyle w:val="Heading2"/>
        <w:widowControl/>
      </w:pPr>
      <w:bookmarkStart w:id="8" w:name="_Toc43704043"/>
      <w:r w:rsidRPr="00384ADF">
        <w:t>Scope</w:t>
      </w:r>
      <w:bookmarkEnd w:id="8"/>
    </w:p>
    <w:p w14:paraId="0A5368EA" w14:textId="1B3E5EF5" w:rsidR="00B74E46" w:rsidRPr="00384ADF" w:rsidRDefault="006B0646" w:rsidP="00384ADF">
      <w:pPr>
        <w:pStyle w:val="NumList"/>
        <w:keepNext/>
        <w:widowControl/>
        <w:spacing w:line="312" w:lineRule="auto"/>
        <w:rPr>
          <w:rFonts w:cs="Arial"/>
        </w:rPr>
      </w:pPr>
      <w:r w:rsidRPr="00384ADF">
        <w:rPr>
          <w:rFonts w:cs="Arial"/>
        </w:rPr>
        <w:t xml:space="preserve">This SAAEPS only deals with the following characteristics that are considered during </w:t>
      </w:r>
      <w:r w:rsidR="00D11696" w:rsidRPr="00384ADF">
        <w:rPr>
          <w:rFonts w:cs="Arial"/>
        </w:rPr>
        <w:t xml:space="preserve">the </w:t>
      </w:r>
      <w:r w:rsidR="00D11696" w:rsidRPr="00384ADF">
        <w:rPr>
          <w:i/>
        </w:rPr>
        <w:t>Acceptance and Continuance – Preconditions for the Assurance Engagement</w:t>
      </w:r>
      <w:r w:rsidR="00D11696" w:rsidRPr="00384ADF">
        <w:rPr>
          <w:rFonts w:cs="Arial"/>
        </w:rPr>
        <w:t xml:space="preserve"> </w:t>
      </w:r>
      <w:r w:rsidRPr="00384ADF">
        <w:rPr>
          <w:rFonts w:cs="Arial"/>
        </w:rPr>
        <w:t xml:space="preserve">phase in determining whether the preconditions for </w:t>
      </w:r>
      <w:r w:rsidR="001D4629" w:rsidRPr="00384ADF">
        <w:rPr>
          <w:rFonts w:cs="Arial"/>
        </w:rPr>
        <w:t xml:space="preserve">a sustainability </w:t>
      </w:r>
      <w:r w:rsidRPr="00384ADF">
        <w:rPr>
          <w:rFonts w:cs="Arial"/>
        </w:rPr>
        <w:t>assurance engagement set out in ISAE 3000 (Revised) are present</w:t>
      </w:r>
      <w:r w:rsidR="00B74E46" w:rsidRPr="00384ADF">
        <w:rPr>
          <w:rFonts w:cs="Arial"/>
        </w:rPr>
        <w:t>:</w:t>
      </w:r>
    </w:p>
    <w:p w14:paraId="3CEC9134" w14:textId="3E0EA34B" w:rsidR="00B74E46" w:rsidRPr="00384ADF" w:rsidRDefault="00B74E46" w:rsidP="0062385A">
      <w:pPr>
        <w:pStyle w:val="NumList"/>
        <w:numPr>
          <w:ilvl w:val="1"/>
          <w:numId w:val="2"/>
        </w:numPr>
        <w:spacing w:line="312" w:lineRule="auto"/>
        <w:ind w:hanging="425"/>
        <w:rPr>
          <w:rFonts w:cs="Arial"/>
        </w:rPr>
      </w:pPr>
      <w:r w:rsidRPr="00384ADF">
        <w:rPr>
          <w:rFonts w:cs="Arial"/>
        </w:rPr>
        <w:t>A rational purpose</w:t>
      </w:r>
      <w:r w:rsidR="004738F1" w:rsidRPr="00384ADF">
        <w:rPr>
          <w:vertAlign w:val="superscript"/>
        </w:rPr>
        <w:footnoteReference w:id="3"/>
      </w:r>
      <w:r w:rsidRPr="00384ADF">
        <w:rPr>
          <w:rFonts w:cs="Arial"/>
        </w:rPr>
        <w:t>:</w:t>
      </w:r>
    </w:p>
    <w:p w14:paraId="3D448B54" w14:textId="614417E6" w:rsidR="00B74E46" w:rsidRPr="00384ADF" w:rsidRDefault="003A2396" w:rsidP="0062385A">
      <w:pPr>
        <w:pStyle w:val="NumList"/>
        <w:numPr>
          <w:ilvl w:val="0"/>
          <w:numId w:val="7"/>
        </w:numPr>
        <w:spacing w:line="312" w:lineRule="auto"/>
        <w:ind w:left="1858"/>
        <w:rPr>
          <w:rFonts w:cs="Arial"/>
        </w:rPr>
      </w:pPr>
      <w:r w:rsidRPr="00384ADF">
        <w:rPr>
          <w:rFonts w:cs="Arial"/>
        </w:rPr>
        <w:t xml:space="preserve">Consideration 2: </w:t>
      </w:r>
      <w:r w:rsidR="00B74E46" w:rsidRPr="00384ADF">
        <w:rPr>
          <w:rFonts w:cs="Arial"/>
        </w:rPr>
        <w:t>Whether aspects of the subject matter information are expected to be excluded from the assurance engagement, and the reason for their exclusion.</w:t>
      </w:r>
    </w:p>
    <w:p w14:paraId="09A1FA39" w14:textId="0C55C0DA" w:rsidR="00B74E46" w:rsidRPr="00384ADF" w:rsidRDefault="003A2396" w:rsidP="0062385A">
      <w:pPr>
        <w:pStyle w:val="NumList"/>
        <w:numPr>
          <w:ilvl w:val="0"/>
          <w:numId w:val="7"/>
        </w:numPr>
        <w:spacing w:line="312" w:lineRule="auto"/>
        <w:ind w:left="1858"/>
        <w:rPr>
          <w:rFonts w:cs="Arial"/>
        </w:rPr>
      </w:pPr>
      <w:r w:rsidRPr="00384ADF">
        <w:rPr>
          <w:rFonts w:cs="Arial"/>
        </w:rPr>
        <w:t xml:space="preserve">Consideration 4: </w:t>
      </w:r>
      <w:r w:rsidR="00B74E46" w:rsidRPr="00384ADF">
        <w:rPr>
          <w:rFonts w:cs="Arial"/>
        </w:rPr>
        <w:t>Who selected the criteria to be applied to measure or evaluate the underlying subject matter, and what the degree of judgment and scope for bias is in applying them. The engagement is more likely to have a rational purpose if the intended users selected or were involved in selecting the criteria</w:t>
      </w:r>
      <w:r w:rsidR="006E71BD" w:rsidRPr="00384ADF">
        <w:rPr>
          <w:rStyle w:val="FootnoteReference"/>
          <w:rFonts w:cs="Arial"/>
          <w:vertAlign w:val="superscript"/>
        </w:rPr>
        <w:footnoteReference w:id="4"/>
      </w:r>
      <w:r w:rsidR="00B74E46" w:rsidRPr="00384ADF">
        <w:rPr>
          <w:rFonts w:cs="Arial"/>
        </w:rPr>
        <w:t>.</w:t>
      </w:r>
    </w:p>
    <w:p w14:paraId="5A8B5A92" w14:textId="76D16553" w:rsidR="00B74E46" w:rsidRPr="00384ADF" w:rsidRDefault="00B74E46" w:rsidP="0062385A">
      <w:pPr>
        <w:pStyle w:val="NumList"/>
        <w:numPr>
          <w:ilvl w:val="1"/>
          <w:numId w:val="2"/>
        </w:numPr>
        <w:spacing w:line="312" w:lineRule="auto"/>
        <w:ind w:hanging="425"/>
        <w:rPr>
          <w:rFonts w:cs="Arial"/>
        </w:rPr>
      </w:pPr>
      <w:r w:rsidRPr="00384ADF">
        <w:rPr>
          <w:rFonts w:cs="Arial"/>
        </w:rPr>
        <w:t>The underlying subject matter is appropriate</w:t>
      </w:r>
      <w:r w:rsidR="004738F1" w:rsidRPr="00384ADF">
        <w:rPr>
          <w:vertAlign w:val="superscript"/>
        </w:rPr>
        <w:footnoteReference w:id="5"/>
      </w:r>
      <w:r w:rsidR="00745EF1" w:rsidRPr="00384ADF">
        <w:rPr>
          <w:rFonts w:cs="Arial"/>
        </w:rPr>
        <w:t>.</w:t>
      </w:r>
    </w:p>
    <w:p w14:paraId="2F1E7559" w14:textId="5C9E586B" w:rsidR="00B74E46" w:rsidRPr="00384ADF" w:rsidRDefault="00B74E46" w:rsidP="0062385A">
      <w:pPr>
        <w:pStyle w:val="NumList"/>
        <w:numPr>
          <w:ilvl w:val="1"/>
          <w:numId w:val="2"/>
        </w:numPr>
        <w:spacing w:line="312" w:lineRule="auto"/>
        <w:ind w:left="1138" w:hanging="432"/>
        <w:rPr>
          <w:rFonts w:cs="Arial"/>
        </w:rPr>
      </w:pPr>
      <w:r w:rsidRPr="00384ADF">
        <w:rPr>
          <w:rFonts w:cs="Arial"/>
        </w:rPr>
        <w:t>The criteria that the practitioner expects to be applied in the preparation of the subject matter information are suitable for the engagement circumstances</w:t>
      </w:r>
      <w:r w:rsidR="004738F1" w:rsidRPr="00384ADF">
        <w:rPr>
          <w:vertAlign w:val="superscript"/>
        </w:rPr>
        <w:footnoteReference w:id="6"/>
      </w:r>
      <w:r w:rsidRPr="00384ADF">
        <w:rPr>
          <w:rFonts w:cs="Arial"/>
        </w:rPr>
        <w:t>, including that they exhibit the following characteristics:</w:t>
      </w:r>
    </w:p>
    <w:p w14:paraId="3E8896CC" w14:textId="77777777" w:rsidR="00B74E46" w:rsidRPr="00384ADF" w:rsidRDefault="00B74E46" w:rsidP="0062385A">
      <w:pPr>
        <w:pStyle w:val="NumList"/>
        <w:numPr>
          <w:ilvl w:val="0"/>
          <w:numId w:val="7"/>
        </w:numPr>
        <w:spacing w:line="312" w:lineRule="auto"/>
        <w:ind w:left="1858"/>
        <w:rPr>
          <w:rFonts w:cs="Arial"/>
        </w:rPr>
      </w:pPr>
      <w:r w:rsidRPr="00384ADF">
        <w:rPr>
          <w:rFonts w:cs="Arial"/>
        </w:rPr>
        <w:t>Relevance.</w:t>
      </w:r>
    </w:p>
    <w:p w14:paraId="190DE42E" w14:textId="77777777" w:rsidR="00B74E46" w:rsidRPr="00384ADF" w:rsidRDefault="00B74E46" w:rsidP="0062385A">
      <w:pPr>
        <w:pStyle w:val="NumList"/>
        <w:numPr>
          <w:ilvl w:val="0"/>
          <w:numId w:val="7"/>
        </w:numPr>
        <w:spacing w:line="312" w:lineRule="auto"/>
        <w:rPr>
          <w:rFonts w:cs="Arial"/>
        </w:rPr>
      </w:pPr>
      <w:r w:rsidRPr="00384ADF">
        <w:rPr>
          <w:rFonts w:cs="Arial"/>
        </w:rPr>
        <w:t>Completeness.</w:t>
      </w:r>
    </w:p>
    <w:p w14:paraId="44F78AE8" w14:textId="77777777" w:rsidR="00B74E46" w:rsidRPr="00384ADF" w:rsidRDefault="00B74E46" w:rsidP="0062385A">
      <w:pPr>
        <w:pStyle w:val="NumList"/>
        <w:numPr>
          <w:ilvl w:val="0"/>
          <w:numId w:val="7"/>
        </w:numPr>
        <w:spacing w:line="312" w:lineRule="auto"/>
        <w:rPr>
          <w:rFonts w:cs="Arial"/>
        </w:rPr>
      </w:pPr>
      <w:r w:rsidRPr="00384ADF">
        <w:rPr>
          <w:rFonts w:cs="Arial"/>
        </w:rPr>
        <w:t>Reliability.</w:t>
      </w:r>
    </w:p>
    <w:p w14:paraId="6798CA15" w14:textId="77777777" w:rsidR="00B74E46" w:rsidRPr="00384ADF" w:rsidRDefault="00B74E46" w:rsidP="0062385A">
      <w:pPr>
        <w:pStyle w:val="NumList"/>
        <w:numPr>
          <w:ilvl w:val="0"/>
          <w:numId w:val="7"/>
        </w:numPr>
        <w:spacing w:line="312" w:lineRule="auto"/>
        <w:rPr>
          <w:rFonts w:cs="Arial"/>
        </w:rPr>
      </w:pPr>
      <w:r w:rsidRPr="00384ADF">
        <w:rPr>
          <w:rFonts w:cs="Arial"/>
        </w:rPr>
        <w:t>Neutrality.</w:t>
      </w:r>
    </w:p>
    <w:p w14:paraId="2C64D602" w14:textId="468156FA" w:rsidR="00B74E46" w:rsidRPr="00384ADF" w:rsidRDefault="00B74E46" w:rsidP="0062385A">
      <w:pPr>
        <w:pStyle w:val="NumList"/>
        <w:numPr>
          <w:ilvl w:val="0"/>
          <w:numId w:val="7"/>
        </w:numPr>
        <w:spacing w:line="312" w:lineRule="auto"/>
        <w:rPr>
          <w:rFonts w:cs="Arial"/>
        </w:rPr>
      </w:pPr>
      <w:r w:rsidRPr="00384ADF">
        <w:rPr>
          <w:rFonts w:cs="Arial"/>
        </w:rPr>
        <w:t>Understandability.</w:t>
      </w:r>
    </w:p>
    <w:p w14:paraId="34E7541F" w14:textId="0454D569" w:rsidR="00D11696" w:rsidRPr="00384ADF" w:rsidRDefault="00D11696" w:rsidP="00D11696">
      <w:pPr>
        <w:pStyle w:val="NumList"/>
        <w:spacing w:line="312" w:lineRule="auto"/>
        <w:ind w:left="561" w:hanging="561"/>
      </w:pPr>
      <w:r w:rsidRPr="00384ADF">
        <w:rPr>
          <w:rFonts w:cs="Arial"/>
        </w:rPr>
        <w:t>ISAE 3000 (Revised)</w:t>
      </w:r>
      <w:r w:rsidR="001478DB" w:rsidRPr="00384ADF">
        <w:rPr>
          <w:rFonts w:cs="Arial"/>
        </w:rPr>
        <w:t xml:space="preserve"> requires multiple characteristics to be present in order to establish whether the preconditions for a sustainability assurance engagement are met. The following characteristics are</w:t>
      </w:r>
      <w:r w:rsidR="00385C28" w:rsidRPr="00384ADF">
        <w:rPr>
          <w:rFonts w:cs="Arial"/>
        </w:rPr>
        <w:t xml:space="preserve"> </w:t>
      </w:r>
      <w:r w:rsidRPr="00384ADF">
        <w:rPr>
          <w:rFonts w:cs="Arial"/>
        </w:rPr>
        <w:t>excluded from the scope of this SAAEPS:</w:t>
      </w:r>
    </w:p>
    <w:p w14:paraId="2992EEF2" w14:textId="77777777" w:rsidR="00D11696" w:rsidRPr="00384ADF" w:rsidRDefault="00D11696" w:rsidP="00D11696">
      <w:pPr>
        <w:pStyle w:val="NumList"/>
        <w:numPr>
          <w:ilvl w:val="1"/>
          <w:numId w:val="2"/>
        </w:numPr>
        <w:spacing w:line="312" w:lineRule="auto"/>
        <w:ind w:left="1138" w:hanging="432"/>
      </w:pPr>
      <w:r w:rsidRPr="00384ADF">
        <w:rPr>
          <w:rFonts w:cs="Arial"/>
        </w:rPr>
        <w:t>The roles and responsibilities of the appropriate parties are suitable in the circumstances</w:t>
      </w:r>
      <w:r w:rsidRPr="00384ADF">
        <w:rPr>
          <w:rStyle w:val="FootnoteReference"/>
          <w:rFonts w:cs="Arial"/>
          <w:vertAlign w:val="superscript"/>
        </w:rPr>
        <w:footnoteReference w:id="7"/>
      </w:r>
      <w:r w:rsidRPr="00384ADF">
        <w:rPr>
          <w:rFonts w:cs="Arial"/>
        </w:rPr>
        <w:t xml:space="preserve">; </w:t>
      </w:r>
    </w:p>
    <w:p w14:paraId="04E590E9" w14:textId="77777777" w:rsidR="00D11696" w:rsidRPr="00384ADF" w:rsidRDefault="00D11696" w:rsidP="00D11696">
      <w:pPr>
        <w:pStyle w:val="NumList"/>
        <w:numPr>
          <w:ilvl w:val="1"/>
          <w:numId w:val="2"/>
        </w:numPr>
        <w:spacing w:line="312" w:lineRule="auto"/>
        <w:ind w:left="1138" w:hanging="432"/>
      </w:pPr>
      <w:r w:rsidRPr="00384ADF">
        <w:rPr>
          <w:rFonts w:cs="Arial"/>
        </w:rPr>
        <w:t>The criteria that the practitioner expects to be applied in the preparation of the subject matter information will be available to the intended users</w:t>
      </w:r>
      <w:r w:rsidRPr="00384ADF">
        <w:rPr>
          <w:rStyle w:val="FootnoteReference"/>
          <w:rFonts w:cs="Arial"/>
          <w:vertAlign w:val="superscript"/>
        </w:rPr>
        <w:footnoteReference w:id="8"/>
      </w:r>
      <w:r w:rsidRPr="00384ADF">
        <w:rPr>
          <w:rFonts w:cs="Arial"/>
        </w:rPr>
        <w:t xml:space="preserve">; </w:t>
      </w:r>
    </w:p>
    <w:p w14:paraId="75F4E9B2" w14:textId="11E388C6" w:rsidR="00D11696" w:rsidRPr="00384ADF" w:rsidRDefault="00D11696" w:rsidP="00D11696">
      <w:pPr>
        <w:pStyle w:val="NumList"/>
        <w:numPr>
          <w:ilvl w:val="1"/>
          <w:numId w:val="2"/>
        </w:numPr>
        <w:spacing w:line="312" w:lineRule="auto"/>
        <w:ind w:left="1138" w:hanging="432"/>
      </w:pPr>
      <w:r w:rsidRPr="00384ADF">
        <w:rPr>
          <w:rFonts w:cs="Arial"/>
        </w:rPr>
        <w:t>The practitioner expects to be able to obtain the evidence needed to support the practitioner’s conclusion</w:t>
      </w:r>
      <w:r w:rsidRPr="00384ADF">
        <w:rPr>
          <w:rStyle w:val="FootnoteReference"/>
          <w:rFonts w:cs="Arial"/>
          <w:vertAlign w:val="superscript"/>
        </w:rPr>
        <w:footnoteReference w:id="9"/>
      </w:r>
      <w:r w:rsidRPr="00384ADF">
        <w:rPr>
          <w:rFonts w:cs="Arial"/>
        </w:rPr>
        <w:t xml:space="preserve">; </w:t>
      </w:r>
    </w:p>
    <w:p w14:paraId="4FB65490" w14:textId="77777777" w:rsidR="00D11696" w:rsidRPr="00384ADF" w:rsidRDefault="00D11696" w:rsidP="00D11696">
      <w:pPr>
        <w:pStyle w:val="NumList"/>
        <w:numPr>
          <w:ilvl w:val="1"/>
          <w:numId w:val="2"/>
        </w:numPr>
        <w:spacing w:line="312" w:lineRule="auto"/>
        <w:ind w:left="1138" w:hanging="432"/>
      </w:pPr>
      <w:r w:rsidRPr="00384ADF">
        <w:rPr>
          <w:rFonts w:cs="Arial"/>
        </w:rPr>
        <w:t>The practitioner’s conclusion, in the form appropriate to either a reasonable assurance engagement or a limited assurance engagement, is to be contained in a written report</w:t>
      </w:r>
      <w:r w:rsidRPr="00384ADF">
        <w:rPr>
          <w:rStyle w:val="FootnoteReference"/>
          <w:rFonts w:cs="Arial"/>
          <w:vertAlign w:val="superscript"/>
        </w:rPr>
        <w:footnoteReference w:id="10"/>
      </w:r>
      <w:r w:rsidRPr="00384ADF">
        <w:rPr>
          <w:rFonts w:cs="Arial"/>
        </w:rPr>
        <w:t xml:space="preserve">; and </w:t>
      </w:r>
    </w:p>
    <w:p w14:paraId="20D6FEBE" w14:textId="31A8F5A4" w:rsidR="00D11696" w:rsidRPr="00384ADF" w:rsidRDefault="00D11696" w:rsidP="00D11696">
      <w:pPr>
        <w:pStyle w:val="NumList"/>
        <w:numPr>
          <w:ilvl w:val="1"/>
          <w:numId w:val="2"/>
        </w:numPr>
        <w:spacing w:line="312" w:lineRule="auto"/>
        <w:ind w:left="1138" w:hanging="432"/>
      </w:pPr>
      <w:r w:rsidRPr="00384ADF">
        <w:rPr>
          <w:rFonts w:cs="Arial"/>
        </w:rPr>
        <w:t xml:space="preserve">A rational purpose – In determining whether the engagement </w:t>
      </w:r>
      <w:r w:rsidR="00513FB6" w:rsidRPr="00384ADF">
        <w:rPr>
          <w:rFonts w:cs="Arial"/>
        </w:rPr>
        <w:t>exhibits</w:t>
      </w:r>
      <w:r w:rsidRPr="00384ADF">
        <w:rPr>
          <w:rFonts w:cs="Arial"/>
        </w:rPr>
        <w:t xml:space="preserve"> a rational purpose, relevant considerations may include the following</w:t>
      </w:r>
      <w:r w:rsidRPr="00384ADF">
        <w:rPr>
          <w:rStyle w:val="FootnoteReference"/>
          <w:rFonts w:cs="Arial"/>
          <w:vertAlign w:val="superscript"/>
        </w:rPr>
        <w:footnoteReference w:id="11"/>
      </w:r>
      <w:r w:rsidRPr="00384ADF">
        <w:rPr>
          <w:rFonts w:cs="Arial"/>
        </w:rPr>
        <w:t xml:space="preserve">: </w:t>
      </w:r>
    </w:p>
    <w:p w14:paraId="72F77E1C" w14:textId="77777777" w:rsidR="00D11696" w:rsidRPr="00384ADF" w:rsidRDefault="00D11696" w:rsidP="00D11696">
      <w:pPr>
        <w:pStyle w:val="NumList"/>
        <w:numPr>
          <w:ilvl w:val="1"/>
          <w:numId w:val="9"/>
        </w:numPr>
        <w:tabs>
          <w:tab w:val="clear" w:pos="1134"/>
          <w:tab w:val="num" w:pos="1800"/>
        </w:tabs>
        <w:spacing w:line="312" w:lineRule="auto"/>
        <w:ind w:left="1800"/>
      </w:pPr>
      <w:r w:rsidRPr="00384ADF">
        <w:rPr>
          <w:rFonts w:cs="Arial"/>
        </w:rPr>
        <w:t xml:space="preserve">Consideration 1: The intended users of the subject matter information and the assurance report (particularly, when the criteria are designed for a special purpose). A further consideration is the likelihood that the subject matter information and the assurance report will be used or distributed more broadly than to intended users; </w:t>
      </w:r>
    </w:p>
    <w:p w14:paraId="1BADF621" w14:textId="77777777" w:rsidR="00D11696" w:rsidRPr="00384ADF" w:rsidRDefault="00D11696" w:rsidP="00D11696">
      <w:pPr>
        <w:pStyle w:val="NumList"/>
        <w:numPr>
          <w:ilvl w:val="1"/>
          <w:numId w:val="9"/>
        </w:numPr>
        <w:tabs>
          <w:tab w:val="clear" w:pos="1134"/>
          <w:tab w:val="num" w:pos="1800"/>
        </w:tabs>
        <w:spacing w:line="312" w:lineRule="auto"/>
        <w:ind w:left="1800"/>
      </w:pPr>
      <w:r w:rsidRPr="00384ADF">
        <w:rPr>
          <w:rFonts w:cs="Arial"/>
        </w:rPr>
        <w:t xml:space="preserve">Consideration 3: The characteristics of the relationships between the responsible party, the measurer or evaluator, and the engaging party, for example, when the measurer or evaluator is not the responsible party, whether the responsible party consents to the use to be made of the subject matter information and will have the opportunity to review the subject matter information before it is made available to intended users or to distribute comments with the subject matter information; </w:t>
      </w:r>
    </w:p>
    <w:p w14:paraId="7BC81080" w14:textId="77777777" w:rsidR="00D11696" w:rsidRPr="00384ADF" w:rsidRDefault="00D11696" w:rsidP="00D11696">
      <w:pPr>
        <w:pStyle w:val="NumList"/>
        <w:numPr>
          <w:ilvl w:val="1"/>
          <w:numId w:val="9"/>
        </w:numPr>
        <w:tabs>
          <w:tab w:val="clear" w:pos="1134"/>
          <w:tab w:val="num" w:pos="1800"/>
        </w:tabs>
        <w:spacing w:line="312" w:lineRule="auto"/>
        <w:ind w:left="1800"/>
      </w:pPr>
      <w:r w:rsidRPr="00384ADF">
        <w:rPr>
          <w:rFonts w:cs="Arial"/>
        </w:rPr>
        <w:t xml:space="preserve">Consideration 5: Any significant limitations on the scope of the practitioner’s work; and </w:t>
      </w:r>
    </w:p>
    <w:p w14:paraId="452DE766" w14:textId="77777777" w:rsidR="00D11696" w:rsidRPr="00384ADF" w:rsidRDefault="00D11696" w:rsidP="00D11696">
      <w:pPr>
        <w:pStyle w:val="NumList"/>
        <w:numPr>
          <w:ilvl w:val="1"/>
          <w:numId w:val="9"/>
        </w:numPr>
        <w:tabs>
          <w:tab w:val="clear" w:pos="1134"/>
          <w:tab w:val="num" w:pos="1800"/>
        </w:tabs>
        <w:spacing w:line="312" w:lineRule="auto"/>
        <w:ind w:left="1800"/>
      </w:pPr>
      <w:r w:rsidRPr="00384ADF">
        <w:rPr>
          <w:rFonts w:cs="Arial"/>
        </w:rPr>
        <w:t>Consideration 6: Whether the practitioner believes the engaging party intends to associate the practitioner’s name with the underlying subject matter or the subject matter information in an inappropriate manner.</w:t>
      </w:r>
    </w:p>
    <w:p w14:paraId="6AF298D9" w14:textId="458BDAA9" w:rsidR="00B74E46" w:rsidRPr="00384ADF" w:rsidRDefault="009C685E" w:rsidP="007C715D">
      <w:pPr>
        <w:pStyle w:val="NumList"/>
        <w:numPr>
          <w:ilvl w:val="0"/>
          <w:numId w:val="0"/>
        </w:numPr>
        <w:spacing w:line="312" w:lineRule="auto"/>
        <w:ind w:left="567"/>
        <w:rPr>
          <w:rFonts w:cs="Arial"/>
        </w:rPr>
      </w:pPr>
      <w:r w:rsidRPr="00384ADF">
        <w:rPr>
          <w:rFonts w:cs="Arial"/>
        </w:rPr>
        <w:t>T</w:t>
      </w:r>
      <w:r w:rsidR="0064166B" w:rsidRPr="00384ADF">
        <w:rPr>
          <w:rFonts w:cs="Arial"/>
        </w:rPr>
        <w:t xml:space="preserve">he onus is on the practitioner to </w:t>
      </w:r>
      <w:r w:rsidR="00A86FF6" w:rsidRPr="00384ADF">
        <w:rPr>
          <w:rFonts w:cs="Arial"/>
          <w:lang w:val="en-US"/>
        </w:rPr>
        <w:t>make a determination</w:t>
      </w:r>
      <w:r w:rsidR="003742D4" w:rsidRPr="00384ADF">
        <w:rPr>
          <w:rFonts w:cs="Arial"/>
          <w:lang w:val="en-US"/>
        </w:rPr>
        <w:t>,</w:t>
      </w:r>
      <w:r w:rsidR="00A86FF6" w:rsidRPr="00384ADF">
        <w:rPr>
          <w:rFonts w:cs="Arial"/>
          <w:lang w:val="en-US"/>
        </w:rPr>
        <w:t xml:space="preserve"> based on a preliminary knowledge of the engagement circumstances</w:t>
      </w:r>
      <w:r w:rsidR="003742D4" w:rsidRPr="00384ADF">
        <w:rPr>
          <w:rFonts w:cs="Arial"/>
          <w:lang w:val="en-US"/>
        </w:rPr>
        <w:t>,</w:t>
      </w:r>
      <w:r w:rsidR="0064166B" w:rsidRPr="00384ADF">
        <w:rPr>
          <w:rFonts w:cs="Arial"/>
        </w:rPr>
        <w:t xml:space="preserve"> </w:t>
      </w:r>
      <w:r w:rsidR="00FC1685" w:rsidRPr="00384ADF">
        <w:rPr>
          <w:rFonts w:cs="Arial"/>
        </w:rPr>
        <w:t>on</w:t>
      </w:r>
      <w:r w:rsidR="0064166B" w:rsidRPr="00384ADF">
        <w:rPr>
          <w:rFonts w:cs="Arial"/>
        </w:rPr>
        <w:t xml:space="preserve"> whether </w:t>
      </w:r>
      <w:r w:rsidR="00782773" w:rsidRPr="00384ADF">
        <w:rPr>
          <w:rFonts w:cs="Arial"/>
        </w:rPr>
        <w:t>the preconditions excluded from the scope of this SAAEPS</w:t>
      </w:r>
      <w:r w:rsidR="0064166B" w:rsidRPr="00384ADF">
        <w:rPr>
          <w:rFonts w:cs="Arial"/>
        </w:rPr>
        <w:t xml:space="preserve"> are present.</w:t>
      </w:r>
      <w:r w:rsidR="00CE7BCE" w:rsidRPr="00384ADF">
        <w:rPr>
          <w:rFonts w:cs="Arial"/>
        </w:rPr>
        <w:t xml:space="preserve"> For the remainder of this SAAEPS, any references to</w:t>
      </w:r>
      <w:r w:rsidR="008A1F6F" w:rsidRPr="00384ADF">
        <w:rPr>
          <w:rFonts w:cs="Arial"/>
        </w:rPr>
        <w:t xml:space="preserve"> the</w:t>
      </w:r>
      <w:r w:rsidR="00CE7BCE" w:rsidRPr="00384ADF">
        <w:rPr>
          <w:rFonts w:cs="Arial"/>
        </w:rPr>
        <w:t xml:space="preserve"> preconditions for </w:t>
      </w:r>
      <w:r w:rsidR="008A1F6F" w:rsidRPr="00384ADF">
        <w:rPr>
          <w:rFonts w:cs="Arial"/>
        </w:rPr>
        <w:t xml:space="preserve">a </w:t>
      </w:r>
      <w:r w:rsidR="00CE7BCE" w:rsidRPr="00384ADF">
        <w:rPr>
          <w:rFonts w:cs="Arial"/>
        </w:rPr>
        <w:t>sustainability</w:t>
      </w:r>
      <w:r w:rsidR="008A1F6F" w:rsidRPr="00384ADF">
        <w:rPr>
          <w:rFonts w:cs="Arial"/>
        </w:rPr>
        <w:t xml:space="preserve"> </w:t>
      </w:r>
      <w:r w:rsidR="00CE7BCE" w:rsidRPr="00384ADF">
        <w:rPr>
          <w:rFonts w:cs="Arial"/>
        </w:rPr>
        <w:t xml:space="preserve">assurance engagement </w:t>
      </w:r>
      <w:r w:rsidR="006F3B6E" w:rsidRPr="00384ADF">
        <w:rPr>
          <w:rFonts w:cs="Arial"/>
        </w:rPr>
        <w:t>are</w:t>
      </w:r>
      <w:r w:rsidR="00CE7BCE" w:rsidRPr="00384ADF">
        <w:rPr>
          <w:rFonts w:cs="Arial"/>
        </w:rPr>
        <w:t xml:space="preserve"> limited to</w:t>
      </w:r>
      <w:r w:rsidR="00702F30" w:rsidRPr="00384ADF">
        <w:rPr>
          <w:rFonts w:cs="Arial"/>
        </w:rPr>
        <w:t xml:space="preserve"> </w:t>
      </w:r>
      <w:r w:rsidR="00CE7BCE" w:rsidRPr="00384ADF">
        <w:rPr>
          <w:rFonts w:cs="Arial"/>
        </w:rPr>
        <w:t xml:space="preserve">those matters </w:t>
      </w:r>
      <w:r w:rsidR="005F2ADA" w:rsidRPr="00384ADF">
        <w:rPr>
          <w:rFonts w:cs="Arial"/>
        </w:rPr>
        <w:t xml:space="preserve">identified </w:t>
      </w:r>
      <w:r w:rsidR="00CE7BCE" w:rsidRPr="00384ADF">
        <w:rPr>
          <w:rFonts w:cs="Arial"/>
        </w:rPr>
        <w:t xml:space="preserve">in paragraph </w:t>
      </w:r>
      <w:r w:rsidR="007C278F" w:rsidRPr="00384ADF">
        <w:rPr>
          <w:rFonts w:cs="Arial"/>
        </w:rPr>
        <w:t>6</w:t>
      </w:r>
      <w:r w:rsidR="00CE7BCE" w:rsidRPr="00384ADF">
        <w:rPr>
          <w:rFonts w:cs="Arial"/>
        </w:rPr>
        <w:t>.</w:t>
      </w:r>
    </w:p>
    <w:p w14:paraId="0C87B64D" w14:textId="304CA12D" w:rsidR="001917A8" w:rsidRPr="00384ADF" w:rsidRDefault="00554C55" w:rsidP="00445B02">
      <w:pPr>
        <w:pStyle w:val="NumList"/>
        <w:spacing w:line="312" w:lineRule="auto"/>
        <w:rPr>
          <w:rFonts w:cs="Arial"/>
        </w:rPr>
      </w:pPr>
      <w:r w:rsidRPr="00384ADF">
        <w:rPr>
          <w:rFonts w:cs="Arial"/>
        </w:rPr>
        <w:t xml:space="preserve">In concluding on whether the preconditions for </w:t>
      </w:r>
      <w:r w:rsidR="008A1F6F" w:rsidRPr="00384ADF">
        <w:rPr>
          <w:rFonts w:cs="Arial"/>
        </w:rPr>
        <w:t xml:space="preserve">a sustainability </w:t>
      </w:r>
      <w:r w:rsidRPr="00384ADF">
        <w:rPr>
          <w:rFonts w:cs="Arial"/>
        </w:rPr>
        <w:t xml:space="preserve">assurance engagement are present, the practitioner considers all aspects </w:t>
      </w:r>
      <w:r w:rsidRPr="00384ADF">
        <w:t xml:space="preserve">(those considered in terms of this SAAEPS and </w:t>
      </w:r>
      <w:r w:rsidRPr="00384ADF">
        <w:rPr>
          <w:rFonts w:cs="Arial"/>
        </w:rPr>
        <w:t>all other aspects considered that are beyond the scope of this SAAEPS)</w:t>
      </w:r>
      <w:r w:rsidR="00D565BD" w:rsidRPr="00384ADF">
        <w:rPr>
          <w:rFonts w:cs="Arial"/>
        </w:rPr>
        <w:t xml:space="preserve">. </w:t>
      </w:r>
    </w:p>
    <w:p w14:paraId="08447418" w14:textId="06D007C7" w:rsidR="00CE7BCE" w:rsidRPr="00384ADF" w:rsidRDefault="00EC7BA1" w:rsidP="0062385A">
      <w:pPr>
        <w:pStyle w:val="NumList"/>
        <w:spacing w:line="312" w:lineRule="auto"/>
      </w:pPr>
      <w:r w:rsidRPr="00384ADF">
        <w:t xml:space="preserve">To assist the practitioner with </w:t>
      </w:r>
      <w:r w:rsidR="009D037E" w:rsidRPr="00384ADF">
        <w:t>determining whether the preconditions for a</w:t>
      </w:r>
      <w:r w:rsidR="008A1F6F" w:rsidRPr="00384ADF">
        <w:t xml:space="preserve"> sustainability</w:t>
      </w:r>
      <w:r w:rsidR="009D037E" w:rsidRPr="00384ADF">
        <w:t xml:space="preserve"> assurance engagement are present</w:t>
      </w:r>
      <w:r w:rsidRPr="00384ADF">
        <w:t>, this SAAEPS introduces guidance on the following matters</w:t>
      </w:r>
      <w:r w:rsidR="00B275B5" w:rsidRPr="00384ADF">
        <w:t xml:space="preserve"> under the heading “Concepts relevant to the guidance provided in this SAAEPS”</w:t>
      </w:r>
      <w:r w:rsidRPr="00384ADF">
        <w:t>:</w:t>
      </w:r>
    </w:p>
    <w:p w14:paraId="1F9867C1" w14:textId="1BAED2A8" w:rsidR="00EC7BA1" w:rsidRPr="00384ADF" w:rsidRDefault="00EC7BA1" w:rsidP="0062385A">
      <w:pPr>
        <w:pStyle w:val="NumList"/>
        <w:numPr>
          <w:ilvl w:val="1"/>
          <w:numId w:val="2"/>
        </w:numPr>
        <w:spacing w:line="312" w:lineRule="auto"/>
        <w:ind w:hanging="425"/>
      </w:pPr>
      <w:r w:rsidRPr="00384ADF">
        <w:t>Sustainability information;</w:t>
      </w:r>
    </w:p>
    <w:p w14:paraId="5E9367B0" w14:textId="3DF31639" w:rsidR="00EC7BA1" w:rsidRPr="00384ADF" w:rsidRDefault="003879BC" w:rsidP="0062385A">
      <w:pPr>
        <w:pStyle w:val="NumList"/>
        <w:numPr>
          <w:ilvl w:val="1"/>
          <w:numId w:val="2"/>
        </w:numPr>
        <w:spacing w:line="312" w:lineRule="auto"/>
        <w:ind w:left="1138" w:hanging="432"/>
      </w:pPr>
      <w:r w:rsidRPr="00384ADF">
        <w:t>R</w:t>
      </w:r>
      <w:r w:rsidR="00EC7BA1" w:rsidRPr="00384ADF">
        <w:t>eporting infrastructure; and</w:t>
      </w:r>
    </w:p>
    <w:p w14:paraId="172C9471" w14:textId="0B4411A8" w:rsidR="00EC7BA1" w:rsidRPr="00384ADF" w:rsidRDefault="00207655" w:rsidP="0062385A">
      <w:pPr>
        <w:pStyle w:val="NumList"/>
        <w:numPr>
          <w:ilvl w:val="1"/>
          <w:numId w:val="2"/>
        </w:numPr>
        <w:spacing w:line="312" w:lineRule="auto"/>
        <w:ind w:hanging="425"/>
      </w:pPr>
      <w:r w:rsidRPr="00384ADF">
        <w:t>Underlying subject matter, subject matter information and criteria</w:t>
      </w:r>
      <w:r w:rsidR="00EC7BA1" w:rsidRPr="00384ADF">
        <w:t>.</w:t>
      </w:r>
    </w:p>
    <w:p w14:paraId="256753A4" w14:textId="4C5CB8F1" w:rsidR="00CE7BCE" w:rsidRPr="00384ADF" w:rsidRDefault="00EC7BA1" w:rsidP="00445B02">
      <w:pPr>
        <w:pStyle w:val="NumList"/>
        <w:spacing w:line="312" w:lineRule="auto"/>
      </w:pPr>
      <w:r w:rsidRPr="00384ADF">
        <w:t xml:space="preserve">This is followed by </w:t>
      </w:r>
      <w:r w:rsidR="00730CB7" w:rsidRPr="00384ADF">
        <w:t>guidance on</w:t>
      </w:r>
      <w:r w:rsidR="00A02B84" w:rsidRPr="00384ADF">
        <w:t xml:space="preserve"> establishing</w:t>
      </w:r>
      <w:r w:rsidR="00730CB7" w:rsidRPr="00384ADF">
        <w:t xml:space="preserve"> </w:t>
      </w:r>
      <w:r w:rsidR="00CE7BCE" w:rsidRPr="00384ADF">
        <w:t xml:space="preserve">whether </w:t>
      </w:r>
      <w:r w:rsidR="001B0929" w:rsidRPr="00384ADF">
        <w:t xml:space="preserve">certain </w:t>
      </w:r>
      <w:r w:rsidR="00CE7BCE" w:rsidRPr="00384ADF">
        <w:t>aspects of the preconditions for the</w:t>
      </w:r>
      <w:r w:rsidR="001D4629" w:rsidRPr="00384ADF">
        <w:t xml:space="preserve"> sustainability</w:t>
      </w:r>
      <w:r w:rsidR="00CE7BCE" w:rsidRPr="00384ADF">
        <w:t xml:space="preserve"> assurance engagement dealt with in this SAAEPS </w:t>
      </w:r>
      <w:r w:rsidR="00EA3861" w:rsidRPr="00384ADF">
        <w:t>are present</w:t>
      </w:r>
      <w:r w:rsidR="0026573E" w:rsidRPr="00384ADF">
        <w:t>,</w:t>
      </w:r>
      <w:r w:rsidR="00CE7BCE" w:rsidRPr="00384ADF">
        <w:t xml:space="preserve"> </w:t>
      </w:r>
      <w:r w:rsidR="00907C9F" w:rsidRPr="00384ADF">
        <w:t xml:space="preserve">and this is set out </w:t>
      </w:r>
      <w:r w:rsidR="00730CB7" w:rsidRPr="00384ADF">
        <w:t>as follows</w:t>
      </w:r>
      <w:r w:rsidR="00CE7BCE" w:rsidRPr="00384ADF">
        <w:t>:</w:t>
      </w:r>
    </w:p>
    <w:p w14:paraId="08008AD4" w14:textId="4F3DBDEA" w:rsidR="00CE7BCE" w:rsidRPr="00384ADF" w:rsidRDefault="0055328E" w:rsidP="00155539">
      <w:pPr>
        <w:pStyle w:val="NumList"/>
        <w:numPr>
          <w:ilvl w:val="1"/>
          <w:numId w:val="2"/>
        </w:numPr>
        <w:spacing w:line="312" w:lineRule="auto"/>
        <w:ind w:left="1138" w:hanging="432"/>
        <w:rPr>
          <w:rFonts w:cs="Arial"/>
        </w:rPr>
      </w:pPr>
      <w:r w:rsidRPr="00384ADF">
        <w:rPr>
          <w:rFonts w:cs="Arial"/>
          <w:b/>
        </w:rPr>
        <w:t>Rational purpose</w:t>
      </w:r>
      <w:r w:rsidR="00CE7BCE" w:rsidRPr="00384ADF">
        <w:rPr>
          <w:rFonts w:cs="Arial"/>
          <w:b/>
        </w:rPr>
        <w:t>:</w:t>
      </w:r>
      <w:r w:rsidR="00CE7BCE" w:rsidRPr="00384ADF">
        <w:rPr>
          <w:rFonts w:cs="Arial"/>
        </w:rPr>
        <w:t xml:space="preserve"> Guidance on </w:t>
      </w:r>
      <w:r w:rsidR="009D037E" w:rsidRPr="00384ADF">
        <w:rPr>
          <w:rFonts w:cs="Arial"/>
        </w:rPr>
        <w:t>determining whether the sustainability assurance engagement exhibits a</w:t>
      </w:r>
      <w:r w:rsidR="00CE7BCE" w:rsidRPr="00384ADF">
        <w:rPr>
          <w:rFonts w:cs="Arial"/>
        </w:rPr>
        <w:t xml:space="preserve"> rational purpose; and </w:t>
      </w:r>
    </w:p>
    <w:p w14:paraId="17DAAF19" w14:textId="40743D6A" w:rsidR="00CE7BCE" w:rsidRPr="00384ADF" w:rsidRDefault="008519FF" w:rsidP="00445B02">
      <w:pPr>
        <w:pStyle w:val="NumList"/>
        <w:numPr>
          <w:ilvl w:val="1"/>
          <w:numId w:val="2"/>
        </w:numPr>
        <w:spacing w:line="312" w:lineRule="auto"/>
        <w:ind w:hanging="425"/>
        <w:rPr>
          <w:rFonts w:cs="Arial"/>
        </w:rPr>
      </w:pPr>
      <w:r w:rsidRPr="00384ADF">
        <w:rPr>
          <w:rFonts w:cs="Arial"/>
          <w:b/>
        </w:rPr>
        <w:t>Appropriateness of underlying subject matter and suitability of criteria</w:t>
      </w:r>
      <w:r w:rsidR="00CE7BCE" w:rsidRPr="00384ADF">
        <w:rPr>
          <w:rFonts w:cs="Arial"/>
          <w:b/>
        </w:rPr>
        <w:t>:</w:t>
      </w:r>
      <w:r w:rsidR="00CE7BCE" w:rsidRPr="00384ADF">
        <w:rPr>
          <w:rFonts w:cs="Arial"/>
        </w:rPr>
        <w:t xml:space="preserve"> Guidance on </w:t>
      </w:r>
      <w:bookmarkStart w:id="9" w:name="_Hlk520281360"/>
      <w:r w:rsidR="009D037E" w:rsidRPr="00384ADF">
        <w:rPr>
          <w:rFonts w:cs="Arial"/>
        </w:rPr>
        <w:t>determining whether</w:t>
      </w:r>
      <w:r w:rsidR="00CE7BCE" w:rsidRPr="00384ADF">
        <w:rPr>
          <w:rFonts w:cs="Arial"/>
        </w:rPr>
        <w:t xml:space="preserve"> the </w:t>
      </w:r>
      <w:r w:rsidR="009D037E" w:rsidRPr="00384ADF">
        <w:rPr>
          <w:rFonts w:cs="Arial"/>
        </w:rPr>
        <w:t>sustainability assurance engagement exhibits</w:t>
      </w:r>
      <w:r w:rsidR="00385C28" w:rsidRPr="00384ADF">
        <w:rPr>
          <w:rFonts w:cs="Arial"/>
        </w:rPr>
        <w:t xml:space="preserve"> that</w:t>
      </w:r>
      <w:r w:rsidR="009D037E" w:rsidRPr="00384ADF">
        <w:rPr>
          <w:rFonts w:cs="Arial"/>
        </w:rPr>
        <w:t xml:space="preserve"> </w:t>
      </w:r>
      <w:r w:rsidR="00FD0915" w:rsidRPr="00384ADF">
        <w:rPr>
          <w:rFonts w:cs="Arial"/>
        </w:rPr>
        <w:t xml:space="preserve">the </w:t>
      </w:r>
      <w:r w:rsidR="00CE7BCE" w:rsidRPr="00384ADF">
        <w:rPr>
          <w:rFonts w:cs="Arial"/>
        </w:rPr>
        <w:t>underlying subject matter</w:t>
      </w:r>
      <w:r w:rsidR="009D037E" w:rsidRPr="00384ADF">
        <w:rPr>
          <w:rFonts w:cs="Arial"/>
        </w:rPr>
        <w:t xml:space="preserve"> is appropriate</w:t>
      </w:r>
      <w:r w:rsidR="00CE7BCE" w:rsidRPr="00384ADF">
        <w:rPr>
          <w:rFonts w:cs="Arial"/>
        </w:rPr>
        <w:t xml:space="preserve"> and </w:t>
      </w:r>
      <w:r w:rsidR="00FD0915" w:rsidRPr="00384ADF">
        <w:rPr>
          <w:rFonts w:cs="Arial"/>
        </w:rPr>
        <w:t xml:space="preserve">the </w:t>
      </w:r>
      <w:r w:rsidR="009D037E" w:rsidRPr="00384ADF">
        <w:rPr>
          <w:rFonts w:cs="Arial"/>
        </w:rPr>
        <w:t>criteria that</w:t>
      </w:r>
      <w:r w:rsidR="008809AD" w:rsidRPr="00384ADF">
        <w:rPr>
          <w:rFonts w:cs="Arial"/>
        </w:rPr>
        <w:t xml:space="preserve"> the practitioner expects to be applied in the preparation of the subject matter information </w:t>
      </w:r>
      <w:r w:rsidR="009D037E" w:rsidRPr="00384ADF">
        <w:rPr>
          <w:rFonts w:cs="Arial"/>
        </w:rPr>
        <w:t>are suitable</w:t>
      </w:r>
      <w:r w:rsidR="00FD0915" w:rsidRPr="00384ADF">
        <w:rPr>
          <w:rFonts w:cs="Arial"/>
        </w:rPr>
        <w:t xml:space="preserve"> for the engagement circumstances</w:t>
      </w:r>
      <w:bookmarkEnd w:id="9"/>
      <w:r w:rsidR="009D037E" w:rsidRPr="00384ADF">
        <w:rPr>
          <w:rFonts w:cs="Arial"/>
        </w:rPr>
        <w:t>.</w:t>
      </w:r>
      <w:r w:rsidR="00CE7BCE" w:rsidRPr="00384ADF">
        <w:rPr>
          <w:rFonts w:cs="Arial"/>
        </w:rPr>
        <w:t xml:space="preserve"> </w:t>
      </w:r>
    </w:p>
    <w:p w14:paraId="3B7C21E2" w14:textId="185CFCED" w:rsidR="00CE7BCE" w:rsidRPr="00384ADF" w:rsidRDefault="00CE7BCE" w:rsidP="00445B02">
      <w:pPr>
        <w:pStyle w:val="NumList"/>
        <w:numPr>
          <w:ilvl w:val="0"/>
          <w:numId w:val="0"/>
        </w:numPr>
        <w:spacing w:line="312" w:lineRule="auto"/>
        <w:ind w:left="562"/>
      </w:pPr>
      <w:r w:rsidRPr="00384ADF">
        <w:t xml:space="preserve">The guidance is </w:t>
      </w:r>
      <w:r w:rsidR="00783C5C">
        <w:t>supported</w:t>
      </w:r>
      <w:r w:rsidR="00783C5C" w:rsidRPr="00384ADF">
        <w:t xml:space="preserve"> </w:t>
      </w:r>
      <w:r w:rsidRPr="00384ADF">
        <w:t xml:space="preserve">by </w:t>
      </w:r>
      <w:r w:rsidR="00783C5C">
        <w:t>considerations</w:t>
      </w:r>
      <w:r w:rsidR="00DB6496">
        <w:t xml:space="preserve"> </w:t>
      </w:r>
      <w:r w:rsidRPr="00384ADF">
        <w:t>that</w:t>
      </w:r>
      <w:r w:rsidR="00783C5C">
        <w:t xml:space="preserve"> may assist</w:t>
      </w:r>
      <w:r w:rsidRPr="00384ADF">
        <w:t xml:space="preserve"> the practitioner</w:t>
      </w:r>
      <w:r w:rsidR="00DB6496">
        <w:t xml:space="preserve"> in making professional judgments</w:t>
      </w:r>
      <w:r w:rsidR="00783C5C">
        <w:t xml:space="preserve"> in</w:t>
      </w:r>
      <w:r w:rsidRPr="00384ADF">
        <w:t xml:space="preserve"> </w:t>
      </w:r>
      <w:r w:rsidR="00783C5C" w:rsidRPr="00384ADF">
        <w:t>determin</w:t>
      </w:r>
      <w:r w:rsidR="00783C5C">
        <w:t>ing</w:t>
      </w:r>
      <w:r w:rsidR="00783C5C" w:rsidRPr="00384ADF">
        <w:t xml:space="preserve"> </w:t>
      </w:r>
      <w:r w:rsidRPr="00384ADF">
        <w:t>whether the</w:t>
      </w:r>
      <w:r w:rsidR="001D4629" w:rsidRPr="00384ADF">
        <w:t xml:space="preserve"> sustainability assurance</w:t>
      </w:r>
      <w:r w:rsidRPr="00384ADF">
        <w:t xml:space="preserve"> engagement exhibits the characteristics set out in </w:t>
      </w:r>
      <w:r w:rsidR="00BC0C11" w:rsidRPr="00384ADF">
        <w:t>the objective paragraph of this SAAEPS</w:t>
      </w:r>
      <w:r w:rsidRPr="00384ADF">
        <w:t xml:space="preserve">. These </w:t>
      </w:r>
      <w:r w:rsidR="00783C5C">
        <w:t>considerations</w:t>
      </w:r>
      <w:r w:rsidR="00783C5C" w:rsidRPr="00384ADF">
        <w:t xml:space="preserve"> </w:t>
      </w:r>
      <w:r w:rsidRPr="00384ADF">
        <w:t xml:space="preserve">are included as part of </w:t>
      </w:r>
      <w:r w:rsidR="00730CB7" w:rsidRPr="00384ADF">
        <w:t>the guidance</w:t>
      </w:r>
      <w:r w:rsidRPr="00384ADF">
        <w:t xml:space="preserve"> under each respective heading</w:t>
      </w:r>
      <w:r w:rsidR="00A73B3A" w:rsidRPr="00384ADF">
        <w:t xml:space="preserve">. </w:t>
      </w:r>
      <w:r w:rsidR="00783C5C">
        <w:t>T</w:t>
      </w:r>
      <w:r w:rsidR="00BC0C11" w:rsidRPr="00384ADF">
        <w:t xml:space="preserve">he </w:t>
      </w:r>
      <w:r w:rsidR="00783C5C">
        <w:t>considerations</w:t>
      </w:r>
      <w:r w:rsidR="00BC0C11" w:rsidRPr="00384ADF">
        <w:t xml:space="preserve"> included in this SAAEPS </w:t>
      </w:r>
      <w:r w:rsidR="00903504">
        <w:t>are</w:t>
      </w:r>
      <w:r w:rsidR="00903504" w:rsidRPr="00384ADF">
        <w:t xml:space="preserve"> </w:t>
      </w:r>
      <w:r w:rsidR="00BC0C11" w:rsidRPr="00384ADF">
        <w:t xml:space="preserve">not exhaustive and other </w:t>
      </w:r>
      <w:r w:rsidR="00783C5C">
        <w:t>considerations</w:t>
      </w:r>
      <w:r w:rsidR="00783C5C" w:rsidRPr="00384ADF">
        <w:t xml:space="preserve"> </w:t>
      </w:r>
      <w:r w:rsidR="00BC0C11" w:rsidRPr="00384ADF">
        <w:t xml:space="preserve">may be more appropriate in the circumstance of a particular sustainability assurance engagement. </w:t>
      </w:r>
      <w:r w:rsidR="00A73B3A" w:rsidRPr="00384ADF">
        <w:t xml:space="preserve">The list of </w:t>
      </w:r>
      <w:r w:rsidR="00783C5C">
        <w:t>considerations</w:t>
      </w:r>
      <w:r w:rsidR="00A73B3A" w:rsidRPr="00384ADF">
        <w:t xml:space="preserve"> </w:t>
      </w:r>
      <w:r w:rsidR="00837D8A">
        <w:t>is</w:t>
      </w:r>
      <w:r w:rsidR="00837D8A" w:rsidRPr="00384ADF">
        <w:t xml:space="preserve"> </w:t>
      </w:r>
      <w:r w:rsidR="00A73B3A" w:rsidRPr="00384ADF">
        <w:t xml:space="preserve">set out in </w:t>
      </w:r>
      <w:r w:rsidR="00A73B3A" w:rsidRPr="00384ADF">
        <w:rPr>
          <w:b/>
        </w:rPr>
        <w:t>Appendix A</w:t>
      </w:r>
      <w:r w:rsidR="00206D38" w:rsidRPr="00384ADF">
        <w:t xml:space="preserve">. </w:t>
      </w:r>
    </w:p>
    <w:p w14:paraId="31C02BBA" w14:textId="13732C79" w:rsidR="0050270C" w:rsidRPr="00384ADF" w:rsidRDefault="00EA3861" w:rsidP="001E4F3B">
      <w:pPr>
        <w:pStyle w:val="NumList"/>
        <w:spacing w:line="312" w:lineRule="auto"/>
        <w:ind w:left="561" w:hanging="562"/>
      </w:pPr>
      <w:r w:rsidRPr="00384ADF">
        <w:t>The process to establish whether</w:t>
      </w:r>
      <w:r w:rsidR="002A1879" w:rsidRPr="00384ADF">
        <w:t xml:space="preserve"> all</w:t>
      </w:r>
      <w:r w:rsidRPr="00384ADF">
        <w:t xml:space="preserve"> </w:t>
      </w:r>
      <w:r w:rsidRPr="00384ADF">
        <w:rPr>
          <w:rFonts w:cs="Arial"/>
        </w:rPr>
        <w:t xml:space="preserve">the preconditions for </w:t>
      </w:r>
      <w:r w:rsidR="001D4629" w:rsidRPr="00384ADF">
        <w:rPr>
          <w:rFonts w:cs="Arial"/>
        </w:rPr>
        <w:t xml:space="preserve">a sustainability </w:t>
      </w:r>
      <w:r w:rsidRPr="00384ADF">
        <w:rPr>
          <w:rFonts w:cs="Arial"/>
        </w:rPr>
        <w:t>assurance engagement are present is not linear</w:t>
      </w:r>
      <w:r w:rsidR="002A1879" w:rsidRPr="00384ADF">
        <w:rPr>
          <w:rFonts w:cs="Arial"/>
        </w:rPr>
        <w:t xml:space="preserve"> and </w:t>
      </w:r>
      <w:r w:rsidR="00450A4E" w:rsidRPr="00384ADF">
        <w:rPr>
          <w:rFonts w:cs="Arial"/>
        </w:rPr>
        <w:t>may be</w:t>
      </w:r>
      <w:r w:rsidR="002A1879" w:rsidRPr="00384ADF">
        <w:rPr>
          <w:rFonts w:cs="Arial"/>
        </w:rPr>
        <w:t xml:space="preserve"> </w:t>
      </w:r>
      <w:r w:rsidR="00DB647E" w:rsidRPr="00384ADF">
        <w:rPr>
          <w:rFonts w:cs="Arial"/>
        </w:rPr>
        <w:t>considered individually and collectively</w:t>
      </w:r>
      <w:r w:rsidRPr="00384ADF">
        <w:rPr>
          <w:rFonts w:cs="Arial"/>
        </w:rPr>
        <w:t xml:space="preserve">. </w:t>
      </w:r>
      <w:r w:rsidR="00DB647E" w:rsidRPr="00384ADF">
        <w:rPr>
          <w:rFonts w:cs="Arial"/>
        </w:rPr>
        <w:t>F</w:t>
      </w:r>
      <w:r w:rsidR="005D757C" w:rsidRPr="00384ADF">
        <w:rPr>
          <w:rFonts w:cs="Arial"/>
        </w:rPr>
        <w:t xml:space="preserve">or the purposes of this SAAEPS, </w:t>
      </w:r>
      <w:r w:rsidR="008809AD" w:rsidRPr="00384ADF">
        <w:rPr>
          <w:rFonts w:cs="Arial"/>
        </w:rPr>
        <w:t xml:space="preserve">an overview of the </w:t>
      </w:r>
      <w:r w:rsidR="005D757C" w:rsidRPr="00384ADF">
        <w:t>guidance on establish</w:t>
      </w:r>
      <w:r w:rsidR="00940957" w:rsidRPr="00384ADF">
        <w:t>ing</w:t>
      </w:r>
      <w:r w:rsidR="005D757C" w:rsidRPr="00384ADF">
        <w:t xml:space="preserve"> whether </w:t>
      </w:r>
      <w:r w:rsidR="001B0929" w:rsidRPr="00384ADF">
        <w:t>certain</w:t>
      </w:r>
      <w:r w:rsidR="005D757C" w:rsidRPr="00384ADF">
        <w:t xml:space="preserve"> aspects of the preconditions for </w:t>
      </w:r>
      <w:r w:rsidR="001D4629" w:rsidRPr="00384ADF">
        <w:t xml:space="preserve">a sustainability </w:t>
      </w:r>
      <w:r w:rsidR="005D757C" w:rsidRPr="00384ADF">
        <w:t xml:space="preserve">assurance engagement are present </w:t>
      </w:r>
      <w:r w:rsidR="00184232" w:rsidRPr="00384ADF">
        <w:t>is</w:t>
      </w:r>
      <w:r w:rsidR="005D757C" w:rsidRPr="00384ADF">
        <w:t xml:space="preserve"> set out in paragraph </w:t>
      </w:r>
      <w:r w:rsidR="008809AD" w:rsidRPr="00384ADF">
        <w:t>10</w:t>
      </w:r>
      <w:r w:rsidR="005D757C" w:rsidRPr="00384ADF">
        <w:t>.</w:t>
      </w:r>
      <w:r w:rsidR="00DB647E" w:rsidRPr="00384ADF">
        <w:t xml:space="preserve"> However, the</w:t>
      </w:r>
      <w:r w:rsidR="005F2ADA" w:rsidRPr="00384ADF">
        <w:t xml:space="preserve"> preconditions are</w:t>
      </w:r>
      <w:r w:rsidR="00DB647E" w:rsidRPr="00384ADF">
        <w:t xml:space="preserve"> interrelated</w:t>
      </w:r>
      <w:r w:rsidR="00184232" w:rsidRPr="00384ADF">
        <w:t xml:space="preserve">, since a conclusion relating to one </w:t>
      </w:r>
      <w:r w:rsidR="008809AD" w:rsidRPr="00384ADF">
        <w:t xml:space="preserve">precondition </w:t>
      </w:r>
      <w:r w:rsidR="00184232" w:rsidRPr="00384ADF">
        <w:t xml:space="preserve">is </w:t>
      </w:r>
      <w:r w:rsidR="001C1717" w:rsidRPr="00384ADF">
        <w:t xml:space="preserve">unlikely to be reached in isolation of the other </w:t>
      </w:r>
      <w:r w:rsidR="00DF1A70" w:rsidRPr="00384ADF">
        <w:t>preconditions</w:t>
      </w:r>
      <w:r w:rsidR="00184232" w:rsidRPr="00384ADF">
        <w:t>.</w:t>
      </w:r>
      <w:r w:rsidR="008A0475" w:rsidRPr="00384ADF">
        <w:t xml:space="preserve"> </w:t>
      </w:r>
      <w:bookmarkStart w:id="10" w:name="_Hlk518564870"/>
      <w:r w:rsidR="0050270C" w:rsidRPr="00384ADF">
        <w:t xml:space="preserve">A flowchart depicting the process to establish whether all </w:t>
      </w:r>
      <w:r w:rsidR="0050270C" w:rsidRPr="00384ADF">
        <w:rPr>
          <w:rFonts w:cs="Arial"/>
        </w:rPr>
        <w:t>the preconditions for a sustainability assurance engagement are present is</w:t>
      </w:r>
      <w:r w:rsidR="0050270C" w:rsidRPr="00384ADF">
        <w:t xml:space="preserve"> included in </w:t>
      </w:r>
      <w:r w:rsidR="0050270C" w:rsidRPr="00384ADF">
        <w:rPr>
          <w:b/>
        </w:rPr>
        <w:t>Appendix B</w:t>
      </w:r>
      <w:r w:rsidR="0050270C" w:rsidRPr="00384ADF">
        <w:t>.</w:t>
      </w:r>
    </w:p>
    <w:p w14:paraId="2885C7C2" w14:textId="79B9E22C" w:rsidR="00005BAC" w:rsidRPr="00384ADF" w:rsidRDefault="008F78D7" w:rsidP="001E4F3B">
      <w:pPr>
        <w:pStyle w:val="NumList"/>
        <w:spacing w:line="312" w:lineRule="auto"/>
        <w:ind w:left="561" w:hanging="562"/>
      </w:pPr>
      <w:r w:rsidRPr="00384ADF">
        <w:t>The lead-in to paragraph 24 of ISAE 3000 (Revised)</w:t>
      </w:r>
      <w:r w:rsidR="007A5897" w:rsidRPr="00384ADF">
        <w:t xml:space="preserve"> sets </w:t>
      </w:r>
      <w:r w:rsidR="002B6802" w:rsidRPr="00384ADF">
        <w:t>out</w:t>
      </w:r>
      <w:r w:rsidR="007A5897" w:rsidRPr="00384ADF">
        <w:t xml:space="preserve"> the nature of </w:t>
      </w:r>
      <w:r w:rsidR="00347E19" w:rsidRPr="00384ADF">
        <w:t>procedures</w:t>
      </w:r>
      <w:r w:rsidR="007A5897" w:rsidRPr="00384ADF">
        <w:t xml:space="preserve"> that the practitioner </w:t>
      </w:r>
      <w:r w:rsidR="00347E19" w:rsidRPr="00384ADF">
        <w:t>performs</w:t>
      </w:r>
      <w:r w:rsidR="007A5897" w:rsidRPr="00384ADF">
        <w:t xml:space="preserve"> </w:t>
      </w:r>
      <w:r w:rsidR="007A5897" w:rsidRPr="00384ADF">
        <w:rPr>
          <w:rFonts w:cs="Arial"/>
        </w:rPr>
        <w:t>to establish whether the preconditions for an assurance engagement are present</w:t>
      </w:r>
      <w:r w:rsidR="00347E19" w:rsidRPr="00384ADF">
        <w:rPr>
          <w:rFonts w:cs="Arial"/>
        </w:rPr>
        <w:t>, i.e.</w:t>
      </w:r>
      <w:r w:rsidR="007A5897" w:rsidRPr="00384ADF">
        <w:rPr>
          <w:rFonts w:cs="Arial"/>
        </w:rPr>
        <w:t xml:space="preserve"> on the basis of a preliminary knowledge of the engagement circumstances</w:t>
      </w:r>
      <w:r w:rsidR="00783C5C">
        <w:rPr>
          <w:rFonts w:cs="Arial"/>
        </w:rPr>
        <w:t xml:space="preserve"> </w:t>
      </w:r>
      <w:r w:rsidR="00783C5C" w:rsidRPr="00AB355B">
        <w:rPr>
          <w:rFonts w:cs="Arial"/>
        </w:rPr>
        <w:t xml:space="preserve">rather than on the more detailed considerations undertaken during the planning </w:t>
      </w:r>
      <w:r w:rsidR="00D95D77" w:rsidRPr="00AB355B">
        <w:rPr>
          <w:rFonts w:cs="Arial"/>
        </w:rPr>
        <w:t>phase</w:t>
      </w:r>
      <w:r w:rsidR="00783C5C" w:rsidRPr="00AB355B">
        <w:rPr>
          <w:rFonts w:cs="Arial"/>
        </w:rPr>
        <w:t xml:space="preserve"> of the assurance engagement</w:t>
      </w:r>
      <w:r w:rsidR="00783C5C">
        <w:rPr>
          <w:rFonts w:cs="Arial"/>
        </w:rPr>
        <w:t>,</w:t>
      </w:r>
      <w:r w:rsidR="007A5897" w:rsidRPr="00384ADF">
        <w:rPr>
          <w:rFonts w:cs="Arial"/>
        </w:rPr>
        <w:t xml:space="preserve"> and discussion with appropriate parties.</w:t>
      </w:r>
      <w:r w:rsidR="00347E19" w:rsidRPr="00384ADF">
        <w:rPr>
          <w:rFonts w:cs="Arial"/>
        </w:rPr>
        <w:t xml:space="preserve"> The extent of procedures</w:t>
      </w:r>
      <w:r w:rsidR="00327516" w:rsidRPr="00384ADF">
        <w:rPr>
          <w:rFonts w:cs="Arial"/>
        </w:rPr>
        <w:t xml:space="preserve"> (or work effort)</w:t>
      </w:r>
      <w:r w:rsidR="00347E19" w:rsidRPr="00384ADF">
        <w:rPr>
          <w:rFonts w:cs="Arial"/>
        </w:rPr>
        <w:t xml:space="preserve"> that the practitioner performs</w:t>
      </w:r>
      <w:r w:rsidR="009165EC" w:rsidRPr="00384ADF">
        <w:rPr>
          <w:rFonts w:cs="Arial"/>
        </w:rPr>
        <w:t xml:space="preserve"> is dependent on the practitioner’s professional judgment. However, the extent of </w:t>
      </w:r>
      <w:r w:rsidR="00005BAC" w:rsidRPr="00384ADF">
        <w:rPr>
          <w:rFonts w:cs="Arial"/>
        </w:rPr>
        <w:t xml:space="preserve">these procedures may </w:t>
      </w:r>
      <w:r w:rsidR="00D07C2D" w:rsidRPr="00384ADF">
        <w:rPr>
          <w:rFonts w:cs="Arial"/>
        </w:rPr>
        <w:t>differ depending on</w:t>
      </w:r>
      <w:r w:rsidR="00005BAC" w:rsidRPr="00384ADF">
        <w:rPr>
          <w:rFonts w:cs="Arial"/>
        </w:rPr>
        <w:t xml:space="preserve"> a number of factors, including, for example:</w:t>
      </w:r>
    </w:p>
    <w:p w14:paraId="0FC2238F" w14:textId="1AFDDD78" w:rsidR="005D6AB5" w:rsidRPr="00384ADF" w:rsidRDefault="005D6AB5" w:rsidP="00005BAC">
      <w:pPr>
        <w:pStyle w:val="NumList"/>
        <w:numPr>
          <w:ilvl w:val="1"/>
          <w:numId w:val="2"/>
        </w:numPr>
        <w:spacing w:line="312" w:lineRule="auto"/>
        <w:ind w:hanging="425"/>
      </w:pPr>
      <w:r w:rsidRPr="00384ADF">
        <w:t xml:space="preserve">The maturity of </w:t>
      </w:r>
      <w:r w:rsidR="001B6099" w:rsidRPr="00384ADF">
        <w:t>sustainability reporting within the reporting entity and within the industry of the reporting entity.</w:t>
      </w:r>
    </w:p>
    <w:p w14:paraId="2B3897F9" w14:textId="03667D70" w:rsidR="001D22AE" w:rsidRPr="00384ADF" w:rsidRDefault="00D07C2D" w:rsidP="00005BAC">
      <w:pPr>
        <w:pStyle w:val="NumList"/>
        <w:numPr>
          <w:ilvl w:val="1"/>
          <w:numId w:val="2"/>
        </w:numPr>
        <w:spacing w:line="312" w:lineRule="auto"/>
        <w:ind w:hanging="425"/>
      </w:pPr>
      <w:r w:rsidRPr="00384ADF">
        <w:rPr>
          <w:rFonts w:cs="Arial"/>
        </w:rPr>
        <w:t xml:space="preserve">Whether the reporting entity </w:t>
      </w:r>
      <w:r w:rsidR="001D22AE" w:rsidRPr="00384ADF">
        <w:rPr>
          <w:rFonts w:cs="Arial"/>
        </w:rPr>
        <w:t>uses a reporting framework that has been</w:t>
      </w:r>
      <w:r w:rsidR="008F78D7" w:rsidRPr="00384ADF">
        <w:rPr>
          <w:rFonts w:cs="Arial"/>
        </w:rPr>
        <w:t xml:space="preserve"> formalised</w:t>
      </w:r>
      <w:r w:rsidR="001D22AE" w:rsidRPr="00384ADF">
        <w:rPr>
          <w:rFonts w:cs="Arial"/>
        </w:rPr>
        <w:t>, for example:</w:t>
      </w:r>
    </w:p>
    <w:p w14:paraId="19D10A0A" w14:textId="2BE94934" w:rsidR="008920E2" w:rsidRPr="00384ADF" w:rsidRDefault="008920E2" w:rsidP="001D22AE">
      <w:pPr>
        <w:pStyle w:val="NumList"/>
        <w:numPr>
          <w:ilvl w:val="1"/>
          <w:numId w:val="9"/>
        </w:numPr>
        <w:tabs>
          <w:tab w:val="clear" w:pos="1134"/>
          <w:tab w:val="num" w:pos="1800"/>
        </w:tabs>
        <w:spacing w:line="312" w:lineRule="auto"/>
        <w:ind w:left="1800"/>
      </w:pPr>
      <w:r w:rsidRPr="00384ADF">
        <w:t>Embodied in law or regulation</w:t>
      </w:r>
      <w:r w:rsidR="00E4308F" w:rsidRPr="00384ADF">
        <w:t>;</w:t>
      </w:r>
    </w:p>
    <w:p w14:paraId="299E335A" w14:textId="2FAA0BE9" w:rsidR="001D22AE" w:rsidRPr="00384ADF" w:rsidRDefault="001D22AE" w:rsidP="001D22AE">
      <w:pPr>
        <w:pStyle w:val="NumList"/>
        <w:numPr>
          <w:ilvl w:val="1"/>
          <w:numId w:val="9"/>
        </w:numPr>
        <w:tabs>
          <w:tab w:val="clear" w:pos="1134"/>
          <w:tab w:val="num" w:pos="1800"/>
        </w:tabs>
        <w:spacing w:line="312" w:lineRule="auto"/>
        <w:ind w:left="1800"/>
      </w:pPr>
      <w:r w:rsidRPr="00384ADF">
        <w:t>Issued by authorised or recognised bodies of experts that follow a transparent due process</w:t>
      </w:r>
      <w:r w:rsidR="00C10B81" w:rsidRPr="00384ADF">
        <w:t>;</w:t>
      </w:r>
      <w:r w:rsidRPr="00384ADF">
        <w:t xml:space="preserve"> </w:t>
      </w:r>
    </w:p>
    <w:p w14:paraId="49860CD3" w14:textId="2997B014" w:rsidR="001D22AE" w:rsidRPr="00384ADF" w:rsidRDefault="001D22AE" w:rsidP="001D22AE">
      <w:pPr>
        <w:pStyle w:val="NumList"/>
        <w:numPr>
          <w:ilvl w:val="1"/>
          <w:numId w:val="9"/>
        </w:numPr>
        <w:tabs>
          <w:tab w:val="clear" w:pos="1134"/>
          <w:tab w:val="num" w:pos="1800"/>
        </w:tabs>
        <w:spacing w:line="312" w:lineRule="auto"/>
        <w:ind w:left="1800"/>
      </w:pPr>
      <w:r w:rsidRPr="00384ADF">
        <w:t>Developed collectively by a group that does not follow a transparent due process</w:t>
      </w:r>
      <w:r w:rsidR="00C10B81" w:rsidRPr="00384ADF">
        <w:t>;</w:t>
      </w:r>
      <w:r w:rsidRPr="00384ADF">
        <w:t xml:space="preserve"> </w:t>
      </w:r>
      <w:r w:rsidR="00C10B81" w:rsidRPr="00384ADF">
        <w:t>and</w:t>
      </w:r>
    </w:p>
    <w:p w14:paraId="3555A0C7" w14:textId="5A2908ED" w:rsidR="007A5897" w:rsidRPr="00384ADF" w:rsidRDefault="001D22AE" w:rsidP="001D22AE">
      <w:pPr>
        <w:pStyle w:val="NumList"/>
        <w:numPr>
          <w:ilvl w:val="1"/>
          <w:numId w:val="9"/>
        </w:numPr>
        <w:tabs>
          <w:tab w:val="clear" w:pos="1134"/>
          <w:tab w:val="num" w:pos="1800"/>
        </w:tabs>
        <w:spacing w:line="312" w:lineRule="auto"/>
        <w:ind w:left="1800"/>
      </w:pPr>
      <w:r w:rsidRPr="00384ADF">
        <w:t xml:space="preserve">Specifically designed for the purpose of preparing the subject matter information in the particular circumstances of the </w:t>
      </w:r>
      <w:r w:rsidR="007F4409" w:rsidRPr="00384ADF">
        <w:t xml:space="preserve">sustainability assurance </w:t>
      </w:r>
      <w:r w:rsidRPr="00384ADF">
        <w:t>engagement.</w:t>
      </w:r>
      <w:r w:rsidR="009165EC" w:rsidRPr="00384ADF">
        <w:rPr>
          <w:rFonts w:cs="Arial"/>
        </w:rPr>
        <w:t xml:space="preserve"> </w:t>
      </w:r>
    </w:p>
    <w:p w14:paraId="75B8C788" w14:textId="452286EA" w:rsidR="001F652B" w:rsidRPr="00AB355B" w:rsidRDefault="001F652B" w:rsidP="00820397">
      <w:pPr>
        <w:pStyle w:val="NumList"/>
        <w:numPr>
          <w:ilvl w:val="1"/>
          <w:numId w:val="2"/>
        </w:numPr>
        <w:spacing w:line="312" w:lineRule="auto"/>
        <w:ind w:hanging="425"/>
      </w:pPr>
      <w:r w:rsidRPr="00AB355B">
        <w:t>When the sustainability assurance engagement is an initial engagement, it is likely that the work effort to determine whether the preconditions are present may be greater than in the case of a continuing engagement, especially when the entity’s process to prepare the sustainability report is in the early stages and still evolving, or when the sustainability assurance engagement is complex.</w:t>
      </w:r>
    </w:p>
    <w:p w14:paraId="7DFC5E9D" w14:textId="5EEE4422" w:rsidR="00820397" w:rsidRPr="00384ADF" w:rsidRDefault="00820397" w:rsidP="00820397">
      <w:pPr>
        <w:pStyle w:val="NumList"/>
        <w:numPr>
          <w:ilvl w:val="1"/>
          <w:numId w:val="2"/>
        </w:numPr>
        <w:spacing w:line="312" w:lineRule="auto"/>
        <w:ind w:hanging="425"/>
      </w:pPr>
      <w:r w:rsidRPr="00384ADF">
        <w:t>The extent of the practitioner’s knowledge and understanding of the reporting entity’s application of the reporting frameworks used.</w:t>
      </w:r>
    </w:p>
    <w:p w14:paraId="575F989C" w14:textId="00AC7A9B" w:rsidR="008920E2" w:rsidRPr="00384ADF" w:rsidRDefault="008920E2" w:rsidP="001D22AE">
      <w:pPr>
        <w:pStyle w:val="NumList"/>
        <w:numPr>
          <w:ilvl w:val="1"/>
          <w:numId w:val="2"/>
        </w:numPr>
        <w:spacing w:line="312" w:lineRule="auto"/>
        <w:ind w:hanging="425"/>
      </w:pPr>
      <w:r w:rsidRPr="00384ADF">
        <w:t>Whether the reporting entity uses one reporting framework, which applies to all</w:t>
      </w:r>
      <w:r w:rsidR="00CB46BA" w:rsidRPr="00384ADF">
        <w:t xml:space="preserve"> key performance indicators</w:t>
      </w:r>
      <w:r w:rsidRPr="00384ADF">
        <w:t xml:space="preserve"> </w:t>
      </w:r>
      <w:r w:rsidR="00CB46BA" w:rsidRPr="00384ADF">
        <w:t>(</w:t>
      </w:r>
      <w:r w:rsidRPr="00384ADF">
        <w:t>KPIs</w:t>
      </w:r>
      <w:r w:rsidR="00CB46BA" w:rsidRPr="00384ADF">
        <w:rPr>
          <w:rStyle w:val="FootnoteReference"/>
          <w:vertAlign w:val="superscript"/>
        </w:rPr>
        <w:footnoteReference w:id="12"/>
      </w:r>
      <w:r w:rsidR="00CB46BA" w:rsidRPr="00384ADF">
        <w:t>)</w:t>
      </w:r>
      <w:r w:rsidRPr="00384ADF">
        <w:t xml:space="preserve"> or whether, due to the nature of the KPIs, the reporting entity uses more than one reporting framework and/or an entity specific framework</w:t>
      </w:r>
      <w:r w:rsidR="00F303B0">
        <w:t>.</w:t>
      </w:r>
    </w:p>
    <w:p w14:paraId="1FCFB1D0" w14:textId="39FCF3D7" w:rsidR="001B6099" w:rsidRPr="00384ADF" w:rsidRDefault="001B6099" w:rsidP="001D22AE">
      <w:pPr>
        <w:pStyle w:val="NumList"/>
        <w:numPr>
          <w:ilvl w:val="1"/>
          <w:numId w:val="2"/>
        </w:numPr>
        <w:spacing w:line="312" w:lineRule="auto"/>
        <w:ind w:hanging="425"/>
      </w:pPr>
      <w:r w:rsidRPr="00384ADF">
        <w:t>Whether the KPIs reported on</w:t>
      </w:r>
      <w:r w:rsidR="007B7602" w:rsidRPr="00384ADF">
        <w:t xml:space="preserve"> by the reporting entity are commonly reported on within the industry of the reporting entity or whether the KPIs reported on are unique to the reporting entity.</w:t>
      </w:r>
    </w:p>
    <w:p w14:paraId="139C5386" w14:textId="0E8D1F43" w:rsidR="0028143F" w:rsidRPr="00384ADF" w:rsidRDefault="00E97774" w:rsidP="001D22AE">
      <w:pPr>
        <w:pStyle w:val="NumList"/>
        <w:numPr>
          <w:ilvl w:val="1"/>
          <w:numId w:val="2"/>
        </w:numPr>
        <w:spacing w:line="312" w:lineRule="auto"/>
        <w:ind w:hanging="425"/>
      </w:pPr>
      <w:r w:rsidRPr="00384ADF">
        <w:t>Whether there i</w:t>
      </w:r>
      <w:r w:rsidR="0028143F" w:rsidRPr="00384ADF">
        <w:t xml:space="preserve">s a common understanding of </w:t>
      </w:r>
      <w:r w:rsidR="000851FE" w:rsidRPr="00384ADF">
        <w:t>how KPIs are defined</w:t>
      </w:r>
      <w:r w:rsidRPr="00384ADF">
        <w:t>/calculated</w:t>
      </w:r>
      <w:r w:rsidR="0028143F" w:rsidRPr="00384ADF">
        <w:t xml:space="preserve"> within the industry</w:t>
      </w:r>
      <w:r w:rsidRPr="00384ADF">
        <w:t xml:space="preserve"> of the reporting entity even if there is no formal guidance.</w:t>
      </w:r>
    </w:p>
    <w:p w14:paraId="6B5E18CB" w14:textId="25A8E8BE" w:rsidR="00EA3861" w:rsidRPr="00384ADF" w:rsidRDefault="0050270C" w:rsidP="001E4F3B">
      <w:pPr>
        <w:pStyle w:val="NumList"/>
        <w:spacing w:line="312" w:lineRule="auto"/>
        <w:ind w:left="561" w:hanging="562"/>
      </w:pPr>
      <w:r w:rsidRPr="00384ADF">
        <w:t>A</w:t>
      </w:r>
      <w:r w:rsidR="008A0475" w:rsidRPr="00384ADF">
        <w:t>fter the</w:t>
      </w:r>
      <w:r w:rsidR="001D4629" w:rsidRPr="00384ADF">
        <w:t xml:space="preserve"> sustainability</w:t>
      </w:r>
      <w:r w:rsidR="008A0475" w:rsidRPr="00384ADF">
        <w:t xml:space="preserve"> assurance engagement has been accepted, </w:t>
      </w:r>
      <w:r w:rsidR="00B81618" w:rsidRPr="00384ADF">
        <w:t>if it is discovered that one or more preconditions for the</w:t>
      </w:r>
      <w:r w:rsidR="001D4629" w:rsidRPr="00384ADF">
        <w:t xml:space="preserve"> sustainability</w:t>
      </w:r>
      <w:r w:rsidR="00B81618" w:rsidRPr="00384ADF">
        <w:t xml:space="preserve"> assurance engagement is not </w:t>
      </w:r>
      <w:r w:rsidR="00B85A40" w:rsidRPr="00384ADF">
        <w:t>present</w:t>
      </w:r>
      <w:r w:rsidR="00B81618" w:rsidRPr="00384ADF">
        <w:t xml:space="preserve"> or that some or all of the applicable criteria are unsuitable or some or all of the underlying subject matter is not appropriate for the </w:t>
      </w:r>
      <w:r w:rsidR="00513FB6" w:rsidRPr="00384ADF">
        <w:t xml:space="preserve">sustainability </w:t>
      </w:r>
      <w:r w:rsidR="00B81618" w:rsidRPr="00384ADF">
        <w:t>assurance engagement, the practitioner is required to comply with paragraphs 42 and 43 of ISAE 3000 (Revised).</w:t>
      </w:r>
      <w:bookmarkEnd w:id="10"/>
    </w:p>
    <w:p w14:paraId="4CCC17E9" w14:textId="5BF5995D" w:rsidR="00134A38" w:rsidRPr="00384ADF" w:rsidRDefault="00134A38" w:rsidP="001E4F3B">
      <w:pPr>
        <w:pStyle w:val="NumList"/>
        <w:spacing w:line="312" w:lineRule="auto"/>
        <w:ind w:left="561"/>
      </w:pPr>
      <w:r w:rsidRPr="00384ADF">
        <w:t xml:space="preserve">This SAAEPS recommends that </w:t>
      </w:r>
      <w:r w:rsidR="00513FB6" w:rsidRPr="00384ADF">
        <w:rPr>
          <w:rFonts w:cs="Arial"/>
        </w:rPr>
        <w:t>determin</w:t>
      </w:r>
      <w:r w:rsidR="0050270C" w:rsidRPr="00384ADF">
        <w:rPr>
          <w:rFonts w:cs="Arial"/>
        </w:rPr>
        <w:t>ing</w:t>
      </w:r>
      <w:r w:rsidR="00513FB6" w:rsidRPr="00384ADF">
        <w:rPr>
          <w:rFonts w:cs="Arial"/>
        </w:rPr>
        <w:t xml:space="preserve"> whether the sustainability assurance engagement exhibits a rational purpose</w:t>
      </w:r>
      <w:r w:rsidRPr="00384ADF">
        <w:t xml:space="preserve"> be </w:t>
      </w:r>
      <w:r w:rsidR="0050270C" w:rsidRPr="00384ADF">
        <w:t xml:space="preserve">established </w:t>
      </w:r>
      <w:r w:rsidRPr="00384ADF">
        <w:t>first</w:t>
      </w:r>
      <w:r w:rsidR="00385C28" w:rsidRPr="00384ADF">
        <w:t xml:space="preserve">. This is </w:t>
      </w:r>
      <w:r w:rsidRPr="00384ADF">
        <w:t>not because this is the most important precondition, but because th</w:t>
      </w:r>
      <w:r w:rsidR="00513FB6" w:rsidRPr="00384ADF">
        <w:t>is</w:t>
      </w:r>
      <w:r w:rsidRPr="00384ADF">
        <w:t xml:space="preserve"> </w:t>
      </w:r>
      <w:r w:rsidR="00513FB6" w:rsidRPr="00384ADF">
        <w:t>determination</w:t>
      </w:r>
      <w:r w:rsidRPr="00384ADF">
        <w:t xml:space="preserve"> provides relevant information to be considered when </w:t>
      </w:r>
      <w:r w:rsidR="0050270C" w:rsidRPr="00384ADF">
        <w:rPr>
          <w:rFonts w:cs="Arial"/>
        </w:rPr>
        <w:t>determining whether the sustainability assurance engagement exhibits</w:t>
      </w:r>
      <w:r w:rsidR="00385C28" w:rsidRPr="00384ADF">
        <w:rPr>
          <w:rFonts w:cs="Arial"/>
        </w:rPr>
        <w:t xml:space="preserve"> that</w:t>
      </w:r>
      <w:r w:rsidR="0050270C"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Pr="00384ADF">
        <w:t xml:space="preserve"> that follows in this SAAEPS.</w:t>
      </w:r>
    </w:p>
    <w:p w14:paraId="23F5E48E" w14:textId="63D61D17" w:rsidR="004B253D" w:rsidRPr="00384ADF" w:rsidRDefault="004B253D" w:rsidP="00CD4843">
      <w:pPr>
        <w:pStyle w:val="Heading1"/>
        <w:rPr>
          <w:rFonts w:hint="eastAsia"/>
        </w:rPr>
      </w:pPr>
      <w:bookmarkStart w:id="11" w:name="_Toc352109108"/>
      <w:bookmarkStart w:id="12" w:name="_Toc43704044"/>
      <w:bookmarkEnd w:id="2"/>
      <w:bookmarkEnd w:id="3"/>
      <w:bookmarkEnd w:id="4"/>
      <w:bookmarkEnd w:id="5"/>
      <w:bookmarkEnd w:id="6"/>
      <w:bookmarkEnd w:id="7"/>
      <w:r w:rsidRPr="00384ADF">
        <w:t xml:space="preserve">Effective </w:t>
      </w:r>
      <w:r w:rsidR="006F3B6E" w:rsidRPr="00384ADF">
        <w:t>Date</w:t>
      </w:r>
      <w:bookmarkEnd w:id="11"/>
      <w:bookmarkEnd w:id="12"/>
    </w:p>
    <w:p w14:paraId="2B4DE53E" w14:textId="63948582" w:rsidR="004B253D" w:rsidRPr="00384ADF" w:rsidRDefault="004B253D" w:rsidP="00445B02">
      <w:pPr>
        <w:pStyle w:val="NumList"/>
        <w:spacing w:line="312" w:lineRule="auto"/>
        <w:ind w:left="562" w:hanging="562"/>
      </w:pPr>
      <w:r w:rsidRPr="00384ADF">
        <w:t>This SAA</w:t>
      </w:r>
      <w:r w:rsidR="00991FAE" w:rsidRPr="00384ADF">
        <w:t>E</w:t>
      </w:r>
      <w:r w:rsidRPr="00384ADF">
        <w:t xml:space="preserve">PS is </w:t>
      </w:r>
      <w:r w:rsidR="00DD4AF0" w:rsidRPr="00384ADF">
        <w:rPr>
          <w:rFonts w:eastAsia="Times New Roman" w:cs="Arial"/>
          <w:color w:val="000000"/>
          <w:lang w:eastAsia="en-ZA"/>
        </w:rPr>
        <w:t xml:space="preserve">effective </w:t>
      </w:r>
      <w:r w:rsidR="006627F5" w:rsidRPr="00384ADF">
        <w:rPr>
          <w:rFonts w:eastAsia="Times New Roman" w:cs="Arial"/>
          <w:color w:val="000000"/>
          <w:lang w:eastAsia="en-ZA"/>
        </w:rPr>
        <w:t xml:space="preserve">for the </w:t>
      </w:r>
      <w:r w:rsidR="006627F5" w:rsidRPr="00384ADF">
        <w:rPr>
          <w:rFonts w:eastAsia="Times New Roman" w:cs="Arial"/>
          <w:i/>
          <w:color w:val="000000"/>
          <w:lang w:eastAsia="en-ZA"/>
        </w:rPr>
        <w:t>Acceptance and Continuance – Preconditions for the Assurance Engagement</w:t>
      </w:r>
      <w:r w:rsidR="006627F5" w:rsidRPr="00384ADF">
        <w:rPr>
          <w:rFonts w:eastAsia="Times New Roman" w:cs="Arial"/>
          <w:color w:val="000000"/>
          <w:lang w:eastAsia="en-ZA"/>
        </w:rPr>
        <w:t xml:space="preserve"> phase of the</w:t>
      </w:r>
      <w:r w:rsidR="0050270C" w:rsidRPr="00384ADF">
        <w:rPr>
          <w:rFonts w:eastAsia="Times New Roman" w:cs="Arial"/>
          <w:color w:val="000000"/>
          <w:lang w:eastAsia="en-ZA"/>
        </w:rPr>
        <w:t xml:space="preserve"> sustainability</w:t>
      </w:r>
      <w:r w:rsidR="006627F5" w:rsidRPr="00384ADF">
        <w:rPr>
          <w:rFonts w:eastAsia="Times New Roman" w:cs="Arial"/>
          <w:color w:val="000000"/>
          <w:lang w:eastAsia="en-ZA"/>
        </w:rPr>
        <w:t xml:space="preserve"> assurance </w:t>
      </w:r>
      <w:r w:rsidR="00702F30" w:rsidRPr="00384ADF">
        <w:rPr>
          <w:rFonts w:eastAsia="Times New Roman" w:cs="Arial"/>
          <w:color w:val="000000"/>
          <w:lang w:eastAsia="en-ZA"/>
        </w:rPr>
        <w:t>engagement</w:t>
      </w:r>
      <w:r w:rsidR="006627F5" w:rsidRPr="00384ADF">
        <w:rPr>
          <w:rFonts w:eastAsia="Times New Roman" w:cs="Arial"/>
          <w:color w:val="000000"/>
          <w:lang w:eastAsia="en-ZA"/>
        </w:rPr>
        <w:t xml:space="preserve"> for </w:t>
      </w:r>
      <w:r w:rsidR="00206BA9" w:rsidRPr="00384ADF">
        <w:rPr>
          <w:rFonts w:eastAsia="Times New Roman" w:cs="Arial"/>
          <w:color w:val="000000"/>
          <w:lang w:eastAsia="en-ZA"/>
        </w:rPr>
        <w:t xml:space="preserve">reporting </w:t>
      </w:r>
      <w:r w:rsidR="006627F5" w:rsidRPr="00384ADF">
        <w:rPr>
          <w:rFonts w:eastAsia="Times New Roman" w:cs="Arial"/>
          <w:color w:val="000000"/>
          <w:lang w:eastAsia="en-ZA"/>
        </w:rPr>
        <w:t xml:space="preserve">periods beginning on or after 15 December </w:t>
      </w:r>
      <w:r w:rsidR="00D81622" w:rsidRPr="00384ADF">
        <w:rPr>
          <w:rFonts w:eastAsia="Times New Roman" w:cs="Arial"/>
          <w:color w:val="000000"/>
          <w:lang w:eastAsia="en-ZA"/>
        </w:rPr>
        <w:t>2020</w:t>
      </w:r>
      <w:r w:rsidR="00853DB6" w:rsidRPr="00384ADF">
        <w:t>.</w:t>
      </w:r>
      <w:r w:rsidR="00CB46BA" w:rsidRPr="00384ADF">
        <w:t xml:space="preserve"> Early adoption is permitted.</w:t>
      </w:r>
    </w:p>
    <w:p w14:paraId="66604434" w14:textId="7992309C" w:rsidR="00271F5F" w:rsidRPr="00384ADF" w:rsidRDefault="00271F5F" w:rsidP="00CD4843">
      <w:pPr>
        <w:pStyle w:val="Heading1"/>
        <w:rPr>
          <w:rFonts w:hint="eastAsia"/>
        </w:rPr>
      </w:pPr>
      <w:bookmarkStart w:id="13" w:name="_Toc43704045"/>
      <w:r w:rsidRPr="00384ADF">
        <w:t>Objective</w:t>
      </w:r>
      <w:bookmarkEnd w:id="13"/>
      <w:r w:rsidRPr="00384ADF">
        <w:t xml:space="preserve"> </w:t>
      </w:r>
    </w:p>
    <w:p w14:paraId="39EEC756" w14:textId="775ED07A" w:rsidR="00EC69B5" w:rsidRPr="00384ADF" w:rsidRDefault="00D72B59" w:rsidP="00743AD0">
      <w:pPr>
        <w:pStyle w:val="NumList"/>
        <w:spacing w:after="80" w:line="312" w:lineRule="auto"/>
        <w:rPr>
          <w:rFonts w:cs="Arial"/>
        </w:rPr>
      </w:pPr>
      <w:r w:rsidRPr="00384ADF">
        <w:rPr>
          <w:rFonts w:cs="Arial"/>
        </w:rPr>
        <w:t>T</w:t>
      </w:r>
      <w:r w:rsidR="008C6CF9" w:rsidRPr="00384ADF">
        <w:rPr>
          <w:rFonts w:cs="Arial"/>
        </w:rPr>
        <w:t xml:space="preserve">he objective of </w:t>
      </w:r>
      <w:r w:rsidR="00A02B84" w:rsidRPr="00384ADF">
        <w:rPr>
          <w:rFonts w:cs="Arial"/>
        </w:rPr>
        <w:t xml:space="preserve">a </w:t>
      </w:r>
      <w:r w:rsidR="008C6CF9" w:rsidRPr="00384ADF">
        <w:rPr>
          <w:rFonts w:cs="Arial"/>
        </w:rPr>
        <w:t xml:space="preserve">practitioner </w:t>
      </w:r>
      <w:r w:rsidR="00061001" w:rsidRPr="00384ADF">
        <w:rPr>
          <w:rFonts w:cs="Arial"/>
        </w:rPr>
        <w:t>is t</w:t>
      </w:r>
      <w:r w:rsidR="00EC69B5" w:rsidRPr="00384ADF">
        <w:rPr>
          <w:rFonts w:cs="Arial"/>
        </w:rPr>
        <w:t>o establish whether</w:t>
      </w:r>
      <w:r w:rsidR="001B0929" w:rsidRPr="00384ADF">
        <w:rPr>
          <w:rFonts w:cs="Arial"/>
        </w:rPr>
        <w:t xml:space="preserve"> certain</w:t>
      </w:r>
      <w:r w:rsidR="00A33DE5" w:rsidRPr="00384ADF">
        <w:rPr>
          <w:rFonts w:cs="Arial"/>
        </w:rPr>
        <w:t xml:space="preserve"> aspects of</w:t>
      </w:r>
      <w:r w:rsidR="00EC69B5" w:rsidRPr="00384ADF">
        <w:rPr>
          <w:rFonts w:cs="Arial"/>
        </w:rPr>
        <w:t xml:space="preserve"> the preconditions for an assurance engagement are present by </w:t>
      </w:r>
      <w:r w:rsidR="00A33DE5" w:rsidRPr="00384ADF">
        <w:rPr>
          <w:rFonts w:cs="Arial"/>
        </w:rPr>
        <w:t xml:space="preserve">determining </w:t>
      </w:r>
      <w:r w:rsidR="00EC69B5" w:rsidRPr="00384ADF">
        <w:rPr>
          <w:rFonts w:cs="Arial"/>
        </w:rPr>
        <w:t xml:space="preserve">whether </w:t>
      </w:r>
      <w:r w:rsidR="0085381D" w:rsidRPr="00384ADF">
        <w:rPr>
          <w:rFonts w:cs="Arial"/>
        </w:rPr>
        <w:t xml:space="preserve">a sustainability assurance </w:t>
      </w:r>
      <w:r w:rsidR="00EC69B5" w:rsidRPr="00384ADF">
        <w:rPr>
          <w:rFonts w:cs="Arial"/>
        </w:rPr>
        <w:t>engagement exhibits the following characteristics</w:t>
      </w:r>
      <w:r w:rsidR="002A2062" w:rsidRPr="00384ADF">
        <w:rPr>
          <w:rFonts w:cs="Arial"/>
        </w:rPr>
        <w:t xml:space="preserve"> (among other preconditions for an assurance engagement)</w:t>
      </w:r>
      <w:r w:rsidR="00EC69B5" w:rsidRPr="00384ADF">
        <w:rPr>
          <w:rFonts w:cs="Arial"/>
        </w:rPr>
        <w:t>:</w:t>
      </w:r>
    </w:p>
    <w:p w14:paraId="60AD998C" w14:textId="214190D5" w:rsidR="003B2513" w:rsidRPr="00384ADF" w:rsidRDefault="003B2513" w:rsidP="00743AD0">
      <w:pPr>
        <w:pStyle w:val="NumList"/>
        <w:numPr>
          <w:ilvl w:val="1"/>
          <w:numId w:val="2"/>
        </w:numPr>
        <w:spacing w:after="80" w:line="312" w:lineRule="auto"/>
        <w:ind w:hanging="425"/>
        <w:rPr>
          <w:rFonts w:cs="Arial"/>
        </w:rPr>
      </w:pPr>
      <w:r w:rsidRPr="00384ADF">
        <w:rPr>
          <w:rFonts w:cs="Arial"/>
        </w:rPr>
        <w:t>A rational purpose</w:t>
      </w:r>
      <w:r w:rsidR="00B85A40" w:rsidRPr="00384ADF">
        <w:rPr>
          <w:rStyle w:val="FootnoteReference"/>
          <w:rFonts w:cs="Arial"/>
          <w:vertAlign w:val="superscript"/>
        </w:rPr>
        <w:footnoteReference w:id="13"/>
      </w:r>
      <w:r w:rsidRPr="00384ADF">
        <w:rPr>
          <w:rFonts w:cs="Arial"/>
        </w:rPr>
        <w:t>;</w:t>
      </w:r>
    </w:p>
    <w:p w14:paraId="40C93BE1" w14:textId="28AB6F55" w:rsidR="00EC69B5" w:rsidRPr="00384ADF" w:rsidRDefault="00EC69B5" w:rsidP="00743AD0">
      <w:pPr>
        <w:pStyle w:val="NumList"/>
        <w:numPr>
          <w:ilvl w:val="1"/>
          <w:numId w:val="2"/>
        </w:numPr>
        <w:spacing w:after="80" w:line="312" w:lineRule="auto"/>
        <w:ind w:hanging="425"/>
        <w:rPr>
          <w:rFonts w:cs="Arial"/>
        </w:rPr>
      </w:pPr>
      <w:r w:rsidRPr="00384ADF">
        <w:rPr>
          <w:rFonts w:cs="Arial"/>
        </w:rPr>
        <w:t>The underlying subject matter is appropriate</w:t>
      </w:r>
      <w:r w:rsidR="007D7C21" w:rsidRPr="00384ADF">
        <w:rPr>
          <w:rStyle w:val="FootnoteReference"/>
          <w:rFonts w:cs="Arial"/>
          <w:vertAlign w:val="superscript"/>
        </w:rPr>
        <w:footnoteReference w:id="14"/>
      </w:r>
      <w:r w:rsidRPr="00384ADF">
        <w:rPr>
          <w:rFonts w:cs="Arial"/>
        </w:rPr>
        <w:t xml:space="preserve">; </w:t>
      </w:r>
      <w:r w:rsidR="003B2513" w:rsidRPr="00384ADF">
        <w:rPr>
          <w:rFonts w:cs="Arial"/>
        </w:rPr>
        <w:t>and</w:t>
      </w:r>
    </w:p>
    <w:p w14:paraId="461A88E4" w14:textId="77777777" w:rsidR="007D7C21" w:rsidRPr="00384ADF" w:rsidRDefault="00EC69B5" w:rsidP="00743AD0">
      <w:pPr>
        <w:pStyle w:val="NumList"/>
        <w:numPr>
          <w:ilvl w:val="1"/>
          <w:numId w:val="2"/>
        </w:numPr>
        <w:spacing w:after="80" w:line="312" w:lineRule="auto"/>
        <w:ind w:hanging="425"/>
        <w:rPr>
          <w:rFonts w:cs="Arial"/>
        </w:rPr>
      </w:pPr>
      <w:r w:rsidRPr="00384ADF">
        <w:rPr>
          <w:rFonts w:cs="Arial"/>
        </w:rPr>
        <w:t>The criteria that the practitioner expects to be applied in the preparation of the subject matter information are suitable for the engagement circumstances</w:t>
      </w:r>
      <w:r w:rsidR="007D7C21" w:rsidRPr="00384ADF">
        <w:rPr>
          <w:rFonts w:cs="Arial"/>
        </w:rPr>
        <w:t xml:space="preserve">, including that they exhibit the following characteristics: </w:t>
      </w:r>
    </w:p>
    <w:p w14:paraId="6EC5B06F" w14:textId="77777777" w:rsidR="007D7C21" w:rsidRPr="00384ADF" w:rsidRDefault="007D7C21" w:rsidP="007D7C21">
      <w:pPr>
        <w:pStyle w:val="NumList"/>
        <w:numPr>
          <w:ilvl w:val="1"/>
          <w:numId w:val="9"/>
        </w:numPr>
        <w:tabs>
          <w:tab w:val="clear" w:pos="1134"/>
          <w:tab w:val="num" w:pos="1800"/>
        </w:tabs>
        <w:spacing w:line="312" w:lineRule="auto"/>
        <w:ind w:left="1800"/>
        <w:rPr>
          <w:rFonts w:cs="Arial"/>
        </w:rPr>
      </w:pPr>
      <w:r w:rsidRPr="00384ADF">
        <w:rPr>
          <w:rFonts w:cs="Arial"/>
        </w:rPr>
        <w:t xml:space="preserve">Relevance; </w:t>
      </w:r>
    </w:p>
    <w:p w14:paraId="4D87D4C8" w14:textId="77777777" w:rsidR="007D7C21" w:rsidRPr="00384ADF" w:rsidRDefault="007D7C21" w:rsidP="007D7C21">
      <w:pPr>
        <w:pStyle w:val="NumList"/>
        <w:numPr>
          <w:ilvl w:val="1"/>
          <w:numId w:val="9"/>
        </w:numPr>
        <w:tabs>
          <w:tab w:val="clear" w:pos="1134"/>
          <w:tab w:val="num" w:pos="1800"/>
        </w:tabs>
        <w:spacing w:line="312" w:lineRule="auto"/>
        <w:ind w:left="1800"/>
        <w:rPr>
          <w:rFonts w:cs="Arial"/>
        </w:rPr>
      </w:pPr>
      <w:r w:rsidRPr="00384ADF">
        <w:rPr>
          <w:rFonts w:cs="Arial"/>
        </w:rPr>
        <w:t xml:space="preserve">Completeness; </w:t>
      </w:r>
    </w:p>
    <w:p w14:paraId="0B00EB49" w14:textId="77777777" w:rsidR="007D7C21" w:rsidRPr="00384ADF" w:rsidRDefault="007D7C21" w:rsidP="007D7C21">
      <w:pPr>
        <w:pStyle w:val="NumList"/>
        <w:numPr>
          <w:ilvl w:val="1"/>
          <w:numId w:val="9"/>
        </w:numPr>
        <w:tabs>
          <w:tab w:val="clear" w:pos="1134"/>
          <w:tab w:val="num" w:pos="1800"/>
        </w:tabs>
        <w:spacing w:line="312" w:lineRule="auto"/>
        <w:ind w:left="1800"/>
        <w:rPr>
          <w:rFonts w:cs="Arial"/>
        </w:rPr>
      </w:pPr>
      <w:r w:rsidRPr="00384ADF">
        <w:rPr>
          <w:rFonts w:cs="Arial"/>
        </w:rPr>
        <w:t xml:space="preserve">Reliability; </w:t>
      </w:r>
    </w:p>
    <w:p w14:paraId="1F33F0D0" w14:textId="600FF02E" w:rsidR="007D7C21" w:rsidRPr="00384ADF" w:rsidRDefault="007D7C21" w:rsidP="007D7C21">
      <w:pPr>
        <w:pStyle w:val="NumList"/>
        <w:numPr>
          <w:ilvl w:val="1"/>
          <w:numId w:val="9"/>
        </w:numPr>
        <w:tabs>
          <w:tab w:val="clear" w:pos="1134"/>
          <w:tab w:val="num" w:pos="1800"/>
        </w:tabs>
        <w:spacing w:line="312" w:lineRule="auto"/>
        <w:ind w:left="1800"/>
        <w:rPr>
          <w:rFonts w:cs="Arial"/>
        </w:rPr>
      </w:pPr>
      <w:r w:rsidRPr="00384ADF">
        <w:rPr>
          <w:rFonts w:cs="Arial"/>
        </w:rPr>
        <w:t xml:space="preserve">Neutrality; </w:t>
      </w:r>
      <w:r w:rsidR="00CD4843" w:rsidRPr="00384ADF">
        <w:rPr>
          <w:rFonts w:cs="Arial"/>
        </w:rPr>
        <w:t>and</w:t>
      </w:r>
    </w:p>
    <w:p w14:paraId="44DB7086" w14:textId="73E83118" w:rsidR="007D7C21" w:rsidRPr="00384ADF" w:rsidRDefault="007D7C21" w:rsidP="001E4F3B">
      <w:pPr>
        <w:pStyle w:val="NumList"/>
        <w:numPr>
          <w:ilvl w:val="1"/>
          <w:numId w:val="9"/>
        </w:numPr>
        <w:tabs>
          <w:tab w:val="clear" w:pos="1134"/>
          <w:tab w:val="num" w:pos="1800"/>
        </w:tabs>
        <w:spacing w:line="312" w:lineRule="auto"/>
        <w:ind w:left="1800"/>
        <w:rPr>
          <w:rFonts w:cs="Arial"/>
        </w:rPr>
      </w:pPr>
      <w:r w:rsidRPr="00384ADF">
        <w:rPr>
          <w:rFonts w:cs="Arial"/>
        </w:rPr>
        <w:t>Understandability</w:t>
      </w:r>
      <w:r w:rsidRPr="00384ADF">
        <w:rPr>
          <w:rStyle w:val="FootnoteReference"/>
          <w:rFonts w:cs="Arial"/>
          <w:vertAlign w:val="superscript"/>
        </w:rPr>
        <w:footnoteReference w:id="15"/>
      </w:r>
    </w:p>
    <w:p w14:paraId="56E9E3C3" w14:textId="63371096" w:rsidR="001C1717" w:rsidRPr="00384ADF" w:rsidRDefault="001C1717" w:rsidP="001E4F3B">
      <w:pPr>
        <w:pStyle w:val="NumList"/>
        <w:numPr>
          <w:ilvl w:val="0"/>
          <w:numId w:val="0"/>
        </w:numPr>
        <w:spacing w:after="80" w:line="312" w:lineRule="auto"/>
        <w:ind w:left="567"/>
        <w:rPr>
          <w:rFonts w:cs="Arial"/>
        </w:rPr>
      </w:pPr>
      <w:r w:rsidRPr="00384ADF">
        <w:rPr>
          <w:rFonts w:cs="Arial"/>
        </w:rPr>
        <w:t>and to prepare appropriate engagement documentation thereon.</w:t>
      </w:r>
    </w:p>
    <w:p w14:paraId="32E382EF" w14:textId="0F2F99D2" w:rsidR="00B74AE3" w:rsidRPr="00384ADF" w:rsidRDefault="00A32A73" w:rsidP="00384ADF">
      <w:pPr>
        <w:pStyle w:val="Heading1"/>
        <w:keepNext/>
        <w:rPr>
          <w:rFonts w:hint="eastAsia"/>
        </w:rPr>
      </w:pPr>
      <w:bookmarkStart w:id="14" w:name="_Toc43704046"/>
      <w:r w:rsidRPr="00384ADF">
        <w:t>Definition</w:t>
      </w:r>
      <w:r w:rsidR="00B74AE3" w:rsidRPr="00384ADF">
        <w:t>s</w:t>
      </w:r>
      <w:bookmarkEnd w:id="14"/>
    </w:p>
    <w:p w14:paraId="5D22CFFB" w14:textId="44ACF5D3" w:rsidR="00DE7CCE" w:rsidRPr="00384ADF" w:rsidRDefault="00DE7CCE" w:rsidP="00384ADF">
      <w:pPr>
        <w:pStyle w:val="NumList"/>
        <w:keepNext/>
        <w:widowControl/>
        <w:spacing w:line="312" w:lineRule="auto"/>
        <w:rPr>
          <w:rFonts w:cs="Arial"/>
        </w:rPr>
      </w:pPr>
      <w:r w:rsidRPr="00384ADF">
        <w:rPr>
          <w:rFonts w:cs="Arial"/>
        </w:rPr>
        <w:t>For purposes of this SAA</w:t>
      </w:r>
      <w:r w:rsidR="00DD4AF0" w:rsidRPr="00384ADF">
        <w:rPr>
          <w:rFonts w:cs="Arial"/>
        </w:rPr>
        <w:t>E</w:t>
      </w:r>
      <w:r w:rsidRPr="00384ADF">
        <w:rPr>
          <w:rFonts w:cs="Arial"/>
        </w:rPr>
        <w:t xml:space="preserve">PS, the following terms </w:t>
      </w:r>
      <w:r w:rsidR="00853DB6" w:rsidRPr="00384ADF">
        <w:rPr>
          <w:rFonts w:cs="Arial"/>
        </w:rPr>
        <w:t xml:space="preserve">defined in ISAE 3000 (Revised) </w:t>
      </w:r>
      <w:r w:rsidRPr="00384ADF">
        <w:rPr>
          <w:rFonts w:cs="Arial"/>
        </w:rPr>
        <w:t>have the</w:t>
      </w:r>
      <w:r w:rsidR="00013D67" w:rsidRPr="00384ADF">
        <w:rPr>
          <w:rFonts w:cs="Arial"/>
        </w:rPr>
        <w:t xml:space="preserve"> same</w:t>
      </w:r>
      <w:r w:rsidRPr="00384ADF">
        <w:rPr>
          <w:rFonts w:cs="Arial"/>
        </w:rPr>
        <w:t xml:space="preserve"> meanings attributed </w:t>
      </w:r>
      <w:r w:rsidR="00853DB6" w:rsidRPr="00384ADF">
        <w:rPr>
          <w:rFonts w:cs="Arial"/>
        </w:rPr>
        <w:t>to them</w:t>
      </w:r>
      <w:r w:rsidRPr="00384ADF">
        <w:rPr>
          <w:rFonts w:cs="Arial"/>
        </w:rPr>
        <w:t>:</w:t>
      </w:r>
    </w:p>
    <w:p w14:paraId="38BF9C74" w14:textId="501CDC0E" w:rsidR="007C04E0" w:rsidRPr="00384ADF" w:rsidRDefault="007C04E0" w:rsidP="00384ADF">
      <w:pPr>
        <w:pStyle w:val="NumList"/>
        <w:keepNext/>
        <w:widowControl/>
        <w:numPr>
          <w:ilvl w:val="1"/>
          <w:numId w:val="2"/>
        </w:numPr>
        <w:spacing w:line="312" w:lineRule="auto"/>
        <w:ind w:hanging="425"/>
        <w:rPr>
          <w:rFonts w:cs="Arial"/>
        </w:rPr>
      </w:pPr>
      <w:r w:rsidRPr="00384ADF">
        <w:rPr>
          <w:rFonts w:cs="Arial"/>
        </w:rPr>
        <w:t>Assurance engagement</w:t>
      </w:r>
      <w:r w:rsidRPr="00384ADF">
        <w:rPr>
          <w:rStyle w:val="FootnoteReference"/>
          <w:rFonts w:cs="Arial"/>
          <w:vertAlign w:val="superscript"/>
        </w:rPr>
        <w:footnoteReference w:id="16"/>
      </w:r>
      <w:r w:rsidRPr="00384ADF">
        <w:rPr>
          <w:rFonts w:cs="Arial"/>
        </w:rPr>
        <w:t>.</w:t>
      </w:r>
    </w:p>
    <w:p w14:paraId="0749FDD2" w14:textId="6064ED0F" w:rsidR="00415B07" w:rsidRPr="00384ADF" w:rsidRDefault="00415B07" w:rsidP="001E4F3B">
      <w:pPr>
        <w:pStyle w:val="NumList"/>
        <w:numPr>
          <w:ilvl w:val="1"/>
          <w:numId w:val="2"/>
        </w:numPr>
        <w:spacing w:line="312" w:lineRule="auto"/>
        <w:ind w:hanging="425"/>
        <w:rPr>
          <w:rFonts w:cs="Arial"/>
        </w:rPr>
      </w:pPr>
      <w:r w:rsidRPr="00384ADF">
        <w:rPr>
          <w:rFonts w:cs="Arial"/>
        </w:rPr>
        <w:t>Criteria</w:t>
      </w:r>
      <w:r w:rsidRPr="00384ADF">
        <w:rPr>
          <w:rFonts w:cs="Arial"/>
          <w:vertAlign w:val="superscript"/>
        </w:rPr>
        <w:footnoteReference w:id="17"/>
      </w:r>
      <w:r w:rsidRPr="00384ADF">
        <w:rPr>
          <w:rFonts w:cs="Arial"/>
        </w:rPr>
        <w:t>.</w:t>
      </w:r>
    </w:p>
    <w:p w14:paraId="4459A33D" w14:textId="1A2F3561" w:rsidR="009C37C2" w:rsidRPr="00384ADF" w:rsidRDefault="009C37C2" w:rsidP="001E4F3B">
      <w:pPr>
        <w:pStyle w:val="NumList"/>
        <w:numPr>
          <w:ilvl w:val="1"/>
          <w:numId w:val="2"/>
        </w:numPr>
        <w:spacing w:line="312" w:lineRule="auto"/>
        <w:ind w:hanging="425"/>
        <w:rPr>
          <w:rFonts w:cs="Arial"/>
        </w:rPr>
      </w:pPr>
      <w:r w:rsidRPr="00384ADF">
        <w:rPr>
          <w:rFonts w:cs="Arial"/>
        </w:rPr>
        <w:t>Engagement circumstances</w:t>
      </w:r>
      <w:r w:rsidRPr="00384ADF">
        <w:rPr>
          <w:rStyle w:val="FootnoteReference"/>
          <w:rFonts w:cs="Arial"/>
          <w:vertAlign w:val="superscript"/>
        </w:rPr>
        <w:footnoteReference w:id="18"/>
      </w:r>
      <w:r w:rsidRPr="00384ADF">
        <w:rPr>
          <w:rFonts w:cs="Arial"/>
        </w:rPr>
        <w:t>.</w:t>
      </w:r>
    </w:p>
    <w:p w14:paraId="2A063FB7" w14:textId="3CBA7584" w:rsidR="007D6986" w:rsidRPr="00384ADF" w:rsidRDefault="00FD3155" w:rsidP="001E4F3B">
      <w:pPr>
        <w:pStyle w:val="NumList"/>
        <w:numPr>
          <w:ilvl w:val="1"/>
          <w:numId w:val="2"/>
        </w:numPr>
        <w:spacing w:line="312" w:lineRule="auto"/>
        <w:ind w:hanging="425"/>
        <w:rPr>
          <w:rFonts w:cs="Arial"/>
        </w:rPr>
      </w:pPr>
      <w:r w:rsidRPr="00384ADF">
        <w:rPr>
          <w:rFonts w:cs="Arial"/>
        </w:rPr>
        <w:t>Intended users</w:t>
      </w:r>
      <w:r w:rsidRPr="00384ADF">
        <w:rPr>
          <w:rStyle w:val="FootnoteReference"/>
          <w:rFonts w:cs="Arial"/>
          <w:vertAlign w:val="superscript"/>
        </w:rPr>
        <w:footnoteReference w:id="19"/>
      </w:r>
      <w:r w:rsidRPr="00384ADF">
        <w:rPr>
          <w:rFonts w:cs="Arial"/>
        </w:rPr>
        <w:t>.</w:t>
      </w:r>
    </w:p>
    <w:p w14:paraId="5AC3B456" w14:textId="6FA15831" w:rsidR="00415B07" w:rsidRPr="00384ADF" w:rsidRDefault="00415B07" w:rsidP="001E4F3B">
      <w:pPr>
        <w:pStyle w:val="NumList"/>
        <w:numPr>
          <w:ilvl w:val="1"/>
          <w:numId w:val="2"/>
        </w:numPr>
        <w:spacing w:line="312" w:lineRule="auto"/>
        <w:ind w:hanging="425"/>
        <w:rPr>
          <w:rFonts w:cs="Arial"/>
        </w:rPr>
      </w:pPr>
      <w:r w:rsidRPr="00384ADF">
        <w:rPr>
          <w:rFonts w:cs="Arial"/>
        </w:rPr>
        <w:t>Subject matter information</w:t>
      </w:r>
      <w:r w:rsidRPr="00384ADF">
        <w:rPr>
          <w:rFonts w:cs="Arial"/>
          <w:vertAlign w:val="superscript"/>
        </w:rPr>
        <w:footnoteReference w:id="20"/>
      </w:r>
      <w:r w:rsidRPr="00384ADF">
        <w:rPr>
          <w:rFonts w:cs="Arial"/>
        </w:rPr>
        <w:t>.</w:t>
      </w:r>
    </w:p>
    <w:p w14:paraId="199BCBC7" w14:textId="13F85CB4" w:rsidR="00DB3C5D" w:rsidRPr="00384ADF" w:rsidRDefault="00DB3C5D" w:rsidP="001E4F3B">
      <w:pPr>
        <w:pStyle w:val="NumList"/>
        <w:numPr>
          <w:ilvl w:val="1"/>
          <w:numId w:val="2"/>
        </w:numPr>
        <w:spacing w:line="312" w:lineRule="auto"/>
        <w:ind w:hanging="425"/>
      </w:pPr>
      <w:r w:rsidRPr="00384ADF">
        <w:rPr>
          <w:rFonts w:cs="Arial"/>
        </w:rPr>
        <w:t>Underlying subject matter</w:t>
      </w:r>
      <w:r w:rsidR="00415B07" w:rsidRPr="00384ADF">
        <w:rPr>
          <w:rStyle w:val="FootnoteReference"/>
          <w:vertAlign w:val="superscript"/>
        </w:rPr>
        <w:footnoteReference w:id="21"/>
      </w:r>
      <w:r w:rsidRPr="00384ADF">
        <w:t xml:space="preserve">. </w:t>
      </w:r>
    </w:p>
    <w:p w14:paraId="7E77728B" w14:textId="77777777" w:rsidR="00D37E00" w:rsidRPr="00384ADF" w:rsidRDefault="00D37E00">
      <w:pPr>
        <w:pStyle w:val="NumList"/>
        <w:spacing w:line="312" w:lineRule="auto"/>
      </w:pPr>
      <w:r w:rsidRPr="00384ADF">
        <w:t>A stakeholder is defined as an “entity or individual that can reasonably be expected to be significantly affected by the reporting organisation’s activities, products and services, or whose actions can reasonably be expected to affect the ability of the organisation to successfully implement its strategies and achieve its objectives.</w:t>
      </w:r>
    </w:p>
    <w:p w14:paraId="47723FAC" w14:textId="77777777" w:rsidR="00D37E00" w:rsidRPr="00384ADF" w:rsidRDefault="00D37E00" w:rsidP="00242C02">
      <w:pPr>
        <w:pStyle w:val="NumList"/>
        <w:numPr>
          <w:ilvl w:val="0"/>
          <w:numId w:val="0"/>
        </w:numPr>
        <w:spacing w:line="312" w:lineRule="auto"/>
        <w:ind w:left="567"/>
        <w:rPr>
          <w:i/>
          <w:color w:val="000000"/>
          <w:lang w:val="en-US"/>
        </w:rPr>
      </w:pPr>
      <w:r w:rsidRPr="00384ADF">
        <w:rPr>
          <w:b/>
          <w:bCs/>
          <w:i/>
          <w:color w:val="000000"/>
          <w:lang w:val="en-US"/>
        </w:rPr>
        <w:t>Note 1:</w:t>
      </w:r>
      <w:r w:rsidRPr="00384ADF">
        <w:rPr>
          <w:i/>
          <w:color w:val="000000"/>
          <w:lang w:val="en-US"/>
        </w:rPr>
        <w:t xml:space="preserve"> Stakeholders include entities or individuals whose rights under law or international conventions provide them with legitimate claims vis-à-vis to the organization.</w:t>
      </w:r>
    </w:p>
    <w:p w14:paraId="3A0923A8" w14:textId="05018906" w:rsidR="00D37E00" w:rsidRPr="00384ADF" w:rsidRDefault="00D37E00" w:rsidP="00242C02">
      <w:pPr>
        <w:pStyle w:val="NumList"/>
        <w:numPr>
          <w:ilvl w:val="0"/>
          <w:numId w:val="0"/>
        </w:numPr>
        <w:spacing w:line="312" w:lineRule="auto"/>
        <w:ind w:left="567"/>
      </w:pPr>
      <w:r w:rsidRPr="00384ADF">
        <w:rPr>
          <w:b/>
          <w:bCs/>
          <w:i/>
          <w:color w:val="000000"/>
          <w:lang w:val="en-US"/>
        </w:rPr>
        <w:t>Note 2:</w:t>
      </w:r>
      <w:r w:rsidRPr="00384ADF">
        <w:rPr>
          <w:i/>
          <w:color w:val="000000"/>
          <w:lang w:val="en-US"/>
        </w:rPr>
        <w:t xml:space="preserve"> Stakeholders can include those who are invested in the organization (such as employees and shareholders), as well as those who have other relationships to the organization (such as other workers who are not employees, suppliers, vulnerable groups, local communities, and NGOs or other civil society organizations, among others)”</w:t>
      </w:r>
      <w:r w:rsidRPr="00384ADF">
        <w:rPr>
          <w:rStyle w:val="FootnoteReference"/>
          <w:vertAlign w:val="superscript"/>
        </w:rPr>
        <w:footnoteReference w:id="22"/>
      </w:r>
      <w:r w:rsidRPr="00384ADF">
        <w:rPr>
          <w:i/>
        </w:rPr>
        <w:t>.</w:t>
      </w:r>
    </w:p>
    <w:p w14:paraId="11C7F56A" w14:textId="65033021" w:rsidR="00107527" w:rsidRPr="00384ADF" w:rsidRDefault="00B275B5" w:rsidP="00384ADF">
      <w:pPr>
        <w:pStyle w:val="Heading1"/>
        <w:keepNext/>
        <w:rPr>
          <w:rFonts w:hint="eastAsia"/>
        </w:rPr>
      </w:pPr>
      <w:bookmarkStart w:id="15" w:name="_Toc43704047"/>
      <w:r w:rsidRPr="00384ADF">
        <w:t xml:space="preserve">Concepts </w:t>
      </w:r>
      <w:r w:rsidR="00084BC2" w:rsidRPr="00384ADF">
        <w:t xml:space="preserve">Relevant </w:t>
      </w:r>
      <w:r w:rsidRPr="00384ADF">
        <w:t xml:space="preserve">to the </w:t>
      </w:r>
      <w:r w:rsidR="00084BC2" w:rsidRPr="00384ADF">
        <w:t xml:space="preserve">Guidance Provided </w:t>
      </w:r>
      <w:r w:rsidRPr="00384ADF">
        <w:t>in this SAAEPS</w:t>
      </w:r>
      <w:bookmarkEnd w:id="15"/>
    </w:p>
    <w:p w14:paraId="5D843904" w14:textId="32275E27" w:rsidR="00B275B5" w:rsidRPr="00384ADF" w:rsidRDefault="00B275B5" w:rsidP="002C2C20">
      <w:pPr>
        <w:pStyle w:val="Heading2"/>
        <w:widowControl/>
      </w:pPr>
      <w:bookmarkStart w:id="16" w:name="_Toc43704048"/>
      <w:r w:rsidRPr="00384ADF">
        <w:t>Sustainability information</w:t>
      </w:r>
      <w:bookmarkEnd w:id="16"/>
    </w:p>
    <w:p w14:paraId="2B53CA72" w14:textId="330914F1" w:rsidR="004146AD" w:rsidRPr="00384ADF" w:rsidRDefault="004146AD" w:rsidP="002C2C20">
      <w:pPr>
        <w:pStyle w:val="NumList"/>
        <w:keepNext/>
        <w:widowControl/>
        <w:spacing w:line="312" w:lineRule="auto"/>
      </w:pPr>
      <w:r w:rsidRPr="00384ADF">
        <w:rPr>
          <w:rFonts w:cs="Arial"/>
        </w:rPr>
        <w:t xml:space="preserve">This SAAEPS </w:t>
      </w:r>
      <w:r w:rsidR="004A5745" w:rsidRPr="00384ADF">
        <w:rPr>
          <w:rFonts w:cs="Arial"/>
        </w:rPr>
        <w:t>is focused on</w:t>
      </w:r>
      <w:r w:rsidRPr="00384ADF">
        <w:rPr>
          <w:rFonts w:cs="Arial"/>
        </w:rPr>
        <w:t xml:space="preserve"> a</w:t>
      </w:r>
      <w:r w:rsidRPr="00384ADF">
        <w:t>n assurance engagement on sustainability information reported in an entity’s sustainability report</w:t>
      </w:r>
      <w:r w:rsidRPr="00384ADF">
        <w:rPr>
          <w:rFonts w:cs="Arial"/>
        </w:rPr>
        <w:t xml:space="preserve">. As such, sustainability information forms the basis of the subject matter information that is dealt with in both </w:t>
      </w:r>
      <w:r w:rsidR="0050270C" w:rsidRPr="00384ADF">
        <w:rPr>
          <w:rFonts w:cs="Arial"/>
        </w:rPr>
        <w:t>determining whether the sustainability assurance engagement exhibits a rational purpose</w:t>
      </w:r>
      <w:r w:rsidRPr="00384ADF">
        <w:rPr>
          <w:rFonts w:cs="Arial"/>
        </w:rPr>
        <w:t xml:space="preserve"> and </w:t>
      </w:r>
      <w:r w:rsidR="0050270C" w:rsidRPr="00384ADF">
        <w:rPr>
          <w:rFonts w:cs="Arial"/>
        </w:rPr>
        <w:t>determining whether the sustainability assurance engagement exhibits</w:t>
      </w:r>
      <w:r w:rsidR="006129F4" w:rsidRPr="00384ADF">
        <w:rPr>
          <w:rFonts w:cs="Arial"/>
        </w:rPr>
        <w:t xml:space="preserve"> that</w:t>
      </w:r>
      <w:r w:rsidR="0050270C"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Pr="00384ADF">
        <w:rPr>
          <w:rFonts w:cs="Arial"/>
        </w:rPr>
        <w:t>.</w:t>
      </w:r>
    </w:p>
    <w:p w14:paraId="48B8B32E" w14:textId="1430BD58" w:rsidR="00C44921" w:rsidRPr="00384ADF" w:rsidRDefault="00B275B5" w:rsidP="00ED6603">
      <w:pPr>
        <w:pStyle w:val="Heading3"/>
      </w:pPr>
      <w:bookmarkStart w:id="17" w:name="_Toc43704049"/>
      <w:r w:rsidRPr="00384ADF">
        <w:t>Nature of sustainability information</w:t>
      </w:r>
      <w:bookmarkEnd w:id="17"/>
    </w:p>
    <w:p w14:paraId="16705A39" w14:textId="1C074A25" w:rsidR="00684564" w:rsidRPr="00384ADF" w:rsidRDefault="00684564" w:rsidP="00445B02">
      <w:pPr>
        <w:pStyle w:val="NumList"/>
        <w:spacing w:line="312" w:lineRule="auto"/>
      </w:pPr>
      <w:r w:rsidRPr="00384ADF">
        <w:t>Sustainability information for the purpose</w:t>
      </w:r>
      <w:r w:rsidR="006129F4" w:rsidRPr="00384ADF">
        <w:t>s</w:t>
      </w:r>
      <w:r w:rsidRPr="00384ADF">
        <w:t xml:space="preserve"> of this SAAEPS includes</w:t>
      </w:r>
      <w:r w:rsidR="00B1634A" w:rsidRPr="00384ADF">
        <w:t xml:space="preserve"> information related</w:t>
      </w:r>
      <w:r w:rsidR="00E53E23" w:rsidRPr="00384ADF">
        <w:t>, but not limited to the reporting entity’s</w:t>
      </w:r>
      <w:r w:rsidR="00B1634A" w:rsidRPr="00384ADF">
        <w:t xml:space="preserve"> </w:t>
      </w:r>
      <w:r w:rsidRPr="00384ADF">
        <w:t>social, environmental, governance and economic</w:t>
      </w:r>
      <w:r w:rsidR="00E53E23" w:rsidRPr="00384ADF">
        <w:t xml:space="preserve"> performance, targets and outcomes</w:t>
      </w:r>
      <w:r w:rsidRPr="00384ADF">
        <w:t xml:space="preserve">. </w:t>
      </w:r>
    </w:p>
    <w:p w14:paraId="51AA225E" w14:textId="2CE7E258" w:rsidR="001D19E2" w:rsidRPr="00384ADF" w:rsidRDefault="001D19E2" w:rsidP="00445B02">
      <w:pPr>
        <w:pStyle w:val="NumList"/>
        <w:spacing w:line="312" w:lineRule="auto"/>
      </w:pPr>
      <w:r w:rsidRPr="00384ADF">
        <w:t xml:space="preserve">Sustainability information </w:t>
      </w:r>
      <w:r w:rsidR="004C30A5" w:rsidRPr="00384ADF">
        <w:t xml:space="preserve">may </w:t>
      </w:r>
      <w:r w:rsidRPr="00384ADF">
        <w:t xml:space="preserve">comprise both </w:t>
      </w:r>
      <w:r w:rsidR="007A1702" w:rsidRPr="00384ADF">
        <w:t xml:space="preserve">monetary </w:t>
      </w:r>
      <w:r w:rsidRPr="00384ADF">
        <w:t>and non-</w:t>
      </w:r>
      <w:r w:rsidR="007A1702" w:rsidRPr="00384ADF">
        <w:t xml:space="preserve">monetary </w:t>
      </w:r>
      <w:r w:rsidRPr="00384ADF">
        <w:t xml:space="preserve">information. </w:t>
      </w:r>
    </w:p>
    <w:p w14:paraId="06F54220" w14:textId="71B0C5CB" w:rsidR="001D19E2" w:rsidRPr="00384ADF" w:rsidRDefault="006D5623" w:rsidP="00445B02">
      <w:pPr>
        <w:pStyle w:val="NumList"/>
        <w:spacing w:line="312" w:lineRule="auto"/>
      </w:pPr>
      <w:r w:rsidRPr="00384ADF">
        <w:t xml:space="preserve">Monetary </w:t>
      </w:r>
      <w:r w:rsidR="001D19E2" w:rsidRPr="00384ADF">
        <w:t xml:space="preserve">information </w:t>
      </w:r>
      <w:r w:rsidR="004C30A5" w:rsidRPr="00384ADF">
        <w:t>may</w:t>
      </w:r>
      <w:r w:rsidR="006C0FC3" w:rsidRPr="00384ADF">
        <w:t xml:space="preserve"> be included</w:t>
      </w:r>
      <w:r w:rsidR="004C30A5" w:rsidRPr="00384ADF">
        <w:t xml:space="preserve"> </w:t>
      </w:r>
      <w:r w:rsidR="006C0FC3" w:rsidRPr="00384ADF">
        <w:t xml:space="preserve">in </w:t>
      </w:r>
      <w:r w:rsidR="001D19E2" w:rsidRPr="00384ADF">
        <w:t>instances w</w:t>
      </w:r>
      <w:r w:rsidR="004C30A5" w:rsidRPr="00384ADF">
        <w:t>h</w:t>
      </w:r>
      <w:r w:rsidR="001D19E2" w:rsidRPr="00384ADF">
        <w:t>ere</w:t>
      </w:r>
      <w:r w:rsidR="004C30A5" w:rsidRPr="00384ADF">
        <w:t xml:space="preserve"> </w:t>
      </w:r>
      <w:r w:rsidR="001D19E2" w:rsidRPr="00384ADF">
        <w:t>information</w:t>
      </w:r>
      <w:r w:rsidR="000773F1" w:rsidRPr="00384ADF">
        <w:t xml:space="preserve"> in monetary terms</w:t>
      </w:r>
      <w:r w:rsidR="001D19E2" w:rsidRPr="00384ADF">
        <w:t xml:space="preserve"> is relevant, for example,</w:t>
      </w:r>
      <w:r w:rsidR="00B1634A" w:rsidRPr="00384ADF">
        <w:t xml:space="preserve"> </w:t>
      </w:r>
      <w:r w:rsidR="006C2019" w:rsidRPr="00384ADF">
        <w:t xml:space="preserve">a </w:t>
      </w:r>
      <w:r w:rsidR="00B1634A" w:rsidRPr="00384ADF">
        <w:t>KPI on</w:t>
      </w:r>
      <w:r w:rsidR="001D19E2" w:rsidRPr="00384ADF">
        <w:t xml:space="preserve"> training </w:t>
      </w:r>
      <w:r w:rsidR="006C2019" w:rsidRPr="00384ADF">
        <w:t xml:space="preserve">expenditure </w:t>
      </w:r>
      <w:r w:rsidR="001D19E2" w:rsidRPr="00384ADF">
        <w:t>or rehabilitation costs</w:t>
      </w:r>
      <w:r w:rsidR="000773F1" w:rsidRPr="00384ADF">
        <w:t xml:space="preserve"> and any narrative disclosures related thereto</w:t>
      </w:r>
      <w:r w:rsidR="001D19E2" w:rsidRPr="00384ADF">
        <w:t xml:space="preserve">.  </w:t>
      </w:r>
    </w:p>
    <w:p w14:paraId="09F66E2A" w14:textId="6B6D893E" w:rsidR="001D19E2" w:rsidRPr="00384ADF" w:rsidRDefault="001D19E2" w:rsidP="00445B02">
      <w:pPr>
        <w:pStyle w:val="NumList"/>
        <w:spacing w:line="312" w:lineRule="auto"/>
      </w:pPr>
      <w:r w:rsidRPr="00384ADF">
        <w:t>Non-</w:t>
      </w:r>
      <w:r w:rsidR="007A1702" w:rsidRPr="00384ADF">
        <w:t xml:space="preserve">monetary </w:t>
      </w:r>
      <w:r w:rsidRPr="00384ADF">
        <w:t xml:space="preserve">information </w:t>
      </w:r>
      <w:r w:rsidR="0012195B" w:rsidRPr="00384ADF">
        <w:t xml:space="preserve">may </w:t>
      </w:r>
      <w:r w:rsidRPr="00384ADF">
        <w:t>be presented both quantitatively</w:t>
      </w:r>
      <w:r w:rsidR="001C0754" w:rsidRPr="00384ADF">
        <w:t xml:space="preserve"> as KPI</w:t>
      </w:r>
      <w:r w:rsidR="00B1634A" w:rsidRPr="00384ADF">
        <w:t xml:space="preserve">s, </w:t>
      </w:r>
      <w:r w:rsidRPr="00384ADF">
        <w:t>for example, litres of water consumed or tons of paper recycled</w:t>
      </w:r>
      <w:r w:rsidR="00084BC2" w:rsidRPr="00384ADF">
        <w:t>;</w:t>
      </w:r>
      <w:r w:rsidRPr="00384ADF">
        <w:t xml:space="preserve"> and qualitatively</w:t>
      </w:r>
      <w:r w:rsidR="001C0754" w:rsidRPr="00384ADF">
        <w:t xml:space="preserve"> as</w:t>
      </w:r>
      <w:r w:rsidR="00B1634A" w:rsidRPr="00384ADF">
        <w:t xml:space="preserve"> narrative</w:t>
      </w:r>
      <w:r w:rsidR="001C0754" w:rsidRPr="00384ADF">
        <w:t xml:space="preserve"> disclosures</w:t>
      </w:r>
      <w:r w:rsidRPr="00384ADF">
        <w:t xml:space="preserve">, for example, </w:t>
      </w:r>
      <w:r w:rsidR="006C2019" w:rsidRPr="00384ADF">
        <w:t xml:space="preserve">the </w:t>
      </w:r>
      <w:r w:rsidRPr="00384ADF">
        <w:t>policy on stakeholder community engagement or fair labour practices.</w:t>
      </w:r>
    </w:p>
    <w:p w14:paraId="58F48BE9" w14:textId="0EA0424F" w:rsidR="0070784C" w:rsidRPr="00384ADF" w:rsidRDefault="001D19E2" w:rsidP="00445B02">
      <w:pPr>
        <w:pStyle w:val="NumList"/>
        <w:spacing w:line="312" w:lineRule="auto"/>
      </w:pPr>
      <w:r w:rsidRPr="00384ADF">
        <w:t xml:space="preserve">The nature of sustainability information or </w:t>
      </w:r>
      <w:r w:rsidR="0070784C" w:rsidRPr="00384ADF">
        <w:t xml:space="preserve">reports and the underlying processes to prepare this information </w:t>
      </w:r>
      <w:r w:rsidRPr="00384ADF">
        <w:t>differ from</w:t>
      </w:r>
      <w:r w:rsidR="0070784C" w:rsidRPr="00384ADF">
        <w:t xml:space="preserve"> financial</w:t>
      </w:r>
      <w:r w:rsidR="007A1702" w:rsidRPr="00384ADF">
        <w:t xml:space="preserve"> statement</w:t>
      </w:r>
      <w:r w:rsidR="0070784C" w:rsidRPr="00384ADF">
        <w:t xml:space="preserve"> information</w:t>
      </w:r>
      <w:r w:rsidR="00084BC2" w:rsidRPr="00384ADF">
        <w:t xml:space="preserve"> in the following ways</w:t>
      </w:r>
      <w:r w:rsidR="0070784C" w:rsidRPr="00384ADF">
        <w:t>:</w:t>
      </w:r>
    </w:p>
    <w:p w14:paraId="38A86132" w14:textId="7168F4A4" w:rsidR="0070784C" w:rsidRPr="00384ADF" w:rsidRDefault="0070784C" w:rsidP="00445B02">
      <w:pPr>
        <w:pStyle w:val="NumList"/>
        <w:numPr>
          <w:ilvl w:val="1"/>
          <w:numId w:val="2"/>
        </w:numPr>
        <w:spacing w:line="312" w:lineRule="auto"/>
        <w:ind w:hanging="425"/>
        <w:rPr>
          <w:rFonts w:cs="Arial"/>
        </w:rPr>
      </w:pPr>
      <w:r w:rsidRPr="00384ADF">
        <w:rPr>
          <w:rFonts w:cs="Arial"/>
        </w:rPr>
        <w:t xml:space="preserve">A sustainability report may be aimed at a significantly wider and less homogenous group of users than financial </w:t>
      </w:r>
      <w:r w:rsidR="007A1702" w:rsidRPr="00384ADF">
        <w:rPr>
          <w:rFonts w:cs="Arial"/>
        </w:rPr>
        <w:t>statements</w:t>
      </w:r>
      <w:r w:rsidRPr="00384ADF">
        <w:rPr>
          <w:rFonts w:cs="Arial"/>
        </w:rPr>
        <w:t xml:space="preserve">. The users of a sustainability report </w:t>
      </w:r>
      <w:r w:rsidR="00084BC2" w:rsidRPr="00384ADF">
        <w:rPr>
          <w:rFonts w:cs="Arial"/>
        </w:rPr>
        <w:t>may</w:t>
      </w:r>
      <w:r w:rsidRPr="00384ADF">
        <w:rPr>
          <w:rFonts w:cs="Arial"/>
        </w:rPr>
        <w:t xml:space="preserve"> differ considerably in terms of their aims and expectations regarding their legitimate information needs.</w:t>
      </w:r>
    </w:p>
    <w:p w14:paraId="2EA57A68" w14:textId="4EA64AC1" w:rsidR="0070784C" w:rsidRPr="00384ADF" w:rsidRDefault="0070784C" w:rsidP="00155539">
      <w:pPr>
        <w:pStyle w:val="NumList"/>
        <w:numPr>
          <w:ilvl w:val="1"/>
          <w:numId w:val="2"/>
        </w:numPr>
        <w:spacing w:line="312" w:lineRule="auto"/>
        <w:ind w:left="1138" w:hanging="432"/>
        <w:rPr>
          <w:rFonts w:cs="Arial"/>
        </w:rPr>
      </w:pPr>
      <w:r w:rsidRPr="00384ADF">
        <w:rPr>
          <w:rFonts w:cs="Arial"/>
        </w:rPr>
        <w:t>The reporting framework and criteria for</w:t>
      </w:r>
      <w:r w:rsidR="001D19E2" w:rsidRPr="00384ADF">
        <w:rPr>
          <w:rFonts w:cs="Arial"/>
        </w:rPr>
        <w:t xml:space="preserve"> reporting</w:t>
      </w:r>
      <w:r w:rsidRPr="00384ADF">
        <w:rPr>
          <w:rFonts w:cs="Arial"/>
        </w:rPr>
        <w:t xml:space="preserve"> sustainability </w:t>
      </w:r>
      <w:r w:rsidR="001D19E2" w:rsidRPr="00384ADF">
        <w:rPr>
          <w:rFonts w:cs="Arial"/>
        </w:rPr>
        <w:t xml:space="preserve">information </w:t>
      </w:r>
      <w:r w:rsidRPr="00384ADF">
        <w:rPr>
          <w:rFonts w:cs="Arial"/>
        </w:rPr>
        <w:t xml:space="preserve">may be less formal than those </w:t>
      </w:r>
      <w:r w:rsidR="00084BC2" w:rsidRPr="00384ADF">
        <w:rPr>
          <w:rFonts w:cs="Arial"/>
        </w:rPr>
        <w:t>applied</w:t>
      </w:r>
      <w:r w:rsidRPr="00384ADF">
        <w:rPr>
          <w:rFonts w:cs="Arial"/>
        </w:rPr>
        <w:t xml:space="preserve"> to</w:t>
      </w:r>
      <w:r w:rsidR="007A1702" w:rsidRPr="00384ADF">
        <w:rPr>
          <w:rFonts w:cs="Arial"/>
        </w:rPr>
        <w:t xml:space="preserve"> prepare</w:t>
      </w:r>
      <w:r w:rsidRPr="00384ADF">
        <w:rPr>
          <w:rFonts w:cs="Arial"/>
        </w:rPr>
        <w:t xml:space="preserve"> financial </w:t>
      </w:r>
      <w:r w:rsidR="007A1702" w:rsidRPr="00384ADF">
        <w:rPr>
          <w:rFonts w:cs="Arial"/>
        </w:rPr>
        <w:t>statements</w:t>
      </w:r>
      <w:r w:rsidRPr="00384ADF">
        <w:rPr>
          <w:rFonts w:cs="Arial"/>
        </w:rPr>
        <w:t>.</w:t>
      </w:r>
    </w:p>
    <w:p w14:paraId="79F27078" w14:textId="60A24366" w:rsidR="0070784C" w:rsidRPr="00384ADF" w:rsidRDefault="00FC3AB2" w:rsidP="00445B02">
      <w:pPr>
        <w:pStyle w:val="NumList"/>
        <w:numPr>
          <w:ilvl w:val="1"/>
          <w:numId w:val="2"/>
        </w:numPr>
        <w:spacing w:line="312" w:lineRule="auto"/>
        <w:ind w:hanging="425"/>
        <w:rPr>
          <w:rFonts w:cs="Arial"/>
        </w:rPr>
      </w:pPr>
      <w:r w:rsidRPr="00384ADF">
        <w:rPr>
          <w:rFonts w:cs="Arial"/>
        </w:rPr>
        <w:t>R</w:t>
      </w:r>
      <w:r w:rsidR="004C30A5" w:rsidRPr="00384ADF">
        <w:rPr>
          <w:rFonts w:cs="Arial"/>
        </w:rPr>
        <w:t>eporting systems and controls</w:t>
      </w:r>
      <w:r w:rsidR="0070784C" w:rsidRPr="00384ADF">
        <w:rPr>
          <w:rFonts w:cs="Arial"/>
        </w:rPr>
        <w:t xml:space="preserve"> </w:t>
      </w:r>
      <w:r w:rsidR="0070784C" w:rsidRPr="00384ADF">
        <w:t>are often less robust</w:t>
      </w:r>
      <w:r w:rsidR="00C2616A" w:rsidRPr="00384ADF">
        <w:t xml:space="preserve"> and exhibit a broader spectrum of maturity</w:t>
      </w:r>
      <w:r w:rsidR="0070784C" w:rsidRPr="00384ADF">
        <w:t xml:space="preserve"> in achieving</w:t>
      </w:r>
      <w:r w:rsidR="0070784C" w:rsidRPr="00384ADF">
        <w:rPr>
          <w:rFonts w:cs="Arial"/>
        </w:rPr>
        <w:t xml:space="preserve"> </w:t>
      </w:r>
      <w:r w:rsidR="00146CE4" w:rsidRPr="00384ADF">
        <w:rPr>
          <w:rFonts w:cs="Arial"/>
        </w:rPr>
        <w:t xml:space="preserve">relevance </w:t>
      </w:r>
      <w:r w:rsidR="0070784C" w:rsidRPr="00384ADF">
        <w:rPr>
          <w:rFonts w:cs="Arial"/>
        </w:rPr>
        <w:t xml:space="preserve">and </w:t>
      </w:r>
      <w:r w:rsidR="00146CE4" w:rsidRPr="00384ADF">
        <w:rPr>
          <w:rFonts w:cs="Arial"/>
        </w:rPr>
        <w:t xml:space="preserve">reliability </w:t>
      </w:r>
      <w:r w:rsidR="004C30A5" w:rsidRPr="00384ADF">
        <w:rPr>
          <w:rFonts w:cs="Arial"/>
        </w:rPr>
        <w:t xml:space="preserve">when compared to </w:t>
      </w:r>
      <w:r w:rsidR="000B4DC9" w:rsidRPr="00384ADF">
        <w:rPr>
          <w:rFonts w:cs="Arial"/>
        </w:rPr>
        <w:t>financial statements</w:t>
      </w:r>
      <w:r w:rsidR="0070784C" w:rsidRPr="00384ADF">
        <w:rPr>
          <w:rFonts w:cs="Arial"/>
        </w:rPr>
        <w:t>.</w:t>
      </w:r>
    </w:p>
    <w:p w14:paraId="180A4861" w14:textId="033E6A68" w:rsidR="00E53E23" w:rsidRPr="00384ADF" w:rsidRDefault="00E53E23" w:rsidP="001E4F3B">
      <w:pPr>
        <w:pStyle w:val="NumList"/>
        <w:numPr>
          <w:ilvl w:val="1"/>
          <w:numId w:val="2"/>
        </w:numPr>
        <w:spacing w:line="312" w:lineRule="auto"/>
        <w:ind w:hanging="425"/>
        <w:rPr>
          <w:rFonts w:cs="Arial"/>
        </w:rPr>
      </w:pPr>
      <w:r w:rsidRPr="00384ADF">
        <w:rPr>
          <w:rFonts w:cs="Arial"/>
        </w:rPr>
        <w:t>Sustainability reporting is inherently prone to higher levels of management bias owing to more extensive use of internally developed criteria.</w:t>
      </w:r>
    </w:p>
    <w:p w14:paraId="187693A1" w14:textId="0C84B7EE" w:rsidR="00E53E23" w:rsidRPr="00384ADF" w:rsidRDefault="00E53E23" w:rsidP="001E4F3B">
      <w:pPr>
        <w:pStyle w:val="NumList"/>
        <w:numPr>
          <w:ilvl w:val="1"/>
          <w:numId w:val="2"/>
        </w:numPr>
        <w:spacing w:line="312" w:lineRule="auto"/>
        <w:ind w:hanging="425"/>
        <w:rPr>
          <w:rFonts w:cs="Arial"/>
        </w:rPr>
      </w:pPr>
      <w:bookmarkStart w:id="18" w:name="_Hlk521910027"/>
      <w:r w:rsidRPr="00384ADF">
        <w:rPr>
          <w:rFonts w:cs="Arial"/>
        </w:rPr>
        <w:t>Sustainability information is not recorded by way of a system that provides a natural/logical check to the balancing, reconciliation and summary of information for purposes of preparing and presenting it in an appropriate report as is the case of a set of financial statements that would tie-in to a trial balance and general ledger, based on double-entry accounting.</w:t>
      </w:r>
      <w:bookmarkEnd w:id="18"/>
    </w:p>
    <w:p w14:paraId="4D76CE3C" w14:textId="2D283BF9" w:rsidR="008D336B" w:rsidRPr="00384ADF" w:rsidRDefault="008D336B" w:rsidP="00AA1B28">
      <w:pPr>
        <w:pStyle w:val="NumList"/>
        <w:spacing w:line="312" w:lineRule="auto"/>
        <w:rPr>
          <w:color w:val="000000" w:themeColor="text1"/>
        </w:rPr>
      </w:pPr>
      <w:r w:rsidRPr="00384ADF">
        <w:rPr>
          <w:rFonts w:cs="Arial"/>
          <w:color w:val="000000" w:themeColor="text1"/>
          <w:lang w:val="en-GB"/>
        </w:rPr>
        <w:t>Reported sustainability information is generally prepared to meet the common information needs of a wide range of users and therefore may be considered to be for general purpose.</w:t>
      </w:r>
    </w:p>
    <w:p w14:paraId="6BD75195" w14:textId="25A0E1FA" w:rsidR="005E31A2" w:rsidRPr="00384ADF" w:rsidRDefault="005E31A2" w:rsidP="00AA1B28">
      <w:pPr>
        <w:pStyle w:val="NumList"/>
        <w:spacing w:line="312" w:lineRule="auto"/>
      </w:pPr>
      <w:r w:rsidRPr="00384ADF">
        <w:rPr>
          <w:rFonts w:cs="Arial"/>
        </w:rPr>
        <w:t xml:space="preserve">In the current environment, taking into account that there are generally no formal legal or statutory requirements relating to the preparation and presentation of sustainability information, higher levels of management bias </w:t>
      </w:r>
      <w:r w:rsidR="006C0FC3" w:rsidRPr="00384ADF">
        <w:rPr>
          <w:rFonts w:cs="Arial"/>
        </w:rPr>
        <w:t xml:space="preserve">may be </w:t>
      </w:r>
      <w:r w:rsidRPr="00384ADF">
        <w:rPr>
          <w:rFonts w:cs="Arial"/>
        </w:rPr>
        <w:t xml:space="preserve">a reality, although </w:t>
      </w:r>
      <w:r w:rsidR="006129F4" w:rsidRPr="00384ADF">
        <w:rPr>
          <w:rFonts w:cs="Arial"/>
        </w:rPr>
        <w:t xml:space="preserve">that </w:t>
      </w:r>
      <w:r w:rsidRPr="00384ADF">
        <w:rPr>
          <w:rFonts w:cs="Arial"/>
        </w:rPr>
        <w:t xml:space="preserve">may not necessarily be a limiting factor in producing or assuring sustainability information. Management and those charged with governance of the reporting entity own the information, </w:t>
      </w:r>
      <w:r w:rsidR="006129F4" w:rsidRPr="00384ADF">
        <w:rPr>
          <w:rFonts w:cs="Arial"/>
        </w:rPr>
        <w:t xml:space="preserve">identify </w:t>
      </w:r>
      <w:r w:rsidRPr="00384ADF">
        <w:rPr>
          <w:rFonts w:cs="Arial"/>
        </w:rPr>
        <w:t xml:space="preserve">the users and determines the purpose of reporting on sustainability information. The presence of management bias should be recognised and evaluated as having been applied within acceptable limits. For example, considerations around whether the reporting of identified information has been properly informed by the needs of the </w:t>
      </w:r>
      <w:r w:rsidR="006C0FC3" w:rsidRPr="00384ADF">
        <w:rPr>
          <w:rFonts w:cs="Arial"/>
        </w:rPr>
        <w:t xml:space="preserve">intended </w:t>
      </w:r>
      <w:r w:rsidRPr="00384ADF">
        <w:rPr>
          <w:rFonts w:cs="Arial"/>
        </w:rPr>
        <w:t xml:space="preserve">users and that the reported information is not misleading to the </w:t>
      </w:r>
      <w:r w:rsidR="006C0FC3" w:rsidRPr="00384ADF">
        <w:rPr>
          <w:rFonts w:cs="Arial"/>
        </w:rPr>
        <w:t xml:space="preserve">intended </w:t>
      </w:r>
      <w:r w:rsidRPr="00384ADF">
        <w:rPr>
          <w:rFonts w:cs="Arial"/>
        </w:rPr>
        <w:t>users are important, together with other factors as expanded on in this SAAEPS.</w:t>
      </w:r>
    </w:p>
    <w:p w14:paraId="3B3C80C7" w14:textId="4C00837C" w:rsidR="00E1054B" w:rsidRPr="00384ADF" w:rsidRDefault="00E1054B" w:rsidP="00155539">
      <w:pPr>
        <w:pStyle w:val="NumList"/>
        <w:spacing w:line="312" w:lineRule="auto"/>
      </w:pPr>
      <w:r w:rsidRPr="00384ADF">
        <w:t xml:space="preserve">Examples of </w:t>
      </w:r>
      <w:r w:rsidR="00FF636A" w:rsidRPr="00384ADF">
        <w:t>reports in which a reporting entity incorporate</w:t>
      </w:r>
      <w:r w:rsidR="0012195B" w:rsidRPr="00384ADF">
        <w:t>s</w:t>
      </w:r>
      <w:r w:rsidR="00FF636A" w:rsidRPr="00384ADF">
        <w:t xml:space="preserve"> sustainability information include the following:</w:t>
      </w:r>
    </w:p>
    <w:p w14:paraId="569B4D26" w14:textId="0A5572EA" w:rsidR="00FF636A" w:rsidRPr="00384ADF" w:rsidRDefault="00FF636A" w:rsidP="00155539">
      <w:pPr>
        <w:pStyle w:val="NumList"/>
        <w:numPr>
          <w:ilvl w:val="1"/>
          <w:numId w:val="2"/>
        </w:numPr>
        <w:spacing w:line="312" w:lineRule="auto"/>
        <w:ind w:hanging="425"/>
      </w:pPr>
      <w:r w:rsidRPr="00384ADF">
        <w:t>Sustainability report, corporate social responsibility report or environmental, social and governance report;</w:t>
      </w:r>
    </w:p>
    <w:p w14:paraId="22A30646" w14:textId="4AC1074F" w:rsidR="00FF636A" w:rsidRPr="00384ADF" w:rsidRDefault="00FF636A" w:rsidP="00155539">
      <w:pPr>
        <w:pStyle w:val="NumList"/>
        <w:numPr>
          <w:ilvl w:val="1"/>
          <w:numId w:val="2"/>
        </w:numPr>
        <w:spacing w:line="312" w:lineRule="auto"/>
        <w:ind w:hanging="425"/>
      </w:pPr>
      <w:r w:rsidRPr="00384ADF">
        <w:t>G</w:t>
      </w:r>
      <w:r w:rsidR="007E3E27" w:rsidRPr="00384ADF">
        <w:t xml:space="preserve">reenhouse </w:t>
      </w:r>
      <w:r w:rsidRPr="00384ADF">
        <w:t>G</w:t>
      </w:r>
      <w:r w:rsidR="007E3E27" w:rsidRPr="00384ADF">
        <w:t>as</w:t>
      </w:r>
      <w:r w:rsidRPr="00384ADF">
        <w:t xml:space="preserve"> emissions schedule or statement;</w:t>
      </w:r>
      <w:r w:rsidR="00587B79" w:rsidRPr="00384ADF">
        <w:t xml:space="preserve"> and</w:t>
      </w:r>
    </w:p>
    <w:p w14:paraId="00055AF1" w14:textId="2832606D" w:rsidR="00FF636A" w:rsidRPr="00384ADF" w:rsidRDefault="00C44921" w:rsidP="00155539">
      <w:pPr>
        <w:pStyle w:val="NumList"/>
        <w:numPr>
          <w:ilvl w:val="1"/>
          <w:numId w:val="2"/>
        </w:numPr>
        <w:spacing w:line="312" w:lineRule="auto"/>
        <w:ind w:hanging="425"/>
      </w:pPr>
      <w:r w:rsidRPr="00384ADF">
        <w:t>S</w:t>
      </w:r>
      <w:r w:rsidR="00FF636A" w:rsidRPr="00384ADF">
        <w:t>ustainability information in a broader report, such as a reporting entity’s annual report or integrated annual report.</w:t>
      </w:r>
    </w:p>
    <w:p w14:paraId="2FAA0326" w14:textId="5D1FBE79" w:rsidR="00C44921" w:rsidRPr="00384ADF" w:rsidRDefault="00684564" w:rsidP="00155539">
      <w:pPr>
        <w:pStyle w:val="NumList"/>
        <w:numPr>
          <w:ilvl w:val="0"/>
          <w:numId w:val="0"/>
        </w:numPr>
        <w:spacing w:line="312" w:lineRule="auto"/>
        <w:ind w:left="540"/>
      </w:pPr>
      <w:r w:rsidRPr="00384ADF">
        <w:t>For the purposes of this SAAEPS, sustainability information is reported in a sustainability report.</w:t>
      </w:r>
    </w:p>
    <w:p w14:paraId="459FE029" w14:textId="6A4244AD" w:rsidR="00B275B5" w:rsidRPr="00384ADF" w:rsidRDefault="00DA06B8" w:rsidP="00155539">
      <w:pPr>
        <w:pStyle w:val="NumList"/>
        <w:spacing w:line="312" w:lineRule="auto"/>
      </w:pPr>
      <w:r w:rsidRPr="00384ADF">
        <w:t>Preparers of s</w:t>
      </w:r>
      <w:r w:rsidR="00B275B5" w:rsidRPr="00384ADF">
        <w:t xml:space="preserve">ustainability information </w:t>
      </w:r>
      <w:r w:rsidRPr="00384ADF">
        <w:t xml:space="preserve">have a wide </w:t>
      </w:r>
      <w:r w:rsidR="006B1FAE" w:rsidRPr="00384ADF">
        <w:t>variety</w:t>
      </w:r>
      <w:r w:rsidRPr="00384ADF">
        <w:t xml:space="preserve"> of</w:t>
      </w:r>
      <w:r w:rsidR="00B275B5" w:rsidRPr="00384ADF">
        <w:t xml:space="preserve"> </w:t>
      </w:r>
      <w:r w:rsidR="00436A04" w:rsidRPr="00384ADF">
        <w:t xml:space="preserve">reporting </w:t>
      </w:r>
      <w:r w:rsidR="00B275B5" w:rsidRPr="00384ADF">
        <w:t>frameworks/guidance/codes</w:t>
      </w:r>
      <w:r w:rsidRPr="00384ADF">
        <w:t xml:space="preserve"> (or a combination thereof) to </w:t>
      </w:r>
      <w:r w:rsidR="006B1FAE" w:rsidRPr="00384ADF">
        <w:t>choose</w:t>
      </w:r>
      <w:r w:rsidR="005D5F95" w:rsidRPr="00384ADF">
        <w:t xml:space="preserve"> from</w:t>
      </w:r>
      <w:r w:rsidRPr="00384ADF">
        <w:t xml:space="preserve"> in the preparation of this information, </w:t>
      </w:r>
      <w:r w:rsidR="005E31A2" w:rsidRPr="00384ADF">
        <w:t>for example</w:t>
      </w:r>
      <w:r w:rsidR="00B275B5" w:rsidRPr="00384ADF">
        <w:t>:</w:t>
      </w:r>
    </w:p>
    <w:p w14:paraId="216761A8" w14:textId="2809F695" w:rsidR="00B275B5" w:rsidRPr="00384ADF" w:rsidRDefault="00B275B5" w:rsidP="00155539">
      <w:pPr>
        <w:pStyle w:val="NumList"/>
        <w:numPr>
          <w:ilvl w:val="1"/>
          <w:numId w:val="2"/>
        </w:numPr>
        <w:spacing w:line="312" w:lineRule="auto"/>
        <w:ind w:hanging="425"/>
        <w:rPr>
          <w:rFonts w:cs="Arial"/>
        </w:rPr>
      </w:pPr>
      <w:r w:rsidRPr="00384ADF">
        <w:rPr>
          <w:rFonts w:cs="Arial"/>
        </w:rPr>
        <w:t>GRI Standards</w:t>
      </w:r>
      <w:r w:rsidR="00DA06B8" w:rsidRPr="00384ADF">
        <w:rPr>
          <w:rStyle w:val="FootnoteReference"/>
          <w:rFonts w:cs="Arial"/>
          <w:vertAlign w:val="superscript"/>
        </w:rPr>
        <w:footnoteReference w:id="23"/>
      </w:r>
      <w:r w:rsidR="00C10B81" w:rsidRPr="00384ADF">
        <w:rPr>
          <w:rFonts w:cs="Arial"/>
        </w:rPr>
        <w:t>;</w:t>
      </w:r>
    </w:p>
    <w:p w14:paraId="24C92D2F" w14:textId="214585E7" w:rsidR="00B275B5" w:rsidRPr="00384ADF" w:rsidRDefault="00B275B5" w:rsidP="00155539">
      <w:pPr>
        <w:pStyle w:val="NumList"/>
        <w:numPr>
          <w:ilvl w:val="1"/>
          <w:numId w:val="2"/>
        </w:numPr>
        <w:spacing w:line="312" w:lineRule="auto"/>
        <w:ind w:hanging="425"/>
        <w:rPr>
          <w:rFonts w:cs="Arial"/>
        </w:rPr>
      </w:pPr>
      <w:r w:rsidRPr="00384ADF">
        <w:rPr>
          <w:rFonts w:cs="Arial"/>
        </w:rPr>
        <w:t>Greenhouse Gas Protocol Reporting Standard</w:t>
      </w:r>
      <w:r w:rsidR="00DA06B8" w:rsidRPr="00384ADF">
        <w:rPr>
          <w:rStyle w:val="FootnoteReference"/>
          <w:rFonts w:cs="Arial"/>
          <w:vertAlign w:val="superscript"/>
        </w:rPr>
        <w:footnoteReference w:id="24"/>
      </w:r>
      <w:r w:rsidR="00C10B81" w:rsidRPr="00384ADF">
        <w:rPr>
          <w:rFonts w:cs="Arial"/>
        </w:rPr>
        <w:t>; and</w:t>
      </w:r>
    </w:p>
    <w:p w14:paraId="5AFCEA67" w14:textId="3863BCB1" w:rsidR="00B275B5" w:rsidRPr="00384ADF" w:rsidRDefault="00B275B5" w:rsidP="00155539">
      <w:pPr>
        <w:pStyle w:val="NumList"/>
        <w:numPr>
          <w:ilvl w:val="1"/>
          <w:numId w:val="2"/>
        </w:numPr>
        <w:spacing w:line="312" w:lineRule="auto"/>
        <w:ind w:hanging="425"/>
        <w:rPr>
          <w:rFonts w:cs="Arial"/>
        </w:rPr>
      </w:pPr>
      <w:r w:rsidRPr="00384ADF">
        <w:rPr>
          <w:rFonts w:cs="Arial"/>
        </w:rPr>
        <w:t>United Nations Global Compact Principles</w:t>
      </w:r>
      <w:r w:rsidR="00DA06B8" w:rsidRPr="00384ADF">
        <w:rPr>
          <w:rStyle w:val="FootnoteReference"/>
          <w:rFonts w:cs="Arial"/>
          <w:vertAlign w:val="superscript"/>
        </w:rPr>
        <w:footnoteReference w:id="25"/>
      </w:r>
      <w:r w:rsidRPr="00384ADF">
        <w:rPr>
          <w:rFonts w:cs="Arial"/>
        </w:rPr>
        <w:t>.</w:t>
      </w:r>
    </w:p>
    <w:p w14:paraId="241371F5" w14:textId="292E29B3" w:rsidR="00AB151E" w:rsidRPr="00384ADF" w:rsidRDefault="00AB151E" w:rsidP="00155539">
      <w:pPr>
        <w:pStyle w:val="NumList"/>
        <w:spacing w:line="312" w:lineRule="auto"/>
      </w:pPr>
      <w:r w:rsidRPr="00384ADF">
        <w:rPr>
          <w:rFonts w:cs="Arial"/>
        </w:rPr>
        <w:t>The reporting frameworks</w:t>
      </w:r>
      <w:r w:rsidR="002D429C" w:rsidRPr="00384ADF">
        <w:rPr>
          <w:rFonts w:cs="Arial"/>
        </w:rPr>
        <w:t>/guidance/codes</w:t>
      </w:r>
      <w:r w:rsidR="006B1FAE" w:rsidRPr="00384ADF">
        <w:rPr>
          <w:rFonts w:cs="Arial"/>
        </w:rPr>
        <w:t xml:space="preserve"> </w:t>
      </w:r>
      <w:r w:rsidRPr="00384ADF">
        <w:rPr>
          <w:rFonts w:cs="Arial"/>
        </w:rPr>
        <w:t>may not necessarily cater for all the relevant sustainability information needs. As such, management may apply judgment to develop</w:t>
      </w:r>
      <w:r w:rsidR="001C0754" w:rsidRPr="00384ADF">
        <w:rPr>
          <w:rFonts w:cs="Arial"/>
        </w:rPr>
        <w:t>, among others,</w:t>
      </w:r>
      <w:r w:rsidRPr="00384ADF">
        <w:rPr>
          <w:rFonts w:cs="Arial"/>
        </w:rPr>
        <w:t xml:space="preserve"> additional criteria.</w:t>
      </w:r>
    </w:p>
    <w:p w14:paraId="2D720DE5" w14:textId="6B9D56A6" w:rsidR="005D5F95" w:rsidRPr="00384ADF" w:rsidRDefault="00B275B5" w:rsidP="00445B02">
      <w:pPr>
        <w:pStyle w:val="NumList"/>
        <w:spacing w:line="312" w:lineRule="auto"/>
      </w:pPr>
      <w:r w:rsidRPr="00384ADF">
        <w:t>The practitioner in this instance</w:t>
      </w:r>
      <w:r w:rsidR="006C0FC3" w:rsidRPr="00384ADF">
        <w:t xml:space="preserve"> may</w:t>
      </w:r>
      <w:r w:rsidRPr="00384ADF">
        <w:t xml:space="preserve"> pay special attention to the</w:t>
      </w:r>
      <w:r w:rsidR="00FC3AB2" w:rsidRPr="00384ADF">
        <w:t xml:space="preserve"> sustainability</w:t>
      </w:r>
      <w:r w:rsidRPr="00384ADF">
        <w:t xml:space="preserve"> report development process and how this</w:t>
      </w:r>
      <w:r w:rsidR="00FC3374" w:rsidRPr="00384ADF">
        <w:t xml:space="preserve"> may</w:t>
      </w:r>
      <w:r w:rsidRPr="00384ADF">
        <w:t xml:space="preserve"> impact considerations on accepting a particular </w:t>
      </w:r>
      <w:r w:rsidR="00A47A86" w:rsidRPr="00384ADF">
        <w:t xml:space="preserve">sustainability </w:t>
      </w:r>
      <w:r w:rsidRPr="00384ADF">
        <w:t xml:space="preserve">assurance </w:t>
      </w:r>
      <w:r w:rsidR="00A47A86" w:rsidRPr="00384ADF">
        <w:t>engagement</w:t>
      </w:r>
      <w:r w:rsidRPr="00384ADF">
        <w:t xml:space="preserve"> in relation to the reported information.</w:t>
      </w:r>
      <w:r w:rsidR="005D5F95" w:rsidRPr="00384ADF">
        <w:t xml:space="preserve"> </w:t>
      </w:r>
    </w:p>
    <w:p w14:paraId="097EFFBA" w14:textId="70AFDBCC" w:rsidR="00B275B5" w:rsidRPr="00384ADF" w:rsidRDefault="003879BC" w:rsidP="00B275B5">
      <w:pPr>
        <w:pStyle w:val="Heading2"/>
      </w:pPr>
      <w:bookmarkStart w:id="19" w:name="_Toc43704050"/>
      <w:r w:rsidRPr="00384ADF">
        <w:t>R</w:t>
      </w:r>
      <w:r w:rsidR="00B275B5" w:rsidRPr="00384ADF">
        <w:t>eporting infrastructure</w:t>
      </w:r>
      <w:bookmarkEnd w:id="19"/>
    </w:p>
    <w:p w14:paraId="14A0B15C" w14:textId="14155DF2" w:rsidR="004146AD" w:rsidRPr="00384ADF" w:rsidRDefault="003879BC" w:rsidP="00155539">
      <w:pPr>
        <w:pStyle w:val="NumList"/>
        <w:spacing w:line="312" w:lineRule="auto"/>
      </w:pPr>
      <w:r w:rsidRPr="00384ADF">
        <w:rPr>
          <w:rFonts w:cs="Arial"/>
        </w:rPr>
        <w:t>R</w:t>
      </w:r>
      <w:r w:rsidR="004146AD" w:rsidRPr="00384ADF">
        <w:rPr>
          <w:rFonts w:cs="Arial"/>
        </w:rPr>
        <w:t xml:space="preserve">eporting infrastructure enables the production of relevant and reliable sustainability information by the reporting entity and is key to the considerations in </w:t>
      </w:r>
      <w:r w:rsidR="006C0FC3" w:rsidRPr="00384ADF">
        <w:rPr>
          <w:rFonts w:cs="Arial"/>
        </w:rPr>
        <w:t>determining whether the sustainability assurance engagement exhibits a rational purpose</w:t>
      </w:r>
      <w:r w:rsidR="006129F4" w:rsidRPr="00384ADF">
        <w:rPr>
          <w:rFonts w:cs="Arial"/>
        </w:rPr>
        <w:t xml:space="preserve"> as</w:t>
      </w:r>
      <w:r w:rsidR="004146AD" w:rsidRPr="00384ADF">
        <w:rPr>
          <w:rFonts w:cs="Arial"/>
        </w:rPr>
        <w:t xml:space="preserve"> </w:t>
      </w:r>
      <w:r w:rsidR="006C0FC3" w:rsidRPr="00384ADF">
        <w:rPr>
          <w:rFonts w:cs="Arial"/>
        </w:rPr>
        <w:t xml:space="preserve">contained in </w:t>
      </w:r>
      <w:r w:rsidR="004146AD" w:rsidRPr="00384ADF">
        <w:rPr>
          <w:rFonts w:cs="Arial"/>
        </w:rPr>
        <w:t>this SAAEPS.</w:t>
      </w:r>
    </w:p>
    <w:p w14:paraId="41E3C549" w14:textId="4245D35F" w:rsidR="004753B5" w:rsidRPr="00384ADF" w:rsidRDefault="003879BC" w:rsidP="00155539">
      <w:pPr>
        <w:pStyle w:val="NumList"/>
        <w:spacing w:line="312" w:lineRule="auto"/>
      </w:pPr>
      <w:r w:rsidRPr="00384ADF">
        <w:rPr>
          <w:rFonts w:cs="Arial"/>
        </w:rPr>
        <w:t>R</w:t>
      </w:r>
      <w:r w:rsidR="004753B5" w:rsidRPr="00384ADF">
        <w:rPr>
          <w:rFonts w:cs="Arial"/>
        </w:rPr>
        <w:t xml:space="preserve">eporting infrastructure </w:t>
      </w:r>
      <w:r w:rsidR="00AB151E" w:rsidRPr="00384ADF">
        <w:rPr>
          <w:rFonts w:cs="Arial"/>
        </w:rPr>
        <w:t xml:space="preserve">is </w:t>
      </w:r>
      <w:r w:rsidR="00AB151E" w:rsidRPr="00384ADF">
        <w:t xml:space="preserve">the </w:t>
      </w:r>
      <w:r w:rsidR="004753B5" w:rsidRPr="00384ADF">
        <w:t>combination of components enabling the production of</w:t>
      </w:r>
      <w:r w:rsidR="001F462B" w:rsidRPr="00384ADF">
        <w:t xml:space="preserve"> </w:t>
      </w:r>
      <w:r w:rsidR="004753B5" w:rsidRPr="00384ADF">
        <w:t xml:space="preserve">relevant and </w:t>
      </w:r>
      <w:r w:rsidR="008D1047" w:rsidRPr="00384ADF">
        <w:t xml:space="preserve">reliable </w:t>
      </w:r>
      <w:r w:rsidR="004753B5" w:rsidRPr="00384ADF">
        <w:t>sustainability information by the reporting entity</w:t>
      </w:r>
      <w:r w:rsidR="003119D8" w:rsidRPr="00384ADF">
        <w:t>,</w:t>
      </w:r>
      <w:r w:rsidR="00AB151E" w:rsidRPr="00384ADF">
        <w:t xml:space="preserve"> </w:t>
      </w:r>
      <w:r w:rsidR="005D5F95" w:rsidRPr="00384ADF">
        <w:t>and</w:t>
      </w:r>
      <w:r w:rsidR="00AB151E" w:rsidRPr="00384ADF">
        <w:t xml:space="preserve"> includes</w:t>
      </w:r>
      <w:r w:rsidR="00432947" w:rsidRPr="00384ADF">
        <w:t>, but</w:t>
      </w:r>
      <w:r w:rsidR="006129F4" w:rsidRPr="00384ADF">
        <w:t xml:space="preserve"> is</w:t>
      </w:r>
      <w:r w:rsidR="00432947" w:rsidRPr="00384ADF">
        <w:t xml:space="preserve"> not limited to,</w:t>
      </w:r>
      <w:r w:rsidR="005D5F95" w:rsidRPr="00384ADF">
        <w:t xml:space="preserve"> the</w:t>
      </w:r>
      <w:r w:rsidR="00587B79" w:rsidRPr="00384ADF">
        <w:t xml:space="preserve"> following</w:t>
      </w:r>
      <w:r w:rsidR="00AB151E" w:rsidRPr="00384ADF">
        <w:t>:</w:t>
      </w:r>
    </w:p>
    <w:p w14:paraId="79C7974D" w14:textId="0F078CAF" w:rsidR="00B275B5" w:rsidRPr="00384ADF" w:rsidRDefault="00B275B5" w:rsidP="00155539">
      <w:pPr>
        <w:pStyle w:val="NumList"/>
        <w:numPr>
          <w:ilvl w:val="1"/>
          <w:numId w:val="2"/>
        </w:numPr>
        <w:spacing w:line="312" w:lineRule="auto"/>
        <w:ind w:hanging="425"/>
        <w:rPr>
          <w:rFonts w:cs="Arial"/>
        </w:rPr>
      </w:pPr>
      <w:r w:rsidRPr="00384ADF">
        <w:rPr>
          <w:rFonts w:cs="Arial"/>
        </w:rPr>
        <w:t>Relevant reporting framework;</w:t>
      </w:r>
    </w:p>
    <w:p w14:paraId="7904513E" w14:textId="6BF6951D" w:rsidR="00B275B5" w:rsidRPr="00384ADF" w:rsidRDefault="00B275B5" w:rsidP="00155539">
      <w:pPr>
        <w:pStyle w:val="NumList"/>
        <w:numPr>
          <w:ilvl w:val="1"/>
          <w:numId w:val="2"/>
        </w:numPr>
        <w:spacing w:line="312" w:lineRule="auto"/>
        <w:ind w:hanging="425"/>
        <w:rPr>
          <w:rFonts w:cs="Arial"/>
        </w:rPr>
      </w:pPr>
      <w:r w:rsidRPr="00384ADF">
        <w:rPr>
          <w:rFonts w:cs="Arial"/>
        </w:rPr>
        <w:t>Reporting policies</w:t>
      </w:r>
      <w:r w:rsidR="00295F8F" w:rsidRPr="00384ADF">
        <w:rPr>
          <w:rFonts w:cs="Arial"/>
        </w:rPr>
        <w:t xml:space="preserve"> and procedures</w:t>
      </w:r>
      <w:r w:rsidRPr="00384ADF">
        <w:rPr>
          <w:rFonts w:cs="Arial"/>
        </w:rPr>
        <w:t>;</w:t>
      </w:r>
    </w:p>
    <w:p w14:paraId="35ADA37F" w14:textId="77777777" w:rsidR="00B275B5" w:rsidRPr="00384ADF" w:rsidRDefault="00B275B5" w:rsidP="00155539">
      <w:pPr>
        <w:pStyle w:val="NumList"/>
        <w:numPr>
          <w:ilvl w:val="1"/>
          <w:numId w:val="2"/>
        </w:numPr>
        <w:spacing w:line="312" w:lineRule="auto"/>
        <w:ind w:hanging="425"/>
        <w:rPr>
          <w:rFonts w:cs="Arial"/>
        </w:rPr>
      </w:pPr>
      <w:r w:rsidRPr="00384ADF">
        <w:rPr>
          <w:rFonts w:cs="Arial"/>
        </w:rPr>
        <w:t>Reporting systems and controls; and</w:t>
      </w:r>
    </w:p>
    <w:p w14:paraId="61660F3C" w14:textId="77777777" w:rsidR="00B275B5" w:rsidRPr="00384ADF" w:rsidRDefault="00B275B5" w:rsidP="00155539">
      <w:pPr>
        <w:pStyle w:val="NumList"/>
        <w:numPr>
          <w:ilvl w:val="1"/>
          <w:numId w:val="2"/>
        </w:numPr>
        <w:spacing w:line="312" w:lineRule="auto"/>
        <w:ind w:hanging="425"/>
        <w:rPr>
          <w:rFonts w:cs="Arial"/>
        </w:rPr>
      </w:pPr>
      <w:r w:rsidRPr="00384ADF">
        <w:rPr>
          <w:rFonts w:cs="Arial"/>
        </w:rPr>
        <w:t>Governance and oversight.</w:t>
      </w:r>
    </w:p>
    <w:p w14:paraId="2363514E" w14:textId="0C4D10C0" w:rsidR="00B275B5" w:rsidRPr="00384ADF" w:rsidRDefault="00B275B5" w:rsidP="00ED6603">
      <w:pPr>
        <w:pStyle w:val="Heading3"/>
      </w:pPr>
      <w:bookmarkStart w:id="20" w:name="_Toc43704051"/>
      <w:r w:rsidRPr="00384ADF">
        <w:t>Relevant reporting framework</w:t>
      </w:r>
      <w:bookmarkEnd w:id="20"/>
    </w:p>
    <w:p w14:paraId="3432F561" w14:textId="0F7A4E45" w:rsidR="00B275B5" w:rsidRPr="00384ADF" w:rsidRDefault="00B275B5" w:rsidP="00445B02">
      <w:pPr>
        <w:pStyle w:val="NumList"/>
        <w:spacing w:line="312" w:lineRule="auto"/>
        <w:ind w:left="562" w:hanging="562"/>
      </w:pPr>
      <w:r w:rsidRPr="00384ADF">
        <w:t>A relevant reporting framework consists of reporting principles applied to generate report content addressing</w:t>
      </w:r>
      <w:r w:rsidR="00A24526" w:rsidRPr="00384ADF">
        <w:t>,</w:t>
      </w:r>
      <w:r w:rsidRPr="00384ADF">
        <w:t xml:space="preserve"> </w:t>
      </w:r>
      <w:r w:rsidR="00A24526" w:rsidRPr="00384ADF">
        <w:t>for example,</w:t>
      </w:r>
      <w:r w:rsidRPr="00384ADF">
        <w:t xml:space="preserve"> stakeholder inclusiveness, reporting materiality and </w:t>
      </w:r>
      <w:r w:rsidR="00146CE4" w:rsidRPr="00384ADF">
        <w:t>relevance and reliability</w:t>
      </w:r>
      <w:r w:rsidRPr="00384ADF">
        <w:t>.</w:t>
      </w:r>
    </w:p>
    <w:p w14:paraId="21FC4E20" w14:textId="41B02765" w:rsidR="00B275B5" w:rsidRPr="00384ADF" w:rsidRDefault="00B275B5" w:rsidP="00ED6603">
      <w:pPr>
        <w:pStyle w:val="Heading3"/>
      </w:pPr>
      <w:bookmarkStart w:id="21" w:name="_Toc43704052"/>
      <w:r w:rsidRPr="00384ADF">
        <w:t>Reporting policies</w:t>
      </w:r>
      <w:r w:rsidR="00E92B31" w:rsidRPr="00384ADF">
        <w:t xml:space="preserve"> and procedures</w:t>
      </w:r>
      <w:bookmarkEnd w:id="21"/>
    </w:p>
    <w:p w14:paraId="674DEAD4" w14:textId="28797E43" w:rsidR="00B275B5" w:rsidRPr="00384ADF" w:rsidRDefault="00B275B5" w:rsidP="00445B02">
      <w:pPr>
        <w:pStyle w:val="NumList"/>
        <w:spacing w:line="312" w:lineRule="auto"/>
        <w:ind w:left="562" w:hanging="562"/>
      </w:pPr>
      <w:r w:rsidRPr="00384ADF">
        <w:t>Reporting policies</w:t>
      </w:r>
      <w:r w:rsidR="00E92B31" w:rsidRPr="00384ADF">
        <w:t xml:space="preserve"> and procedures</w:t>
      </w:r>
      <w:r w:rsidRPr="00384ADF">
        <w:t xml:space="preserve"> are</w:t>
      </w:r>
      <w:r w:rsidR="000773F1" w:rsidRPr="00384ADF">
        <w:t xml:space="preserve"> selected or</w:t>
      </w:r>
      <w:r w:rsidRPr="00384ADF">
        <w:t xml:space="preserve"> developed by management to implement a reporting framework, and include bases, conventions and practices applied</w:t>
      </w:r>
      <w:r w:rsidR="00055471" w:rsidRPr="00384ADF">
        <w:t xml:space="preserve"> consistently</w:t>
      </w:r>
      <w:r w:rsidRPr="00384ADF">
        <w:t xml:space="preserve"> by the reporting entity in </w:t>
      </w:r>
      <w:r w:rsidR="00C2616A" w:rsidRPr="00384ADF">
        <w:t xml:space="preserve">identifying, recognising, measuring, </w:t>
      </w:r>
      <w:r w:rsidRPr="00384ADF">
        <w:t>presenting</w:t>
      </w:r>
      <w:r w:rsidR="00C2616A" w:rsidRPr="00384ADF">
        <w:t xml:space="preserve"> and disclosing</w:t>
      </w:r>
      <w:r w:rsidRPr="00384ADF">
        <w:t xml:space="preserve"> sustainability information.</w:t>
      </w:r>
    </w:p>
    <w:p w14:paraId="3336B29D" w14:textId="50CEF40B" w:rsidR="00B275B5" w:rsidRPr="00384ADF" w:rsidRDefault="00B275B5" w:rsidP="00ED6603">
      <w:pPr>
        <w:pStyle w:val="Heading3"/>
      </w:pPr>
      <w:bookmarkStart w:id="22" w:name="_Toc43704053"/>
      <w:r w:rsidRPr="00384ADF">
        <w:t>Reporting systems and controls</w:t>
      </w:r>
      <w:bookmarkEnd w:id="22"/>
    </w:p>
    <w:p w14:paraId="546F0494" w14:textId="7A54FCF8" w:rsidR="00B275B5" w:rsidRPr="00384ADF" w:rsidRDefault="00B275B5" w:rsidP="00445B02">
      <w:pPr>
        <w:pStyle w:val="NumList"/>
        <w:spacing w:line="312" w:lineRule="auto"/>
        <w:ind w:left="562" w:hanging="562"/>
      </w:pPr>
      <w:r w:rsidRPr="00384ADF">
        <w:t>Reporting systems and controls are used to gather, process and report sustainability information.</w:t>
      </w:r>
    </w:p>
    <w:p w14:paraId="420F8FE9" w14:textId="5FEA838A" w:rsidR="00B275B5" w:rsidRPr="00384ADF" w:rsidRDefault="00B275B5" w:rsidP="00ED6603">
      <w:pPr>
        <w:pStyle w:val="Heading3"/>
      </w:pPr>
      <w:bookmarkStart w:id="23" w:name="_Toc43704054"/>
      <w:r w:rsidRPr="00384ADF">
        <w:t>Governance and oversight</w:t>
      </w:r>
      <w:bookmarkEnd w:id="23"/>
      <w:r w:rsidRPr="00384ADF">
        <w:t xml:space="preserve"> </w:t>
      </w:r>
    </w:p>
    <w:p w14:paraId="6A10B7EE" w14:textId="37B863BD" w:rsidR="00B275B5" w:rsidRPr="00384ADF" w:rsidRDefault="00B275B5" w:rsidP="00445B02">
      <w:pPr>
        <w:pStyle w:val="NumList"/>
        <w:spacing w:line="312" w:lineRule="auto"/>
        <w:ind w:left="562" w:hanging="562"/>
        <w:rPr>
          <w:lang w:eastAsia="en-US"/>
        </w:rPr>
      </w:pPr>
      <w:r w:rsidRPr="00384ADF">
        <w:t>Governance and oversight is the oversight function performed by the governing body and management at the reporting entity in the generation of sustainability information.</w:t>
      </w:r>
    </w:p>
    <w:p w14:paraId="0A910B68" w14:textId="4499BFA3" w:rsidR="00E77F62" w:rsidRPr="00384ADF" w:rsidRDefault="00200BF6" w:rsidP="00F412E3">
      <w:pPr>
        <w:pStyle w:val="Heading2"/>
      </w:pPr>
      <w:bookmarkStart w:id="24" w:name="_Toc43704055"/>
      <w:r w:rsidRPr="00384ADF">
        <w:t>Underlying subject matter</w:t>
      </w:r>
      <w:r w:rsidR="002A43D1" w:rsidRPr="00384ADF">
        <w:t>,</w:t>
      </w:r>
      <w:r w:rsidRPr="00384ADF">
        <w:t xml:space="preserve"> subject </w:t>
      </w:r>
      <w:r w:rsidR="00E77F62" w:rsidRPr="00384ADF">
        <w:t>matter information</w:t>
      </w:r>
      <w:r w:rsidR="002A43D1" w:rsidRPr="00384ADF">
        <w:t xml:space="preserve"> and criteria</w:t>
      </w:r>
      <w:bookmarkEnd w:id="24"/>
    </w:p>
    <w:p w14:paraId="09E8DB84" w14:textId="19DE9F3D" w:rsidR="00853DB6" w:rsidRPr="00384ADF" w:rsidRDefault="00853DB6" w:rsidP="00445B02">
      <w:pPr>
        <w:pStyle w:val="NumList"/>
        <w:spacing w:line="312" w:lineRule="auto"/>
        <w:ind w:left="562" w:hanging="562"/>
      </w:pPr>
      <w:r w:rsidRPr="00384ADF">
        <w:t>The appropriate interpretation of the concepts of underlying subject matter</w:t>
      </w:r>
      <w:r w:rsidR="00FB0754" w:rsidRPr="00384ADF">
        <w:t>,</w:t>
      </w:r>
      <w:r w:rsidRPr="00384ADF">
        <w:t xml:space="preserve"> subject matter</w:t>
      </w:r>
      <w:r w:rsidR="00CD4A87" w:rsidRPr="00384ADF">
        <w:t xml:space="preserve"> information</w:t>
      </w:r>
      <w:r w:rsidR="00FB0754" w:rsidRPr="00384ADF">
        <w:t xml:space="preserve"> and criteria</w:t>
      </w:r>
      <w:r w:rsidRPr="00384ADF">
        <w:t xml:space="preserve"> is </w:t>
      </w:r>
      <w:r w:rsidR="00FC3AB2" w:rsidRPr="00384ADF">
        <w:t xml:space="preserve">key </w:t>
      </w:r>
      <w:r w:rsidR="003119D8" w:rsidRPr="00384ADF">
        <w:t>in</w:t>
      </w:r>
      <w:r w:rsidRPr="00384ADF">
        <w:t xml:space="preserve"> </w:t>
      </w:r>
      <w:r w:rsidR="000C1350" w:rsidRPr="00384ADF">
        <w:rPr>
          <w:rFonts w:cs="Arial"/>
        </w:rPr>
        <w:t>determining whether the sustainability assurance engagement exhibits a rational purpose</w:t>
      </w:r>
      <w:r w:rsidRPr="00384ADF">
        <w:t xml:space="preserve">, </w:t>
      </w:r>
      <w:r w:rsidR="003119D8" w:rsidRPr="00384ADF">
        <w:t>and</w:t>
      </w:r>
      <w:r w:rsidRPr="00384ADF">
        <w:t xml:space="preserve"> </w:t>
      </w:r>
      <w:r w:rsidR="00587B79" w:rsidRPr="00384ADF">
        <w:t xml:space="preserve">in </w:t>
      </w:r>
      <w:r w:rsidR="000C1350" w:rsidRPr="00384ADF">
        <w:t xml:space="preserve">determining </w:t>
      </w:r>
      <w:r w:rsidR="00B81050" w:rsidRPr="00384ADF">
        <w:rPr>
          <w:rFonts w:cs="Arial"/>
        </w:rPr>
        <w:t>whether the sustainability assurance engagement exhibits the criteria that the practitioner expects to be applied in the preparation of the subject matter information are suitable for the engagement circumstances</w:t>
      </w:r>
      <w:r w:rsidRPr="00384ADF">
        <w:t xml:space="preserve">. </w:t>
      </w:r>
    </w:p>
    <w:p w14:paraId="1B7A17A9" w14:textId="48229EAB" w:rsidR="00CD0725" w:rsidRPr="00384ADF" w:rsidRDefault="007B0BAE" w:rsidP="0029213B">
      <w:pPr>
        <w:pStyle w:val="NumList"/>
        <w:spacing w:line="312" w:lineRule="auto"/>
        <w:ind w:left="562" w:hanging="562"/>
      </w:pPr>
      <w:r w:rsidRPr="00384ADF">
        <w:t xml:space="preserve">In the context of sustainability reporting, </w:t>
      </w:r>
      <w:r w:rsidR="00FC3AB2" w:rsidRPr="00384ADF">
        <w:t xml:space="preserve">the process of </w:t>
      </w:r>
      <w:r w:rsidRPr="00384ADF">
        <w:t>understanding</w:t>
      </w:r>
      <w:r w:rsidR="00FC3AB2" w:rsidRPr="00384ADF">
        <w:t xml:space="preserve"> the</w:t>
      </w:r>
      <w:r w:rsidRPr="00384ADF">
        <w:t xml:space="preserve"> underlying subject matter </w:t>
      </w:r>
      <w:r w:rsidR="0012195B" w:rsidRPr="00384ADF">
        <w:t xml:space="preserve">may </w:t>
      </w:r>
      <w:r w:rsidRPr="00384ADF">
        <w:t>be disaggregated into multiple levels</w:t>
      </w:r>
      <w:r w:rsidR="00853DB6" w:rsidRPr="00384ADF">
        <w:t>. T</w:t>
      </w:r>
      <w:r w:rsidR="00CD4A87" w:rsidRPr="00384ADF">
        <w:t>o facilitate</w:t>
      </w:r>
      <w:r w:rsidR="00924778" w:rsidRPr="00384ADF">
        <w:t xml:space="preserve"> the</w:t>
      </w:r>
      <w:r w:rsidR="00CD4A87" w:rsidRPr="00384ADF">
        <w:t xml:space="preserve"> consistent application of these concepts</w:t>
      </w:r>
      <w:r w:rsidR="001E4C83" w:rsidRPr="00384ADF">
        <w:t>,</w:t>
      </w:r>
      <w:r w:rsidR="00853DB6" w:rsidRPr="00384ADF">
        <w:t xml:space="preserve"> a practical example </w:t>
      </w:r>
      <w:r w:rsidR="001E4C83" w:rsidRPr="00384ADF">
        <w:t xml:space="preserve">is </w:t>
      </w:r>
      <w:r w:rsidR="00CD0725" w:rsidRPr="00384ADF">
        <w:t xml:space="preserve">depicted in </w:t>
      </w:r>
      <w:r w:rsidR="00CD0725" w:rsidRPr="00384ADF">
        <w:rPr>
          <w:b/>
        </w:rPr>
        <w:t>Figure 1</w:t>
      </w:r>
      <w:r w:rsidR="00CD0725" w:rsidRPr="00384ADF">
        <w:t xml:space="preserve"> and</w:t>
      </w:r>
      <w:r w:rsidR="00766760" w:rsidRPr="00384ADF">
        <w:t xml:space="preserve"> described in</w:t>
      </w:r>
      <w:r w:rsidR="00853DB6" w:rsidRPr="00384ADF">
        <w:t xml:space="preserve"> paragraphs</w:t>
      </w:r>
      <w:r w:rsidR="001E4C83" w:rsidRPr="00384ADF">
        <w:t xml:space="preserve"> </w:t>
      </w:r>
      <w:r w:rsidR="002B6802" w:rsidRPr="00384ADF">
        <w:t>39</w:t>
      </w:r>
      <w:r w:rsidR="001E4C83" w:rsidRPr="00384ADF">
        <w:t>-</w:t>
      </w:r>
      <w:r w:rsidR="002B6802" w:rsidRPr="00384ADF">
        <w:t>46</w:t>
      </w:r>
      <w:r w:rsidR="001E4C83" w:rsidRPr="00384ADF">
        <w:t>.</w:t>
      </w:r>
      <w:r w:rsidR="00CD4A87" w:rsidRPr="00384ADF">
        <w:t xml:space="preserve"> </w:t>
      </w:r>
      <w:r w:rsidR="005955AF" w:rsidRPr="00384ADF">
        <w:t>F</w:t>
      </w:r>
      <w:r w:rsidR="003D65A7" w:rsidRPr="00384ADF">
        <w:t xml:space="preserve">urther </w:t>
      </w:r>
      <w:r w:rsidR="00B90ACB" w:rsidRPr="00384ADF">
        <w:t>example</w:t>
      </w:r>
      <w:r w:rsidR="005955AF" w:rsidRPr="00384ADF">
        <w:t>s</w:t>
      </w:r>
      <w:r w:rsidR="00B90ACB" w:rsidRPr="00384ADF">
        <w:t xml:space="preserve"> </w:t>
      </w:r>
      <w:r w:rsidR="005955AF" w:rsidRPr="00384ADF">
        <w:t xml:space="preserve">are </w:t>
      </w:r>
      <w:r w:rsidR="00B90ACB" w:rsidRPr="00384ADF">
        <w:t xml:space="preserve">provided in </w:t>
      </w:r>
      <w:r w:rsidR="00B90ACB" w:rsidRPr="00384ADF">
        <w:rPr>
          <w:b/>
        </w:rPr>
        <w:t xml:space="preserve">Appendix </w:t>
      </w:r>
      <w:r w:rsidR="00FB3200" w:rsidRPr="00384ADF">
        <w:rPr>
          <w:b/>
        </w:rPr>
        <w:t>C</w:t>
      </w:r>
      <w:r w:rsidR="00B90ACB" w:rsidRPr="00384ADF">
        <w:t xml:space="preserve">. </w:t>
      </w:r>
      <w:r w:rsidR="00CD4A87" w:rsidRPr="00384ADF">
        <w:t>A three</w:t>
      </w:r>
      <w:r w:rsidR="000A2051" w:rsidRPr="00384ADF">
        <w:t>-</w:t>
      </w:r>
      <w:r w:rsidR="00CD4A87" w:rsidRPr="00384ADF">
        <w:t xml:space="preserve">level scenario is </w:t>
      </w:r>
      <w:r w:rsidR="001E4C83" w:rsidRPr="00384ADF">
        <w:t>utilised</w:t>
      </w:r>
      <w:r w:rsidR="00CD4A87" w:rsidRPr="00384ADF">
        <w:t xml:space="preserve"> to illustrate this.</w:t>
      </w:r>
    </w:p>
    <w:p w14:paraId="2D0225F6" w14:textId="4B7AA04A" w:rsidR="00F03905" w:rsidRPr="00384ADF" w:rsidRDefault="00F03905" w:rsidP="00242C02">
      <w:pPr>
        <w:pStyle w:val="NumList"/>
        <w:keepNext/>
        <w:widowControl/>
        <w:numPr>
          <w:ilvl w:val="0"/>
          <w:numId w:val="0"/>
        </w:numPr>
        <w:spacing w:line="312" w:lineRule="auto"/>
        <w:ind w:left="562"/>
        <w:jc w:val="right"/>
        <w:rPr>
          <w:b/>
          <w:sz w:val="20"/>
          <w:szCs w:val="20"/>
        </w:rPr>
      </w:pPr>
      <w:r w:rsidRPr="00384ADF">
        <w:rPr>
          <w:b/>
          <w:sz w:val="20"/>
          <w:szCs w:val="20"/>
        </w:rPr>
        <w:t>Figure 1</w:t>
      </w:r>
    </w:p>
    <w:p w14:paraId="4008F585" w14:textId="65712C67" w:rsidR="00D13D1B" w:rsidRPr="00384ADF" w:rsidRDefault="003364FB" w:rsidP="00242C02">
      <w:pPr>
        <w:pStyle w:val="NumList"/>
        <w:keepNext/>
        <w:widowControl/>
        <w:numPr>
          <w:ilvl w:val="0"/>
          <w:numId w:val="0"/>
        </w:numPr>
        <w:spacing w:line="312" w:lineRule="auto"/>
        <w:ind w:left="562"/>
      </w:pPr>
      <w:r w:rsidRPr="00384ADF">
        <w:rPr>
          <w:noProof/>
          <w:lang w:val="en-US" w:eastAsia="en-US"/>
        </w:rPr>
        <w:drawing>
          <wp:inline distT="0" distB="0" distL="0" distR="0" wp14:anchorId="2B897B41" wp14:editId="64DBE804">
            <wp:extent cx="4960619" cy="31997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8603" cy="3217815"/>
                    </a:xfrm>
                    <a:prstGeom prst="rect">
                      <a:avLst/>
                    </a:prstGeom>
                    <a:noFill/>
                    <a:ln>
                      <a:noFill/>
                    </a:ln>
                  </pic:spPr>
                </pic:pic>
              </a:graphicData>
            </a:graphic>
          </wp:inline>
        </w:drawing>
      </w:r>
    </w:p>
    <w:p w14:paraId="5F6CA718" w14:textId="3A5493C6" w:rsidR="00853DB6" w:rsidRPr="00384ADF" w:rsidRDefault="00853DB6" w:rsidP="00242C02">
      <w:pPr>
        <w:pStyle w:val="NumList"/>
        <w:keepNext/>
        <w:widowControl/>
        <w:spacing w:line="312" w:lineRule="auto"/>
      </w:pPr>
      <w:r w:rsidRPr="00384ADF">
        <w:t xml:space="preserve">Level 1: In the context of a sustainability report, the </w:t>
      </w:r>
      <w:r w:rsidR="00A33DE5" w:rsidRPr="00384ADF">
        <w:t xml:space="preserve">underlying subject matter </w:t>
      </w:r>
      <w:r w:rsidR="009D0C7E" w:rsidRPr="00384ADF">
        <w:t>is</w:t>
      </w:r>
      <w:r w:rsidRPr="00384ADF">
        <w:t xml:space="preserve"> considered to be sustainability performance. </w:t>
      </w:r>
    </w:p>
    <w:p w14:paraId="66534006" w14:textId="732DD35F" w:rsidR="00853DB6" w:rsidRPr="00384ADF" w:rsidRDefault="00853DB6" w:rsidP="005279E7">
      <w:pPr>
        <w:pStyle w:val="NumList"/>
        <w:spacing w:line="312" w:lineRule="auto"/>
      </w:pPr>
      <w:r w:rsidRPr="00384ADF">
        <w:t xml:space="preserve">Level 2: </w:t>
      </w:r>
      <w:r w:rsidR="007B0BAE" w:rsidRPr="00384ADF">
        <w:t xml:space="preserve">Sustainability performance </w:t>
      </w:r>
      <w:r w:rsidR="0012195B" w:rsidRPr="00384ADF">
        <w:t xml:space="preserve">may </w:t>
      </w:r>
      <w:r w:rsidR="007B0BAE" w:rsidRPr="00384ADF">
        <w:t xml:space="preserve">be </w:t>
      </w:r>
      <w:r w:rsidR="00222A3F" w:rsidRPr="00384ADF">
        <w:t>disaggregated</w:t>
      </w:r>
      <w:r w:rsidR="007B0BAE" w:rsidRPr="00384ADF">
        <w:t xml:space="preserve"> into </w:t>
      </w:r>
      <w:r w:rsidR="00C2616A" w:rsidRPr="00384ADF">
        <w:t>environmental</w:t>
      </w:r>
      <w:r w:rsidR="00C94C11" w:rsidRPr="00384ADF">
        <w:t>,</w:t>
      </w:r>
      <w:r w:rsidR="00C2616A" w:rsidRPr="00384ADF">
        <w:t xml:space="preserve"> </w:t>
      </w:r>
      <w:r w:rsidR="007B0BAE" w:rsidRPr="00384ADF">
        <w:t xml:space="preserve">social, </w:t>
      </w:r>
      <w:r w:rsidR="00C2616A" w:rsidRPr="00384ADF">
        <w:t xml:space="preserve">governance </w:t>
      </w:r>
      <w:r w:rsidR="007B0BAE" w:rsidRPr="00384ADF">
        <w:t>and economic performance, which become the underlying subject matter at this level.</w:t>
      </w:r>
      <w:r w:rsidR="000E6E90" w:rsidRPr="00384ADF">
        <w:t xml:space="preserve"> In this example, social performance is the underlying subject matter.</w:t>
      </w:r>
    </w:p>
    <w:p w14:paraId="547C511C" w14:textId="4C61AC41" w:rsidR="00436878" w:rsidRPr="00384ADF" w:rsidRDefault="00853DB6" w:rsidP="005279E7">
      <w:pPr>
        <w:pStyle w:val="NumList"/>
        <w:spacing w:line="312" w:lineRule="auto"/>
        <w:rPr>
          <w:rFonts w:cs="Arial"/>
        </w:rPr>
      </w:pPr>
      <w:r w:rsidRPr="00384ADF">
        <w:t xml:space="preserve">Level 3: </w:t>
      </w:r>
      <w:r w:rsidR="007B0BAE" w:rsidRPr="00384ADF">
        <w:t xml:space="preserve">In </w:t>
      </w:r>
      <w:r w:rsidR="000E6E90" w:rsidRPr="00384ADF">
        <w:t xml:space="preserve">disaggregating </w:t>
      </w:r>
      <w:r w:rsidR="007B0BAE" w:rsidRPr="00384ADF">
        <w:t xml:space="preserve">social performance further, the underlying subject matter at this level </w:t>
      </w:r>
      <w:r w:rsidR="00D4047E" w:rsidRPr="00384ADF">
        <w:t xml:space="preserve">may </w:t>
      </w:r>
      <w:r w:rsidR="007B0BAE" w:rsidRPr="00384ADF">
        <w:t>be</w:t>
      </w:r>
      <w:r w:rsidR="0093276B" w:rsidRPr="00384ADF">
        <w:t>, for example,</w:t>
      </w:r>
      <w:r w:rsidR="007B0BAE" w:rsidRPr="00384ADF">
        <w:t xml:space="preserve"> </w:t>
      </w:r>
      <w:r w:rsidR="00DB443C" w:rsidRPr="00384ADF">
        <w:t xml:space="preserve">health and safety, human rights or </w:t>
      </w:r>
      <w:r w:rsidR="007B0BAE" w:rsidRPr="00384ADF">
        <w:t>customer satisfaction</w:t>
      </w:r>
      <w:r w:rsidRPr="00384ADF">
        <w:t xml:space="preserve">. </w:t>
      </w:r>
      <w:r w:rsidR="000E6E90" w:rsidRPr="00384ADF">
        <w:t>Customer satisfaction is used in this example.</w:t>
      </w:r>
    </w:p>
    <w:p w14:paraId="4040800E" w14:textId="5A1A0A89" w:rsidR="00436878" w:rsidRPr="00384ADF" w:rsidRDefault="00436878" w:rsidP="005279E7">
      <w:pPr>
        <w:pStyle w:val="NumList"/>
        <w:spacing w:line="312" w:lineRule="auto"/>
        <w:rPr>
          <w:rFonts w:cs="Arial"/>
        </w:rPr>
      </w:pPr>
      <w:r w:rsidRPr="00384ADF">
        <w:rPr>
          <w:rFonts w:eastAsia="Calibri" w:cs="Arial"/>
        </w:rPr>
        <w:t>The definition of criteria contained in ISAE 3000 (Revised) refers to the benchmarks used to measure or evaluate the underlying subject matter</w:t>
      </w:r>
      <w:r w:rsidRPr="00384ADF">
        <w:rPr>
          <w:rStyle w:val="FootnoteReference"/>
          <w:rFonts w:eastAsia="Calibri" w:cs="Arial"/>
          <w:vertAlign w:val="superscript"/>
        </w:rPr>
        <w:footnoteReference w:id="26"/>
      </w:r>
      <w:r w:rsidRPr="00384ADF">
        <w:rPr>
          <w:rFonts w:eastAsia="Calibri" w:cs="Arial"/>
        </w:rPr>
        <w:t xml:space="preserve">. In the context of sustainability reporting, it is </w:t>
      </w:r>
      <w:r w:rsidR="00256389" w:rsidRPr="00384ADF">
        <w:rPr>
          <w:rFonts w:eastAsia="Calibri" w:cs="Arial"/>
        </w:rPr>
        <w:t xml:space="preserve">recommended </w:t>
      </w:r>
      <w:r w:rsidRPr="00384ADF">
        <w:rPr>
          <w:rFonts w:eastAsia="Calibri" w:cs="Arial"/>
        </w:rPr>
        <w:t>to distinguish between criteria for developing reporting content (</w:t>
      </w:r>
      <w:r w:rsidR="000D04B2" w:rsidRPr="00384ADF">
        <w:rPr>
          <w:rFonts w:eastAsia="Calibri" w:cs="Arial"/>
        </w:rPr>
        <w:t xml:space="preserve">scoping </w:t>
      </w:r>
      <w:r w:rsidRPr="00384ADF">
        <w:rPr>
          <w:rFonts w:eastAsia="Calibri" w:cs="Arial"/>
        </w:rPr>
        <w:t xml:space="preserve">criteria) and criteria for measurement (measurement </w:t>
      </w:r>
      <w:r w:rsidR="006627F5" w:rsidRPr="00384ADF">
        <w:rPr>
          <w:rFonts w:eastAsia="Calibri" w:cs="Arial"/>
        </w:rPr>
        <w:t xml:space="preserve">or evaluation </w:t>
      </w:r>
      <w:r w:rsidRPr="00384ADF">
        <w:rPr>
          <w:rFonts w:eastAsia="Calibri" w:cs="Arial"/>
        </w:rPr>
        <w:t>criteria)</w:t>
      </w:r>
      <w:r w:rsidR="00924778" w:rsidRPr="00384ADF">
        <w:rPr>
          <w:rFonts w:eastAsia="Calibri" w:cs="Arial"/>
        </w:rPr>
        <w:t xml:space="preserve">. The two </w:t>
      </w:r>
      <w:r w:rsidR="0012195B" w:rsidRPr="00384ADF">
        <w:rPr>
          <w:rFonts w:eastAsia="Calibri" w:cs="Arial"/>
        </w:rPr>
        <w:t xml:space="preserve">may </w:t>
      </w:r>
      <w:r w:rsidR="00924778" w:rsidRPr="00384ADF">
        <w:rPr>
          <w:rFonts w:eastAsia="Calibri" w:cs="Arial"/>
        </w:rPr>
        <w:t>be defined as follows</w:t>
      </w:r>
      <w:r w:rsidRPr="00384ADF">
        <w:rPr>
          <w:rFonts w:eastAsia="Calibri" w:cs="Arial"/>
        </w:rPr>
        <w:t>:</w:t>
      </w:r>
    </w:p>
    <w:p w14:paraId="057D6D9C" w14:textId="59B5F35C" w:rsidR="00436878" w:rsidRPr="00384ADF" w:rsidRDefault="000D04B2" w:rsidP="005279E7">
      <w:pPr>
        <w:pStyle w:val="NumList"/>
        <w:numPr>
          <w:ilvl w:val="1"/>
          <w:numId w:val="2"/>
        </w:numPr>
        <w:spacing w:line="312" w:lineRule="auto"/>
        <w:ind w:hanging="425"/>
        <w:rPr>
          <w:rFonts w:cs="Arial"/>
        </w:rPr>
      </w:pPr>
      <w:r w:rsidRPr="00384ADF">
        <w:rPr>
          <w:rFonts w:cs="Arial"/>
        </w:rPr>
        <w:t xml:space="preserve">Scoping </w:t>
      </w:r>
      <w:r w:rsidR="00436878" w:rsidRPr="00384ADF">
        <w:rPr>
          <w:rFonts w:cs="Arial"/>
        </w:rPr>
        <w:t>criteria</w:t>
      </w:r>
      <w:r w:rsidR="005D5F95" w:rsidRPr="00384ADF">
        <w:rPr>
          <w:rFonts w:cs="Arial"/>
        </w:rPr>
        <w:t>: This</w:t>
      </w:r>
      <w:r w:rsidR="00436878" w:rsidRPr="00384ADF">
        <w:rPr>
          <w:rFonts w:cs="Arial"/>
        </w:rPr>
        <w:t xml:space="preserve"> considers which</w:t>
      </w:r>
      <w:r w:rsidR="00551945" w:rsidRPr="00384ADF">
        <w:rPr>
          <w:rFonts w:cs="Arial"/>
        </w:rPr>
        <w:t xml:space="preserve"> KPIs and/or</w:t>
      </w:r>
      <w:r w:rsidR="00436878" w:rsidRPr="00384ADF">
        <w:rPr>
          <w:rFonts w:cs="Arial"/>
        </w:rPr>
        <w:t xml:space="preserve"> disclosures </w:t>
      </w:r>
      <w:r w:rsidR="003B5F3D" w:rsidRPr="00384ADF">
        <w:rPr>
          <w:rFonts w:cs="Arial"/>
        </w:rPr>
        <w:t xml:space="preserve">may </w:t>
      </w:r>
      <w:r w:rsidR="00436878" w:rsidRPr="00384ADF">
        <w:rPr>
          <w:rFonts w:cs="Arial"/>
        </w:rPr>
        <w:t>be used to evaluate performance pertaining to</w:t>
      </w:r>
      <w:r w:rsidR="000A2051" w:rsidRPr="00384ADF">
        <w:rPr>
          <w:rFonts w:cs="Arial"/>
        </w:rPr>
        <w:t xml:space="preserve"> the</w:t>
      </w:r>
      <w:r w:rsidR="00436878" w:rsidRPr="00384ADF">
        <w:rPr>
          <w:rFonts w:cs="Arial"/>
        </w:rPr>
        <w:t xml:space="preserve"> underlying subject matter at the various levels</w:t>
      </w:r>
      <w:r w:rsidR="00914621" w:rsidRPr="00384ADF">
        <w:rPr>
          <w:rFonts w:cs="Arial"/>
        </w:rPr>
        <w:t>,</w:t>
      </w:r>
      <w:r w:rsidR="00BD1151" w:rsidRPr="00384ADF">
        <w:rPr>
          <w:rFonts w:cs="Arial"/>
        </w:rPr>
        <w:t xml:space="preserve"> and which disclosed KPIs are scoped into the</w:t>
      </w:r>
      <w:r w:rsidR="00B81050" w:rsidRPr="00384ADF">
        <w:rPr>
          <w:rFonts w:cs="Arial"/>
        </w:rPr>
        <w:t xml:space="preserve"> sustainability</w:t>
      </w:r>
      <w:r w:rsidR="00BD1151" w:rsidRPr="00384ADF">
        <w:rPr>
          <w:rFonts w:cs="Arial"/>
        </w:rPr>
        <w:t xml:space="preserve"> assurance engagement</w:t>
      </w:r>
      <w:r w:rsidR="00436878" w:rsidRPr="00384ADF">
        <w:rPr>
          <w:rFonts w:cs="Arial"/>
        </w:rPr>
        <w:t xml:space="preserve">. This </w:t>
      </w:r>
      <w:r w:rsidR="003B5F3D" w:rsidRPr="00384ADF">
        <w:rPr>
          <w:rFonts w:cs="Arial"/>
        </w:rPr>
        <w:t>may</w:t>
      </w:r>
      <w:r w:rsidR="008A7308" w:rsidRPr="00384ADF">
        <w:rPr>
          <w:rFonts w:cs="Arial"/>
        </w:rPr>
        <w:t xml:space="preserve"> </w:t>
      </w:r>
      <w:r w:rsidR="00436878" w:rsidRPr="00384ADF">
        <w:rPr>
          <w:rFonts w:cs="Arial"/>
        </w:rPr>
        <w:t xml:space="preserve">be considered as part of </w:t>
      </w:r>
      <w:r w:rsidR="00B81050" w:rsidRPr="00384ADF">
        <w:rPr>
          <w:rFonts w:cs="Arial"/>
        </w:rPr>
        <w:t>determining whether the sustainability assurance engagement exhibits a rational purpose</w:t>
      </w:r>
      <w:r w:rsidR="00436878" w:rsidRPr="00384ADF">
        <w:rPr>
          <w:rFonts w:cs="Arial"/>
        </w:rPr>
        <w:t>.</w:t>
      </w:r>
    </w:p>
    <w:p w14:paraId="37E2A8F4" w14:textId="7DA84AED" w:rsidR="00436878" w:rsidRPr="00384ADF" w:rsidRDefault="00436878" w:rsidP="005279E7">
      <w:pPr>
        <w:pStyle w:val="NumList"/>
        <w:numPr>
          <w:ilvl w:val="1"/>
          <w:numId w:val="2"/>
        </w:numPr>
        <w:spacing w:line="312" w:lineRule="auto"/>
        <w:ind w:hanging="425"/>
        <w:rPr>
          <w:rFonts w:cs="Arial"/>
        </w:rPr>
      </w:pPr>
      <w:r w:rsidRPr="00384ADF">
        <w:rPr>
          <w:rFonts w:cs="Arial"/>
        </w:rPr>
        <w:t xml:space="preserve">Measurement </w:t>
      </w:r>
      <w:r w:rsidR="006627F5" w:rsidRPr="00384ADF">
        <w:rPr>
          <w:rFonts w:cs="Arial"/>
        </w:rPr>
        <w:t>or evaluation</w:t>
      </w:r>
      <w:r w:rsidR="000D04B2" w:rsidRPr="00384ADF">
        <w:rPr>
          <w:rFonts w:cs="Arial"/>
        </w:rPr>
        <w:t xml:space="preserve"> </w:t>
      </w:r>
      <w:r w:rsidRPr="00384ADF">
        <w:rPr>
          <w:rFonts w:cs="Arial"/>
        </w:rPr>
        <w:t>criteria</w:t>
      </w:r>
      <w:r w:rsidR="005D5F95" w:rsidRPr="00384ADF">
        <w:rPr>
          <w:rFonts w:cs="Arial"/>
        </w:rPr>
        <w:t>: This</w:t>
      </w:r>
      <w:r w:rsidRPr="00384ADF">
        <w:rPr>
          <w:rFonts w:cs="Arial"/>
        </w:rPr>
        <w:t xml:space="preserve"> considers measurement</w:t>
      </w:r>
      <w:r w:rsidR="00BD1151" w:rsidRPr="00384ADF">
        <w:rPr>
          <w:rFonts w:cs="Arial"/>
        </w:rPr>
        <w:t xml:space="preserve"> or evaluation</w:t>
      </w:r>
      <w:r w:rsidRPr="00384ADF">
        <w:rPr>
          <w:rFonts w:cs="Arial"/>
        </w:rPr>
        <w:t xml:space="preserve"> protocols for identified KPIs</w:t>
      </w:r>
      <w:r w:rsidR="001C0754" w:rsidRPr="00384ADF">
        <w:rPr>
          <w:rFonts w:cs="Arial"/>
        </w:rPr>
        <w:t xml:space="preserve"> and</w:t>
      </w:r>
      <w:r w:rsidR="00551945" w:rsidRPr="00384ADF">
        <w:rPr>
          <w:rFonts w:cs="Arial"/>
        </w:rPr>
        <w:t>/or</w:t>
      </w:r>
      <w:r w:rsidR="001C0754" w:rsidRPr="00384ADF">
        <w:rPr>
          <w:rFonts w:cs="Arial"/>
        </w:rPr>
        <w:t xml:space="preserve"> disclosures</w:t>
      </w:r>
      <w:r w:rsidR="000029E1" w:rsidRPr="00384ADF">
        <w:rPr>
          <w:rFonts w:cs="Arial"/>
        </w:rPr>
        <w:t>,</w:t>
      </w:r>
      <w:r w:rsidR="00BD1151" w:rsidRPr="00384ADF">
        <w:rPr>
          <w:rFonts w:cs="Arial"/>
        </w:rPr>
        <w:t xml:space="preserve"> i.e. the criteria used in the particular engagement to measure or evaluate the underlying subject matter</w:t>
      </w:r>
      <w:r w:rsidRPr="00384ADF">
        <w:rPr>
          <w:rFonts w:cs="Arial"/>
        </w:rPr>
        <w:t xml:space="preserve">. This </w:t>
      </w:r>
      <w:r w:rsidR="003B5F3D" w:rsidRPr="00384ADF">
        <w:rPr>
          <w:rFonts w:cs="Arial"/>
        </w:rPr>
        <w:t>may</w:t>
      </w:r>
      <w:r w:rsidR="008A7308" w:rsidRPr="00384ADF">
        <w:rPr>
          <w:rFonts w:cs="Arial"/>
        </w:rPr>
        <w:t xml:space="preserve"> </w:t>
      </w:r>
      <w:r w:rsidRPr="00384ADF">
        <w:rPr>
          <w:rFonts w:cs="Arial"/>
        </w:rPr>
        <w:t xml:space="preserve">be considered as part of </w:t>
      </w:r>
      <w:r w:rsidR="00B81050" w:rsidRPr="00384ADF">
        <w:t xml:space="preserve">determining </w:t>
      </w:r>
      <w:r w:rsidR="00B81050" w:rsidRPr="00384ADF">
        <w:rPr>
          <w:rFonts w:cs="Arial"/>
        </w:rPr>
        <w:t>whether the sustainability assurance engagement exhibits the criteria that the practitioner expects to be applied in the preparation of the subject matter information are suitable for the engagement circumstances</w:t>
      </w:r>
      <w:r w:rsidRPr="00384ADF">
        <w:rPr>
          <w:rFonts w:cs="Arial"/>
        </w:rPr>
        <w:t>.</w:t>
      </w:r>
    </w:p>
    <w:p w14:paraId="66E24A8D" w14:textId="4012C7C4" w:rsidR="00EC11C5" w:rsidRPr="00384ADF" w:rsidRDefault="00EC11C5" w:rsidP="005279E7">
      <w:pPr>
        <w:pStyle w:val="NumList"/>
        <w:spacing w:line="312" w:lineRule="auto"/>
        <w:rPr>
          <w:rFonts w:cs="Arial"/>
        </w:rPr>
      </w:pPr>
      <w:r w:rsidRPr="00384ADF">
        <w:t>Unless specified, when this SAAEPS refers to criteria it refers to both the scoping criteria and measurement or evaluation criteria.</w:t>
      </w:r>
    </w:p>
    <w:p w14:paraId="5D57E825" w14:textId="68117B83" w:rsidR="00222A3F" w:rsidRPr="00384ADF" w:rsidRDefault="00222A3F" w:rsidP="005279E7">
      <w:pPr>
        <w:pStyle w:val="NumList"/>
        <w:spacing w:line="312" w:lineRule="auto"/>
        <w:rPr>
          <w:rFonts w:cs="Arial"/>
        </w:rPr>
      </w:pPr>
      <w:r w:rsidRPr="00384ADF">
        <w:rPr>
          <w:rFonts w:eastAsia="Calibri" w:cs="Arial"/>
        </w:rPr>
        <w:t>In the context of providing assurance on sustainability information, the</w:t>
      </w:r>
      <w:r w:rsidR="00CE33E7">
        <w:rPr>
          <w:rFonts w:eastAsia="Calibri" w:cs="Arial"/>
        </w:rPr>
        <w:t xml:space="preserve"> selection or</w:t>
      </w:r>
      <w:r w:rsidRPr="00384ADF">
        <w:rPr>
          <w:rFonts w:eastAsia="Calibri" w:cs="Arial"/>
        </w:rPr>
        <w:t xml:space="preserve"> development of criteria is the responsibility of the reporting entity. </w:t>
      </w:r>
      <w:r w:rsidR="003119D8" w:rsidRPr="00384ADF">
        <w:rPr>
          <w:rFonts w:eastAsia="Calibri" w:cs="Arial"/>
        </w:rPr>
        <w:t xml:space="preserve">The </w:t>
      </w:r>
      <w:r w:rsidRPr="00384ADF">
        <w:rPr>
          <w:rFonts w:eastAsia="Calibri" w:cs="Arial"/>
        </w:rPr>
        <w:t xml:space="preserve">practitioner’s responsibility </w:t>
      </w:r>
      <w:r w:rsidR="003119D8" w:rsidRPr="00384ADF">
        <w:rPr>
          <w:rFonts w:eastAsia="Calibri" w:cs="Arial"/>
        </w:rPr>
        <w:t xml:space="preserve">is </w:t>
      </w:r>
      <w:r w:rsidRPr="00384ADF">
        <w:rPr>
          <w:rFonts w:eastAsia="Calibri" w:cs="Arial"/>
        </w:rPr>
        <w:t xml:space="preserve">to </w:t>
      </w:r>
      <w:r w:rsidR="00AF4B85" w:rsidRPr="00384ADF">
        <w:rPr>
          <w:rFonts w:cs="Arial"/>
        </w:rPr>
        <w:t xml:space="preserve">determine </w:t>
      </w:r>
      <w:r w:rsidR="004916BA" w:rsidRPr="00384ADF">
        <w:rPr>
          <w:rFonts w:cs="Arial"/>
        </w:rPr>
        <w:t>whether the sustainability assurance engagement exhibits the criteria that the practitioner expects to be applied in the preparation of the subject matter information are suitable for the engagement circumstances</w:t>
      </w:r>
      <w:r w:rsidRPr="00384ADF">
        <w:rPr>
          <w:rFonts w:eastAsia="Calibri" w:cs="Arial"/>
        </w:rPr>
        <w:t>.</w:t>
      </w:r>
    </w:p>
    <w:p w14:paraId="5E9663D5" w14:textId="09B25811" w:rsidR="00436878" w:rsidRPr="00384ADF" w:rsidRDefault="00436878" w:rsidP="005279E7">
      <w:pPr>
        <w:pStyle w:val="NumList"/>
        <w:spacing w:line="312" w:lineRule="auto"/>
        <w:rPr>
          <w:rFonts w:cs="Arial"/>
        </w:rPr>
      </w:pPr>
      <w:r w:rsidRPr="00384ADF">
        <w:rPr>
          <w:rFonts w:eastAsia="Calibri" w:cs="Arial"/>
        </w:rPr>
        <w:t xml:space="preserve">Using the example of customer satisfaction, the application of </w:t>
      </w:r>
      <w:r w:rsidR="0014228C" w:rsidRPr="00384ADF">
        <w:rPr>
          <w:rFonts w:eastAsia="Calibri" w:cs="Arial"/>
        </w:rPr>
        <w:t xml:space="preserve">scoping </w:t>
      </w:r>
      <w:r w:rsidRPr="00384ADF">
        <w:rPr>
          <w:rFonts w:eastAsia="Calibri" w:cs="Arial"/>
        </w:rPr>
        <w:t xml:space="preserve">criteria </w:t>
      </w:r>
      <w:r w:rsidR="003B5F3D" w:rsidRPr="00384ADF">
        <w:rPr>
          <w:rFonts w:eastAsia="Calibri" w:cs="Arial"/>
        </w:rPr>
        <w:t xml:space="preserve">may </w:t>
      </w:r>
      <w:r w:rsidRPr="00384ADF">
        <w:rPr>
          <w:rFonts w:eastAsia="Calibri" w:cs="Arial"/>
        </w:rPr>
        <w:t>result in the selection</w:t>
      </w:r>
      <w:r w:rsidR="00822549" w:rsidRPr="00384ADF">
        <w:rPr>
          <w:rFonts w:eastAsia="Calibri" w:cs="Arial"/>
        </w:rPr>
        <w:t xml:space="preserve"> by management</w:t>
      </w:r>
      <w:r w:rsidRPr="00384ADF">
        <w:rPr>
          <w:rFonts w:eastAsia="Calibri" w:cs="Arial"/>
        </w:rPr>
        <w:t xml:space="preserve"> of the most appropriate KPIs in the context of the reporting entity</w:t>
      </w:r>
      <w:r w:rsidR="00616CDC" w:rsidRPr="00384ADF">
        <w:rPr>
          <w:rFonts w:eastAsia="Calibri" w:cs="Arial"/>
        </w:rPr>
        <w:t xml:space="preserve">. An </w:t>
      </w:r>
      <w:r w:rsidRPr="00384ADF">
        <w:rPr>
          <w:rFonts w:eastAsia="Calibri" w:cs="Arial"/>
        </w:rPr>
        <w:t>example</w:t>
      </w:r>
      <w:r w:rsidR="00616CDC" w:rsidRPr="00384ADF">
        <w:rPr>
          <w:rFonts w:eastAsia="Calibri" w:cs="Arial"/>
        </w:rPr>
        <w:t xml:space="preserve"> </w:t>
      </w:r>
      <w:r w:rsidR="00D4047E" w:rsidRPr="00384ADF">
        <w:rPr>
          <w:rFonts w:eastAsia="Calibri" w:cs="Arial"/>
        </w:rPr>
        <w:t xml:space="preserve">may </w:t>
      </w:r>
      <w:r w:rsidR="00616CDC" w:rsidRPr="00384ADF">
        <w:rPr>
          <w:rFonts w:eastAsia="Calibri" w:cs="Arial"/>
        </w:rPr>
        <w:t>be</w:t>
      </w:r>
      <w:r w:rsidRPr="00384ADF">
        <w:rPr>
          <w:rFonts w:eastAsia="Calibri" w:cs="Arial"/>
        </w:rPr>
        <w:t xml:space="preserve"> the number of customer complaints resolved to the acknowledged satisfaction of</w:t>
      </w:r>
      <w:r w:rsidR="00FB0754" w:rsidRPr="00384ADF">
        <w:rPr>
          <w:rFonts w:eastAsia="Calibri" w:cs="Arial"/>
        </w:rPr>
        <w:t xml:space="preserve"> the customer</w:t>
      </w:r>
      <w:r w:rsidRPr="00384ADF">
        <w:rPr>
          <w:rFonts w:eastAsia="Calibri" w:cs="Arial"/>
        </w:rPr>
        <w:t xml:space="preserve"> or</w:t>
      </w:r>
      <w:r w:rsidR="00FB0754" w:rsidRPr="00384ADF">
        <w:rPr>
          <w:rFonts w:eastAsia="Calibri" w:cs="Arial"/>
        </w:rPr>
        <w:t xml:space="preserve"> the</w:t>
      </w:r>
      <w:r w:rsidRPr="00384ADF">
        <w:rPr>
          <w:rFonts w:eastAsia="Calibri" w:cs="Arial"/>
        </w:rPr>
        <w:t xml:space="preserve"> number of repeat purchases</w:t>
      </w:r>
      <w:r w:rsidR="00FB0754" w:rsidRPr="00384ADF">
        <w:rPr>
          <w:rFonts w:eastAsia="Calibri" w:cs="Arial"/>
        </w:rPr>
        <w:t xml:space="preserve"> in the three months following the initial purchase.</w:t>
      </w:r>
      <w:r w:rsidRPr="00384ADF">
        <w:rPr>
          <w:rFonts w:eastAsia="Calibri" w:cs="Arial"/>
        </w:rPr>
        <w:t xml:space="preserve"> The measurement</w:t>
      </w:r>
      <w:r w:rsidR="006627F5" w:rsidRPr="00384ADF">
        <w:rPr>
          <w:rFonts w:eastAsia="Calibri" w:cs="Arial"/>
        </w:rPr>
        <w:t xml:space="preserve"> or</w:t>
      </w:r>
      <w:r w:rsidRPr="00384ADF">
        <w:rPr>
          <w:rFonts w:eastAsia="Calibri" w:cs="Arial"/>
        </w:rPr>
        <w:t xml:space="preserve"> </w:t>
      </w:r>
      <w:r w:rsidR="006627F5" w:rsidRPr="00384ADF">
        <w:rPr>
          <w:rFonts w:eastAsia="Calibri" w:cs="Arial"/>
        </w:rPr>
        <w:t xml:space="preserve">evaluation </w:t>
      </w:r>
      <w:r w:rsidRPr="00384ADF">
        <w:rPr>
          <w:rFonts w:eastAsia="Calibri" w:cs="Arial"/>
        </w:rPr>
        <w:t xml:space="preserve">criteria </w:t>
      </w:r>
      <w:r w:rsidR="003B5F3D" w:rsidRPr="00384ADF">
        <w:rPr>
          <w:rFonts w:eastAsia="Calibri" w:cs="Arial"/>
        </w:rPr>
        <w:t xml:space="preserve">may </w:t>
      </w:r>
      <w:r w:rsidRPr="00384ADF">
        <w:rPr>
          <w:rFonts w:eastAsia="Calibri" w:cs="Arial"/>
        </w:rPr>
        <w:t>provide measurement protocols</w:t>
      </w:r>
      <w:r w:rsidR="00540CB2" w:rsidRPr="00384ADF">
        <w:rPr>
          <w:rFonts w:eastAsia="Calibri" w:cs="Arial"/>
        </w:rPr>
        <w:t xml:space="preserve"> that are</w:t>
      </w:r>
      <w:r w:rsidRPr="00384ADF">
        <w:rPr>
          <w:rFonts w:eastAsia="Calibri" w:cs="Arial"/>
        </w:rPr>
        <w:t xml:space="preserve"> relevant to </w:t>
      </w:r>
      <w:r w:rsidR="007A1F22" w:rsidRPr="00384ADF">
        <w:rPr>
          <w:rFonts w:eastAsia="Calibri" w:cs="Arial"/>
        </w:rPr>
        <w:t xml:space="preserve">both </w:t>
      </w:r>
      <w:r w:rsidRPr="00384ADF">
        <w:rPr>
          <w:rFonts w:eastAsia="Calibri" w:cs="Arial"/>
        </w:rPr>
        <w:t xml:space="preserve">of these KPIs. </w:t>
      </w:r>
    </w:p>
    <w:p w14:paraId="38EB1931" w14:textId="5DCEE38C" w:rsidR="00BE17C5" w:rsidRPr="00384ADF" w:rsidRDefault="00436878" w:rsidP="005279E7">
      <w:pPr>
        <w:pStyle w:val="NumList"/>
        <w:spacing w:line="312" w:lineRule="auto"/>
      </w:pPr>
      <w:r w:rsidRPr="00384ADF">
        <w:rPr>
          <w:rFonts w:eastAsia="Calibri" w:cs="Arial"/>
        </w:rPr>
        <w:t xml:space="preserve">An example of subject matter information in this case </w:t>
      </w:r>
      <w:r w:rsidR="003B5F3D" w:rsidRPr="00384ADF">
        <w:rPr>
          <w:rFonts w:eastAsia="Calibri" w:cs="Arial"/>
        </w:rPr>
        <w:t xml:space="preserve">may </w:t>
      </w:r>
      <w:r w:rsidRPr="00384ADF">
        <w:rPr>
          <w:rFonts w:eastAsia="Calibri" w:cs="Arial"/>
        </w:rPr>
        <w:t xml:space="preserve">be the actual </w:t>
      </w:r>
      <w:r w:rsidR="00FB0754" w:rsidRPr="00384ADF">
        <w:rPr>
          <w:rFonts w:eastAsia="Calibri" w:cs="Arial"/>
        </w:rPr>
        <w:t>number of customer complaints resolved to the acknowledged satisfaction of the customer</w:t>
      </w:r>
      <w:r w:rsidRPr="00384ADF">
        <w:rPr>
          <w:rFonts w:eastAsia="Calibri" w:cs="Arial"/>
        </w:rPr>
        <w:t xml:space="preserve"> (e</w:t>
      </w:r>
      <w:r w:rsidR="00FB0754" w:rsidRPr="00384ADF">
        <w:rPr>
          <w:rFonts w:eastAsia="Calibri" w:cs="Arial"/>
        </w:rPr>
        <w:t>.</w:t>
      </w:r>
      <w:r w:rsidRPr="00384ADF">
        <w:rPr>
          <w:rFonts w:eastAsia="Calibri" w:cs="Arial"/>
        </w:rPr>
        <w:t xml:space="preserve">g. 20 </w:t>
      </w:r>
      <w:r w:rsidR="00FB0754" w:rsidRPr="00384ADF">
        <w:rPr>
          <w:rFonts w:eastAsia="Calibri" w:cs="Arial"/>
        </w:rPr>
        <w:t xml:space="preserve">customer </w:t>
      </w:r>
      <w:r w:rsidRPr="00384ADF">
        <w:rPr>
          <w:rFonts w:eastAsia="Calibri" w:cs="Arial"/>
        </w:rPr>
        <w:t>complaints resolved)</w:t>
      </w:r>
      <w:r w:rsidR="003119D8" w:rsidRPr="00384ADF">
        <w:rPr>
          <w:rFonts w:eastAsia="Calibri" w:cs="Arial"/>
        </w:rPr>
        <w:t>,</w:t>
      </w:r>
      <w:r w:rsidRPr="00384ADF">
        <w:rPr>
          <w:rFonts w:eastAsia="Calibri" w:cs="Arial"/>
        </w:rPr>
        <w:t xml:space="preserve"> resulting from applying the </w:t>
      </w:r>
      <w:r w:rsidR="00FC3AB2" w:rsidRPr="00384ADF">
        <w:rPr>
          <w:rFonts w:eastAsia="Calibri" w:cs="Arial"/>
        </w:rPr>
        <w:t xml:space="preserve">relevant </w:t>
      </w:r>
      <w:r w:rsidRPr="00384ADF">
        <w:rPr>
          <w:rFonts w:eastAsia="Calibri" w:cs="Arial"/>
        </w:rPr>
        <w:t>measurement</w:t>
      </w:r>
      <w:r w:rsidR="00025DC4" w:rsidRPr="00384ADF">
        <w:rPr>
          <w:rFonts w:eastAsia="Calibri" w:cs="Arial"/>
        </w:rPr>
        <w:t xml:space="preserve"> or evaluation</w:t>
      </w:r>
      <w:r w:rsidRPr="00384ADF">
        <w:rPr>
          <w:rFonts w:eastAsia="Calibri" w:cs="Arial"/>
        </w:rPr>
        <w:t xml:space="preserve"> criteria.</w:t>
      </w:r>
    </w:p>
    <w:p w14:paraId="0578A3F1" w14:textId="32935C13" w:rsidR="00373529" w:rsidRPr="00384ADF" w:rsidRDefault="00373529" w:rsidP="00CD4843">
      <w:pPr>
        <w:pStyle w:val="Heading1"/>
        <w:rPr>
          <w:rFonts w:hint="eastAsia"/>
        </w:rPr>
      </w:pPr>
      <w:bookmarkStart w:id="25" w:name="_Toc43704056"/>
      <w:r w:rsidRPr="00384ADF">
        <w:t>Preconditions to</w:t>
      </w:r>
      <w:r w:rsidR="000B22FF" w:rsidRPr="00384ADF">
        <w:t xml:space="preserve"> </w:t>
      </w:r>
      <w:r w:rsidR="00616CDC" w:rsidRPr="00384ADF">
        <w:rPr>
          <w:rFonts w:hint="eastAsia"/>
        </w:rPr>
        <w:t>Sustainability Assurance Engagements</w:t>
      </w:r>
      <w:bookmarkEnd w:id="25"/>
    </w:p>
    <w:p w14:paraId="45B6B26B" w14:textId="714D32B3" w:rsidR="00364A38" w:rsidRPr="00384ADF" w:rsidRDefault="00364A38" w:rsidP="005279E7">
      <w:pPr>
        <w:pStyle w:val="NumList"/>
        <w:spacing w:line="312" w:lineRule="auto"/>
      </w:pPr>
      <w:r w:rsidRPr="00384ADF">
        <w:t xml:space="preserve">This section of this SAAEPS </w:t>
      </w:r>
      <w:r w:rsidR="009D0C7E" w:rsidRPr="00384ADF">
        <w:t xml:space="preserve">provides guidance </w:t>
      </w:r>
      <w:r w:rsidRPr="00384ADF">
        <w:t xml:space="preserve">on whether </w:t>
      </w:r>
      <w:r w:rsidR="001B0929" w:rsidRPr="00384ADF">
        <w:t xml:space="preserve">certain </w:t>
      </w:r>
      <w:r w:rsidRPr="00384ADF">
        <w:t>aspects of the preconditions for the assurance engagement dealt with in this SAAEPS</w:t>
      </w:r>
      <w:r w:rsidR="009D0C7E" w:rsidRPr="00384ADF">
        <w:t xml:space="preserve"> (rational purpose, appropriateness of underlying subject matter and suitability of criteria)</w:t>
      </w:r>
      <w:r w:rsidRPr="00384ADF">
        <w:t xml:space="preserve"> </w:t>
      </w:r>
      <w:r w:rsidR="00B82F6E" w:rsidRPr="00384ADF">
        <w:t>are present</w:t>
      </w:r>
      <w:r w:rsidR="009D0C7E" w:rsidRPr="00384ADF">
        <w:t>.</w:t>
      </w:r>
    </w:p>
    <w:p w14:paraId="314D4C32" w14:textId="2BD94C55" w:rsidR="0086035F" w:rsidRPr="00384ADF" w:rsidRDefault="000E5AA8" w:rsidP="00F412E3">
      <w:pPr>
        <w:pStyle w:val="Heading2"/>
      </w:pPr>
      <w:bookmarkStart w:id="26" w:name="_Toc43704057"/>
      <w:r w:rsidRPr="00384ADF">
        <w:t>R</w:t>
      </w:r>
      <w:r w:rsidR="0086035F" w:rsidRPr="00384ADF">
        <w:t>ational purpose</w:t>
      </w:r>
      <w:bookmarkEnd w:id="26"/>
    </w:p>
    <w:p w14:paraId="62E788CA" w14:textId="21E063AC" w:rsidR="004F1A81" w:rsidRPr="00384ADF" w:rsidRDefault="009D0C7E" w:rsidP="005279E7">
      <w:pPr>
        <w:pStyle w:val="NumList"/>
        <w:spacing w:line="312" w:lineRule="auto"/>
      </w:pPr>
      <w:r w:rsidRPr="00384ADF">
        <w:t>R</w:t>
      </w:r>
      <w:r w:rsidR="006A6E4F" w:rsidRPr="00384ADF">
        <w:t xml:space="preserve">ational purpose focuses on the subject matter information (reporting content).  </w:t>
      </w:r>
    </w:p>
    <w:p w14:paraId="7D8EAD9D" w14:textId="38F3ADD0" w:rsidR="001C5194" w:rsidRPr="00384ADF" w:rsidRDefault="004D3C40" w:rsidP="005279E7">
      <w:pPr>
        <w:pStyle w:val="NumList"/>
        <w:spacing w:line="312" w:lineRule="auto"/>
      </w:pPr>
      <w:r w:rsidRPr="00384ADF">
        <w:t>I</w:t>
      </w:r>
      <w:r w:rsidR="001C5194" w:rsidRPr="00384ADF">
        <w:rPr>
          <w:rFonts w:cs="Arial"/>
        </w:rPr>
        <w:t xml:space="preserve">n determining whether an engagement </w:t>
      </w:r>
      <w:r w:rsidR="009D0C7E" w:rsidRPr="00384ADF">
        <w:rPr>
          <w:rFonts w:cs="Arial"/>
        </w:rPr>
        <w:t xml:space="preserve">exhibits </w:t>
      </w:r>
      <w:r w:rsidR="001C5194" w:rsidRPr="00384ADF">
        <w:rPr>
          <w:rFonts w:cs="Arial"/>
        </w:rPr>
        <w:t>a rational purpose, there are a number of relevant considerations that the practitioner consider</w:t>
      </w:r>
      <w:r w:rsidR="0012195B" w:rsidRPr="00384ADF">
        <w:rPr>
          <w:rFonts w:cs="Arial"/>
        </w:rPr>
        <w:t>s</w:t>
      </w:r>
      <w:r w:rsidR="00AC7CC8" w:rsidRPr="00384ADF">
        <w:rPr>
          <w:rFonts w:cs="Arial"/>
        </w:rPr>
        <w:t xml:space="preserve"> in</w:t>
      </w:r>
      <w:r w:rsidR="004A5C2E" w:rsidRPr="00384ADF">
        <w:rPr>
          <w:rFonts w:cs="Arial"/>
        </w:rPr>
        <w:t xml:space="preserve"> relation to the reporting entity’s</w:t>
      </w:r>
      <w:r w:rsidR="00AC7CC8" w:rsidRPr="00384ADF">
        <w:rPr>
          <w:rFonts w:cs="Arial"/>
        </w:rPr>
        <w:t xml:space="preserve"> generation of reporting content</w:t>
      </w:r>
      <w:r w:rsidR="00CE33E7">
        <w:rPr>
          <w:rFonts w:cs="Arial"/>
        </w:rPr>
        <w:t xml:space="preserve"> and the decision on the external assurance to be sought</w:t>
      </w:r>
      <w:r w:rsidR="00397A0D" w:rsidRPr="00384ADF">
        <w:rPr>
          <w:rFonts w:cs="Arial"/>
        </w:rPr>
        <w:t xml:space="preserve"> (scoping criteria)</w:t>
      </w:r>
      <w:r w:rsidR="001C5194" w:rsidRPr="00384ADF">
        <w:rPr>
          <w:rFonts w:cs="Arial"/>
        </w:rPr>
        <w:t>.</w:t>
      </w:r>
    </w:p>
    <w:p w14:paraId="0FB9D87F" w14:textId="45613D18" w:rsidR="007B5ED9" w:rsidRPr="00384ADF" w:rsidRDefault="008F5DBF" w:rsidP="00155539">
      <w:pPr>
        <w:pStyle w:val="NumList"/>
        <w:spacing w:line="312" w:lineRule="auto"/>
      </w:pPr>
      <w:r w:rsidRPr="00384ADF">
        <w:t>The</w:t>
      </w:r>
      <w:r w:rsidR="007B5ED9" w:rsidRPr="00384ADF">
        <w:t>se</w:t>
      </w:r>
      <w:r w:rsidRPr="00384ADF">
        <w:t xml:space="preserve"> </w:t>
      </w:r>
      <w:r w:rsidR="007B5ED9" w:rsidRPr="00384ADF">
        <w:t>considerations</w:t>
      </w:r>
      <w:r w:rsidRPr="00384ADF">
        <w:t xml:space="preserve"> (among others)</w:t>
      </w:r>
      <w:r w:rsidR="0070630F" w:rsidRPr="00384ADF">
        <w:rPr>
          <w:rStyle w:val="FootnoteReference"/>
          <w:vertAlign w:val="superscript"/>
        </w:rPr>
        <w:footnoteReference w:id="27"/>
      </w:r>
      <w:r w:rsidRPr="00384ADF">
        <w:t xml:space="preserve"> </w:t>
      </w:r>
      <w:r w:rsidR="007B5ED9" w:rsidRPr="00384ADF">
        <w:t>include:</w:t>
      </w:r>
    </w:p>
    <w:p w14:paraId="43FB65E4" w14:textId="6BCEB9B7" w:rsidR="007B5ED9" w:rsidRPr="00384ADF" w:rsidRDefault="007B5ED9" w:rsidP="00155539">
      <w:pPr>
        <w:pStyle w:val="NumList"/>
        <w:numPr>
          <w:ilvl w:val="1"/>
          <w:numId w:val="2"/>
        </w:numPr>
        <w:spacing w:line="312" w:lineRule="auto"/>
        <w:ind w:hanging="425"/>
      </w:pPr>
      <w:r w:rsidRPr="00384ADF">
        <w:t>Whether aspects of the subject matter information are expected to be excluded from the assurance engagement, and the reason for their exclusion</w:t>
      </w:r>
      <w:r w:rsidR="00C10B81" w:rsidRPr="00384ADF">
        <w:t>; and</w:t>
      </w:r>
    </w:p>
    <w:p w14:paraId="2DEC0EE9" w14:textId="066F018E" w:rsidR="007B5ED9" w:rsidRPr="00384ADF" w:rsidRDefault="007B5ED9" w:rsidP="00155539">
      <w:pPr>
        <w:pStyle w:val="NumList"/>
        <w:numPr>
          <w:ilvl w:val="1"/>
          <w:numId w:val="2"/>
        </w:numPr>
        <w:spacing w:line="312" w:lineRule="auto"/>
        <w:ind w:hanging="425"/>
      </w:pPr>
      <w:r w:rsidRPr="00384ADF">
        <w:t>Who selected the criteria to be applied to measure or evaluate the underlying subject matter, and what the degree of judgment and scope for bias is in applying them. The engagement is more likely to have a rational purpose</w:t>
      </w:r>
      <w:r w:rsidR="00980FCB" w:rsidRPr="00384ADF">
        <w:t xml:space="preserve"> if the intended users selected or were involved in selecting the criteria.</w:t>
      </w:r>
    </w:p>
    <w:p w14:paraId="5C80A70A" w14:textId="2AA39E53" w:rsidR="002F48E8" w:rsidRPr="00384ADF" w:rsidRDefault="00FC3AB2" w:rsidP="00155539">
      <w:pPr>
        <w:pStyle w:val="NumList"/>
        <w:spacing w:line="312" w:lineRule="auto"/>
      </w:pPr>
      <w:r w:rsidRPr="00384ADF">
        <w:t>In</w:t>
      </w:r>
      <w:r w:rsidR="004A395B" w:rsidRPr="00384ADF">
        <w:t xml:space="preserve"> consideration</w:t>
      </w:r>
      <w:r w:rsidRPr="00384ADF">
        <w:t xml:space="preserve"> of the matters</w:t>
      </w:r>
      <w:r w:rsidR="004A395B" w:rsidRPr="00384ADF">
        <w:t xml:space="preserve"> set out in paragraph </w:t>
      </w:r>
      <w:r w:rsidR="002B6802" w:rsidRPr="00384ADF">
        <w:t>50</w:t>
      </w:r>
      <w:r w:rsidR="004A395B" w:rsidRPr="00384ADF">
        <w:t>, a</w:t>
      </w:r>
      <w:r w:rsidR="002F48E8" w:rsidRPr="00384ADF">
        <w:t xml:space="preserve">n understanding of the following areas </w:t>
      </w:r>
      <w:r w:rsidR="00E63D4C" w:rsidRPr="00384ADF">
        <w:t xml:space="preserve">may </w:t>
      </w:r>
      <w:r w:rsidR="002F48E8" w:rsidRPr="00384ADF">
        <w:t>be obtained to conclude on the</w:t>
      </w:r>
      <w:r w:rsidR="007A1F22" w:rsidRPr="00384ADF">
        <w:t>se</w:t>
      </w:r>
      <w:r w:rsidR="002F48E8" w:rsidRPr="00384ADF">
        <w:t xml:space="preserve"> </w:t>
      </w:r>
      <w:r w:rsidR="002878C4" w:rsidRPr="00384ADF">
        <w:t xml:space="preserve">two </w:t>
      </w:r>
      <w:r w:rsidR="002F48E8" w:rsidRPr="00384ADF">
        <w:t>considerations:</w:t>
      </w:r>
    </w:p>
    <w:p w14:paraId="49C6FE6E" w14:textId="095BD9EF" w:rsidR="002F48E8" w:rsidRPr="00384ADF" w:rsidRDefault="002F48E8" w:rsidP="00155539">
      <w:pPr>
        <w:pStyle w:val="NumList"/>
        <w:numPr>
          <w:ilvl w:val="1"/>
          <w:numId w:val="2"/>
        </w:numPr>
        <w:spacing w:line="312" w:lineRule="auto"/>
        <w:ind w:hanging="425"/>
      </w:pPr>
      <w:r w:rsidRPr="00384ADF">
        <w:t>Underlying subject matter;</w:t>
      </w:r>
    </w:p>
    <w:p w14:paraId="23C44D9D" w14:textId="2DDBB964" w:rsidR="002F48E8" w:rsidRPr="00384ADF" w:rsidRDefault="002F48E8" w:rsidP="00155539">
      <w:pPr>
        <w:pStyle w:val="NumList"/>
        <w:numPr>
          <w:ilvl w:val="1"/>
          <w:numId w:val="2"/>
        </w:numPr>
        <w:spacing w:line="312" w:lineRule="auto"/>
        <w:ind w:hanging="425"/>
      </w:pPr>
      <w:r w:rsidRPr="00384ADF">
        <w:t>Entity context;</w:t>
      </w:r>
      <w:r w:rsidR="00560BB7" w:rsidRPr="00384ADF">
        <w:t xml:space="preserve"> and</w:t>
      </w:r>
    </w:p>
    <w:p w14:paraId="16D54C56" w14:textId="3FEDFA9B" w:rsidR="00014A50" w:rsidRPr="00384ADF" w:rsidRDefault="003879BC" w:rsidP="00155539">
      <w:pPr>
        <w:pStyle w:val="NumList"/>
        <w:numPr>
          <w:ilvl w:val="1"/>
          <w:numId w:val="2"/>
        </w:numPr>
        <w:spacing w:line="312" w:lineRule="auto"/>
        <w:ind w:hanging="425"/>
      </w:pPr>
      <w:r w:rsidRPr="00384ADF">
        <w:t>R</w:t>
      </w:r>
      <w:r w:rsidR="00014A50" w:rsidRPr="00384ADF">
        <w:t>eporting infrastructure</w:t>
      </w:r>
      <w:r w:rsidR="00C600D3" w:rsidRPr="00384ADF">
        <w:t>:</w:t>
      </w:r>
    </w:p>
    <w:p w14:paraId="626CFD05" w14:textId="31B8C3CB" w:rsidR="002F48E8" w:rsidRPr="00384ADF" w:rsidRDefault="00A65A6D" w:rsidP="00155539">
      <w:pPr>
        <w:pStyle w:val="NumList"/>
        <w:numPr>
          <w:ilvl w:val="1"/>
          <w:numId w:val="9"/>
        </w:numPr>
        <w:tabs>
          <w:tab w:val="clear" w:pos="1134"/>
          <w:tab w:val="num" w:pos="1800"/>
        </w:tabs>
        <w:spacing w:line="312" w:lineRule="auto"/>
        <w:ind w:left="1800"/>
      </w:pPr>
      <w:r w:rsidRPr="00384ADF">
        <w:t>Relevant r</w:t>
      </w:r>
      <w:r w:rsidR="002F48E8" w:rsidRPr="00384ADF">
        <w:t>eporting framework;</w:t>
      </w:r>
    </w:p>
    <w:p w14:paraId="4A5B4680" w14:textId="55BEA048" w:rsidR="002F48E8" w:rsidRPr="00384ADF" w:rsidRDefault="005D26C0" w:rsidP="00155539">
      <w:pPr>
        <w:pStyle w:val="NumList"/>
        <w:numPr>
          <w:ilvl w:val="1"/>
          <w:numId w:val="9"/>
        </w:numPr>
        <w:tabs>
          <w:tab w:val="clear" w:pos="1134"/>
          <w:tab w:val="num" w:pos="1800"/>
        </w:tabs>
        <w:spacing w:line="312" w:lineRule="auto"/>
        <w:ind w:left="1800"/>
      </w:pPr>
      <w:r w:rsidRPr="00384ADF">
        <w:t>R</w:t>
      </w:r>
      <w:r w:rsidR="009D2E88" w:rsidRPr="00384ADF">
        <w:t xml:space="preserve">eporting </w:t>
      </w:r>
      <w:r w:rsidR="002F48E8" w:rsidRPr="00384ADF">
        <w:t>policies</w:t>
      </w:r>
      <w:r w:rsidR="00E92B31" w:rsidRPr="00384ADF">
        <w:t xml:space="preserve"> and procedures</w:t>
      </w:r>
      <w:r w:rsidR="002F48E8" w:rsidRPr="00384ADF">
        <w:t>;</w:t>
      </w:r>
    </w:p>
    <w:p w14:paraId="2EB2262B" w14:textId="2E30F856" w:rsidR="00DB5321" w:rsidRPr="00384ADF" w:rsidRDefault="00DB5321" w:rsidP="00155539">
      <w:pPr>
        <w:pStyle w:val="NumList"/>
        <w:numPr>
          <w:ilvl w:val="1"/>
          <w:numId w:val="9"/>
        </w:numPr>
        <w:tabs>
          <w:tab w:val="clear" w:pos="1134"/>
          <w:tab w:val="num" w:pos="1800"/>
        </w:tabs>
        <w:spacing w:line="312" w:lineRule="auto"/>
        <w:ind w:left="1800"/>
        <w:rPr>
          <w:rFonts w:cs="Arial"/>
        </w:rPr>
      </w:pPr>
      <w:r w:rsidRPr="00384ADF">
        <w:rPr>
          <w:rFonts w:cs="Arial"/>
        </w:rPr>
        <w:t xml:space="preserve">Reporting systems and controls; </w:t>
      </w:r>
      <w:r w:rsidR="00014A50" w:rsidRPr="00384ADF">
        <w:rPr>
          <w:rFonts w:cs="Arial"/>
        </w:rPr>
        <w:t>and</w:t>
      </w:r>
    </w:p>
    <w:p w14:paraId="54548C06" w14:textId="492E7559" w:rsidR="002F48E8" w:rsidRPr="00384ADF" w:rsidRDefault="00A65A6D" w:rsidP="00155539">
      <w:pPr>
        <w:pStyle w:val="NumList"/>
        <w:numPr>
          <w:ilvl w:val="1"/>
          <w:numId w:val="9"/>
        </w:numPr>
        <w:tabs>
          <w:tab w:val="clear" w:pos="1134"/>
          <w:tab w:val="num" w:pos="1800"/>
        </w:tabs>
        <w:spacing w:line="312" w:lineRule="auto"/>
        <w:ind w:left="1800"/>
      </w:pPr>
      <w:r w:rsidRPr="00384ADF">
        <w:rPr>
          <w:rFonts w:cs="Arial"/>
        </w:rPr>
        <w:t>Governance and oversight</w:t>
      </w:r>
      <w:r w:rsidR="00014A50" w:rsidRPr="00384ADF">
        <w:rPr>
          <w:rFonts w:cs="Arial"/>
        </w:rPr>
        <w:t>.</w:t>
      </w:r>
    </w:p>
    <w:p w14:paraId="1658A423" w14:textId="1471E9C6" w:rsidR="00E63D4C" w:rsidRPr="00384ADF" w:rsidRDefault="00AF4B85" w:rsidP="001E4F3B">
      <w:pPr>
        <w:pStyle w:val="NumList"/>
        <w:numPr>
          <w:ilvl w:val="0"/>
          <w:numId w:val="0"/>
        </w:numPr>
        <w:tabs>
          <w:tab w:val="left" w:pos="567"/>
        </w:tabs>
        <w:spacing w:line="312" w:lineRule="auto"/>
        <w:ind w:left="567"/>
      </w:pPr>
      <w:r w:rsidRPr="00384ADF">
        <w:t xml:space="preserve">Although this is not an exhaustive list, </w:t>
      </w:r>
      <w:r w:rsidR="00C2458D" w:rsidRPr="00384ADF">
        <w:t xml:space="preserve">an </w:t>
      </w:r>
      <w:r w:rsidR="00AA1B28" w:rsidRPr="00384ADF">
        <w:t xml:space="preserve">understanding </w:t>
      </w:r>
      <w:r w:rsidR="007F2F88" w:rsidRPr="00384ADF">
        <w:t xml:space="preserve">of these areas </w:t>
      </w:r>
      <w:r w:rsidR="00AA1B28" w:rsidRPr="00384ADF">
        <w:t>is generally obtained. Other areas may be more appropriate to the circumstances of a particular reporting entity or sustainability assurance engagement.</w:t>
      </w:r>
    </w:p>
    <w:p w14:paraId="3D5B1C2E" w14:textId="71220B4C" w:rsidR="0071672F" w:rsidRPr="00384ADF" w:rsidRDefault="00E63D4C" w:rsidP="001E4F3B">
      <w:pPr>
        <w:pStyle w:val="NumList"/>
        <w:spacing w:line="312" w:lineRule="auto"/>
      </w:pPr>
      <w:r w:rsidRPr="00384ADF">
        <w:t xml:space="preserve">Underlying subject matter, entity context and reporting infrastructure do not represent, in themselves, preconditions for </w:t>
      </w:r>
      <w:r w:rsidR="007F2F88" w:rsidRPr="00384ADF">
        <w:t xml:space="preserve">a sustainability </w:t>
      </w:r>
      <w:r w:rsidRPr="00384ADF">
        <w:t>assurance engagement</w:t>
      </w:r>
      <w:r w:rsidR="00C2458D" w:rsidRPr="00384ADF">
        <w:t>.</w:t>
      </w:r>
      <w:r w:rsidRPr="00384ADF">
        <w:t xml:space="preserve"> </w:t>
      </w:r>
      <w:r w:rsidR="00C2458D" w:rsidRPr="00384ADF">
        <w:t xml:space="preserve">They </w:t>
      </w:r>
      <w:r w:rsidRPr="00384ADF">
        <w:t xml:space="preserve">rather provides context in terms of which the practitioner </w:t>
      </w:r>
      <w:r w:rsidR="003B5F3D" w:rsidRPr="00384ADF">
        <w:t>may</w:t>
      </w:r>
      <w:r w:rsidRPr="00384ADF">
        <w:t xml:space="preserve"> understand how the reporting entity generates reporting content and decides on the external assurance to be sought.   </w:t>
      </w:r>
    </w:p>
    <w:p w14:paraId="3D949231" w14:textId="7B6AB5B4" w:rsidR="00980FCB" w:rsidRPr="00384ADF" w:rsidRDefault="002F48E8" w:rsidP="00ED6603">
      <w:pPr>
        <w:pStyle w:val="Heading3"/>
      </w:pPr>
      <w:bookmarkStart w:id="27" w:name="_Toc43704058"/>
      <w:r w:rsidRPr="00384ADF">
        <w:t>Underlying subject matter</w:t>
      </w:r>
      <w:bookmarkEnd w:id="27"/>
    </w:p>
    <w:p w14:paraId="16BBE9D3" w14:textId="5C3BF679" w:rsidR="00980FCB" w:rsidRPr="00384ADF" w:rsidRDefault="00C600D3" w:rsidP="005279E7">
      <w:pPr>
        <w:pStyle w:val="NumList"/>
        <w:spacing w:line="312" w:lineRule="auto"/>
      </w:pPr>
      <w:r w:rsidRPr="00384ADF">
        <w:t xml:space="preserve">To </w:t>
      </w:r>
      <w:r w:rsidR="00177E7C" w:rsidRPr="00384ADF">
        <w:t>determine whether aspects of the subject matter information</w:t>
      </w:r>
      <w:r w:rsidR="00990061" w:rsidRPr="00384ADF">
        <w:t xml:space="preserve"> </w:t>
      </w:r>
      <w:r w:rsidR="00084E23" w:rsidRPr="00384ADF">
        <w:t>have</w:t>
      </w:r>
      <w:r w:rsidR="00177E7C" w:rsidRPr="00384ADF">
        <w:t xml:space="preserve"> been excluded from the</w:t>
      </w:r>
      <w:r w:rsidR="00D22641" w:rsidRPr="00384ADF">
        <w:t xml:space="preserve"> sustainability</w:t>
      </w:r>
      <w:r w:rsidR="00177E7C" w:rsidRPr="00384ADF">
        <w:t xml:space="preserve"> assurance engagement</w:t>
      </w:r>
      <w:r w:rsidR="00CE33E7">
        <w:t xml:space="preserve"> and the reason for their exclusion</w:t>
      </w:r>
      <w:r w:rsidR="00177E7C" w:rsidRPr="00384ADF">
        <w:t>, the practitioner</w:t>
      </w:r>
      <w:r w:rsidR="005955AF" w:rsidRPr="00384ADF">
        <w:t xml:space="preserve"> may</w:t>
      </w:r>
      <w:r w:rsidR="00D06DE8" w:rsidRPr="00384ADF">
        <w:t xml:space="preserve"> obtain a</w:t>
      </w:r>
      <w:r w:rsidR="00256389" w:rsidRPr="00384ADF">
        <w:t>n</w:t>
      </w:r>
      <w:r w:rsidR="00D06DE8" w:rsidRPr="00384ADF">
        <w:t xml:space="preserve"> understanding of the </w:t>
      </w:r>
      <w:r w:rsidR="00084E23" w:rsidRPr="00384ADF">
        <w:t xml:space="preserve">underlying </w:t>
      </w:r>
      <w:r w:rsidR="00D06DE8" w:rsidRPr="00384ADF">
        <w:t>subject matter</w:t>
      </w:r>
      <w:r w:rsidR="00084E23" w:rsidRPr="00384ADF">
        <w:t xml:space="preserve"> </w:t>
      </w:r>
      <w:r w:rsidR="00D06DE8" w:rsidRPr="00384ADF">
        <w:t>that is being reported on</w:t>
      </w:r>
      <w:r w:rsidR="00AB374D" w:rsidRPr="00384ADF">
        <w:t xml:space="preserve"> at a high level</w:t>
      </w:r>
      <w:r w:rsidR="00D06DE8" w:rsidRPr="00384ADF">
        <w:t>.</w:t>
      </w:r>
    </w:p>
    <w:p w14:paraId="1D9DD463" w14:textId="42184F8E" w:rsidR="00AB18E9" w:rsidRPr="00384ADF" w:rsidRDefault="00D06DE8" w:rsidP="005279E7">
      <w:pPr>
        <w:pStyle w:val="NumList"/>
        <w:spacing w:line="312" w:lineRule="auto"/>
      </w:pPr>
      <w:r w:rsidRPr="00384ADF">
        <w:t xml:space="preserve">The </w:t>
      </w:r>
      <w:r w:rsidR="00084E23" w:rsidRPr="00384ADF">
        <w:t xml:space="preserve">underlying </w:t>
      </w:r>
      <w:r w:rsidRPr="00384ADF">
        <w:t xml:space="preserve">subject matter </w:t>
      </w:r>
      <w:r w:rsidR="00084E23" w:rsidRPr="00384ADF">
        <w:t>is the phenomenon that is measured or evaluated by applying criteria</w:t>
      </w:r>
      <w:r w:rsidR="004A5C2E" w:rsidRPr="00384ADF">
        <w:t xml:space="preserve"> (resulting in the subject matter information)</w:t>
      </w:r>
      <w:r w:rsidR="00084E23" w:rsidRPr="00384ADF">
        <w:t xml:space="preserve"> </w:t>
      </w:r>
      <w:r w:rsidR="00AB18E9" w:rsidRPr="00384ADF">
        <w:t xml:space="preserve">and </w:t>
      </w:r>
      <w:r w:rsidRPr="00384ADF">
        <w:t>may be one that is generally well-defined in the marketplace</w:t>
      </w:r>
      <w:r w:rsidR="00AB18E9" w:rsidRPr="00384ADF">
        <w:t xml:space="preserve"> (e.g. financial performance or financial position) </w:t>
      </w:r>
      <w:r w:rsidRPr="00384ADF">
        <w:t>and has a high level of consensus as to its meaning</w:t>
      </w:r>
      <w:r w:rsidR="00C2458D" w:rsidRPr="00384ADF">
        <w:t xml:space="preserve">; </w:t>
      </w:r>
      <w:r w:rsidRPr="00384ADF">
        <w:t xml:space="preserve">or it </w:t>
      </w:r>
      <w:r w:rsidR="0012195B" w:rsidRPr="00384ADF">
        <w:t xml:space="preserve">may </w:t>
      </w:r>
      <w:r w:rsidRPr="00384ADF">
        <w:t xml:space="preserve">be one where the reporting </w:t>
      </w:r>
      <w:r w:rsidR="00DB7433" w:rsidRPr="00384ADF">
        <w:t>entity</w:t>
      </w:r>
      <w:r w:rsidRPr="00384ADF">
        <w:t xml:space="preserve"> specifically define</w:t>
      </w:r>
      <w:r w:rsidR="0012195B" w:rsidRPr="00384ADF">
        <w:t>s</w:t>
      </w:r>
      <w:r w:rsidRPr="00384ADF">
        <w:t xml:space="preserve"> its meaning (</w:t>
      </w:r>
      <w:r w:rsidR="00AB18E9" w:rsidRPr="00384ADF">
        <w:t>e.g.</w:t>
      </w:r>
      <w:r w:rsidRPr="00384ADF">
        <w:t xml:space="preserve"> </w:t>
      </w:r>
      <w:r w:rsidR="00AB18E9" w:rsidRPr="00384ADF">
        <w:t>value creation over time</w:t>
      </w:r>
      <w:r w:rsidRPr="00384ADF">
        <w:t xml:space="preserve">). </w:t>
      </w:r>
    </w:p>
    <w:p w14:paraId="0148A55C" w14:textId="7170E0A9" w:rsidR="002104B4" w:rsidRPr="00384ADF" w:rsidRDefault="002104B4" w:rsidP="005279E7">
      <w:pPr>
        <w:pStyle w:val="NumList"/>
        <w:spacing w:line="312" w:lineRule="auto"/>
      </w:pPr>
      <w:r w:rsidRPr="00384ADF">
        <w:t xml:space="preserve">The underlying subject matter of certain sustainability information may not necessarily be self-evident. In </w:t>
      </w:r>
      <w:r w:rsidR="00560BB7" w:rsidRPr="00384ADF">
        <w:t>a</w:t>
      </w:r>
      <w:r w:rsidRPr="00384ADF">
        <w:t xml:space="preserve"> case where the subject matter information is a judgmental statement/assertion by management, or possibly forward</w:t>
      </w:r>
      <w:r w:rsidR="00560BB7" w:rsidRPr="00384ADF">
        <w:t>-</w:t>
      </w:r>
      <w:r w:rsidRPr="00384ADF">
        <w:t>looking information</w:t>
      </w:r>
      <w:r w:rsidR="00C600D3" w:rsidRPr="00384ADF">
        <w:t>,</w:t>
      </w:r>
      <w:r w:rsidRPr="00384ADF">
        <w:t xml:space="preserve"> the practitioner may direct a number of </w:t>
      </w:r>
      <w:r w:rsidR="00BE7FEE" w:rsidRPr="00384ADF">
        <w:t xml:space="preserve">enquiries </w:t>
      </w:r>
      <w:r w:rsidRPr="00384ADF">
        <w:t xml:space="preserve">to management to understand the nature of the underlying subject matter. In cases where the practitioner cannot conclude on the nature of the underlying subject matter, it </w:t>
      </w:r>
      <w:r w:rsidR="005955AF" w:rsidRPr="00384ADF">
        <w:t xml:space="preserve">may </w:t>
      </w:r>
      <w:r w:rsidRPr="00384ADF">
        <w:t xml:space="preserve">transpire that </w:t>
      </w:r>
      <w:r w:rsidR="003318C6" w:rsidRPr="00384ADF">
        <w:t xml:space="preserve">the </w:t>
      </w:r>
      <w:r w:rsidR="00C13511" w:rsidRPr="00384ADF">
        <w:t xml:space="preserve">underlying </w:t>
      </w:r>
      <w:r w:rsidR="003318C6" w:rsidRPr="00384ADF">
        <w:t>subject matter</w:t>
      </w:r>
      <w:r w:rsidRPr="00384ADF">
        <w:t xml:space="preserve"> may not be identifiable, or capable </w:t>
      </w:r>
      <w:r w:rsidR="003318C6" w:rsidRPr="00384ADF">
        <w:t>of</w:t>
      </w:r>
      <w:r w:rsidRPr="00384ADF">
        <w:t xml:space="preserve"> consistent measurement or evaluation.</w:t>
      </w:r>
    </w:p>
    <w:p w14:paraId="49C8C6A0" w14:textId="39B0D89F" w:rsidR="00D06DE8" w:rsidRPr="00384ADF" w:rsidRDefault="00D06DE8" w:rsidP="005279E7">
      <w:pPr>
        <w:pStyle w:val="NumList"/>
        <w:spacing w:line="312" w:lineRule="auto"/>
      </w:pPr>
      <w:r w:rsidRPr="00384ADF">
        <w:t>The way that the</w:t>
      </w:r>
      <w:r w:rsidR="00084E23" w:rsidRPr="00384ADF">
        <w:t xml:space="preserve"> underlying</w:t>
      </w:r>
      <w:r w:rsidRPr="00384ADF">
        <w:t xml:space="preserve"> subject matter is defined within the reporting </w:t>
      </w:r>
      <w:r w:rsidR="00DB7433" w:rsidRPr="00384ADF">
        <w:t>entity</w:t>
      </w:r>
      <w:r w:rsidR="009D0C7E" w:rsidRPr="00384ADF">
        <w:t xml:space="preserve"> may</w:t>
      </w:r>
      <w:r w:rsidR="00DB7433" w:rsidRPr="00384ADF">
        <w:t xml:space="preserve"> </w:t>
      </w:r>
      <w:r w:rsidRPr="00384ADF">
        <w:t>dictate the way that</w:t>
      </w:r>
      <w:r w:rsidR="00084E23" w:rsidRPr="00384ADF">
        <w:t xml:space="preserve"> the underlying</w:t>
      </w:r>
      <w:r w:rsidRPr="00384ADF">
        <w:t xml:space="preserve"> subject matter </w:t>
      </w:r>
      <w:r w:rsidR="003B5F3D" w:rsidRPr="00384ADF">
        <w:t xml:space="preserve">may </w:t>
      </w:r>
      <w:r w:rsidRPr="00384ADF">
        <w:t xml:space="preserve">be interpreted by the reporting </w:t>
      </w:r>
      <w:r w:rsidR="00DB7433" w:rsidRPr="00384ADF">
        <w:t>entity</w:t>
      </w:r>
      <w:r w:rsidRPr="00384ADF">
        <w:t>. Without a clearly defined</w:t>
      </w:r>
      <w:r w:rsidR="00084E23" w:rsidRPr="00384ADF">
        <w:t xml:space="preserve"> underlying</w:t>
      </w:r>
      <w:r w:rsidRPr="00384ADF">
        <w:t xml:space="preserve"> subject matter, the selection</w:t>
      </w:r>
      <w:r w:rsidR="004A5C2E" w:rsidRPr="00384ADF">
        <w:t xml:space="preserve"> or development</w:t>
      </w:r>
      <w:r w:rsidRPr="00384ADF">
        <w:t xml:space="preserve"> of criteria and the application of the criteria to the</w:t>
      </w:r>
      <w:r w:rsidR="00084E23" w:rsidRPr="00384ADF">
        <w:t xml:space="preserve"> underlying</w:t>
      </w:r>
      <w:r w:rsidRPr="00384ADF">
        <w:t xml:space="preserve"> subject matter </w:t>
      </w:r>
      <w:r w:rsidR="00125F6F" w:rsidRPr="00384ADF">
        <w:t>may be</w:t>
      </w:r>
      <w:r w:rsidRPr="00384ADF">
        <w:t xml:space="preserve"> challenging.</w:t>
      </w:r>
    </w:p>
    <w:tbl>
      <w:tblPr>
        <w:tblStyle w:val="TableGrid"/>
        <w:tblW w:w="0" w:type="auto"/>
        <w:tblLook w:val="04A0" w:firstRow="1" w:lastRow="0" w:firstColumn="1" w:lastColumn="0" w:noHBand="0" w:noVBand="1"/>
      </w:tblPr>
      <w:tblGrid>
        <w:gridCol w:w="704"/>
        <w:gridCol w:w="7599"/>
      </w:tblGrid>
      <w:tr w:rsidR="00DB6496" w:rsidRPr="00384ADF" w14:paraId="72675C26" w14:textId="77777777" w:rsidTr="003A6040">
        <w:trPr>
          <w:cantSplit/>
          <w:trHeight w:val="1134"/>
        </w:trPr>
        <w:tc>
          <w:tcPr>
            <w:tcW w:w="704" w:type="dxa"/>
            <w:shd w:val="clear" w:color="auto" w:fill="A6A6A6" w:themeFill="background1" w:themeFillShade="A6"/>
            <w:textDirection w:val="btLr"/>
          </w:tcPr>
          <w:p w14:paraId="26C9DD6C" w14:textId="68F47477" w:rsidR="00DB6496" w:rsidRPr="00384ADF" w:rsidRDefault="003A6040" w:rsidP="003A6040">
            <w:pPr>
              <w:pStyle w:val="NumList"/>
              <w:numPr>
                <w:ilvl w:val="0"/>
                <w:numId w:val="0"/>
              </w:numPr>
              <w:spacing w:line="312" w:lineRule="auto"/>
              <w:ind w:left="113" w:right="113"/>
              <w:jc w:val="center"/>
              <w:rPr>
                <w:b/>
              </w:rPr>
            </w:pPr>
            <w:r w:rsidRPr="00AD21D6">
              <w:rPr>
                <w:b/>
                <w:color w:val="FFFFFF" w:themeColor="background1"/>
              </w:rPr>
              <w:t>Considerations for the Practitioner</w:t>
            </w:r>
          </w:p>
        </w:tc>
        <w:tc>
          <w:tcPr>
            <w:tcW w:w="7599" w:type="dxa"/>
            <w:shd w:val="clear" w:color="auto" w:fill="F2F2F2" w:themeFill="background1" w:themeFillShade="F2"/>
          </w:tcPr>
          <w:p w14:paraId="50E600B0" w14:textId="2A477F20" w:rsidR="003A6040" w:rsidRPr="00AD21D6" w:rsidRDefault="003A6040" w:rsidP="001E4F3B">
            <w:pPr>
              <w:pStyle w:val="NumList"/>
              <w:numPr>
                <w:ilvl w:val="0"/>
                <w:numId w:val="0"/>
              </w:numPr>
              <w:spacing w:line="312" w:lineRule="auto"/>
              <w:rPr>
                <w:bCs/>
              </w:rPr>
            </w:pPr>
            <w:r>
              <w:rPr>
                <w:bCs/>
              </w:rPr>
              <w:t>To obtain a</w:t>
            </w:r>
            <w:r w:rsidR="00DC7F5C">
              <w:rPr>
                <w:bCs/>
              </w:rPr>
              <w:t>n</w:t>
            </w:r>
            <w:r>
              <w:rPr>
                <w:bCs/>
              </w:rPr>
              <w:t xml:space="preserve"> understanding of the underlying subject matter it may be appropriate for the practitioner to consider:</w:t>
            </w:r>
          </w:p>
          <w:p w14:paraId="68FCA16C" w14:textId="49787F96" w:rsidR="00DB6496" w:rsidRPr="00384ADF" w:rsidRDefault="00C03203" w:rsidP="00AD21D6">
            <w:pPr>
              <w:pStyle w:val="ListParagraph"/>
              <w:numPr>
                <w:ilvl w:val="0"/>
                <w:numId w:val="45"/>
              </w:numPr>
              <w:spacing w:line="312" w:lineRule="auto"/>
              <w:rPr>
                <w:rFonts w:cs="Arial"/>
              </w:rPr>
            </w:pPr>
            <w:r>
              <w:rPr>
                <w:rFonts w:cs="Arial"/>
              </w:rPr>
              <w:t>T</w:t>
            </w:r>
            <w:r w:rsidR="00DB6496" w:rsidRPr="00384ADF">
              <w:rPr>
                <w:rFonts w:cs="Arial"/>
              </w:rPr>
              <w:t>he underlying subject matter (phenomenon) to be reported on</w:t>
            </w:r>
            <w:r>
              <w:rPr>
                <w:rFonts w:cs="Arial"/>
              </w:rPr>
              <w:t>.</w:t>
            </w:r>
          </w:p>
          <w:p w14:paraId="5BF9BB71" w14:textId="47BB383E" w:rsidR="00DB6496" w:rsidRPr="00384ADF" w:rsidRDefault="00C03203" w:rsidP="00AD21D6">
            <w:pPr>
              <w:pStyle w:val="ListParagraph"/>
              <w:numPr>
                <w:ilvl w:val="0"/>
                <w:numId w:val="45"/>
              </w:numPr>
              <w:spacing w:line="312" w:lineRule="auto"/>
            </w:pPr>
            <w:r>
              <w:rPr>
                <w:rFonts w:cs="Arial"/>
              </w:rPr>
              <w:t>T</w:t>
            </w:r>
            <w:r w:rsidR="00DB6496" w:rsidRPr="00384ADF">
              <w:rPr>
                <w:rFonts w:cs="Arial"/>
              </w:rPr>
              <w:t>he reporting entity</w:t>
            </w:r>
            <w:r>
              <w:rPr>
                <w:rFonts w:cs="Arial"/>
              </w:rPr>
              <w:t>’s</w:t>
            </w:r>
            <w:r w:rsidR="00DB6496" w:rsidRPr="00384ADF">
              <w:rPr>
                <w:rFonts w:cs="Arial"/>
              </w:rPr>
              <w:t xml:space="preserve"> understanding of the underlying subject matter and how </w:t>
            </w:r>
            <w:r w:rsidR="001B259A">
              <w:rPr>
                <w:rFonts w:cs="Arial"/>
              </w:rPr>
              <w:t>that</w:t>
            </w:r>
            <w:r w:rsidR="001B259A" w:rsidRPr="00384ADF">
              <w:rPr>
                <w:rFonts w:cs="Arial"/>
              </w:rPr>
              <w:t xml:space="preserve"> </w:t>
            </w:r>
            <w:r w:rsidR="00DB6496" w:rsidRPr="00384ADF">
              <w:rPr>
                <w:rFonts w:cs="Arial"/>
              </w:rPr>
              <w:t>relates to the information needs of the intended users</w:t>
            </w:r>
            <w:r>
              <w:rPr>
                <w:rFonts w:cs="Arial"/>
              </w:rPr>
              <w:t>.</w:t>
            </w:r>
          </w:p>
          <w:p w14:paraId="62680B4F" w14:textId="4DA0736B" w:rsidR="00DB6496" w:rsidRPr="00384ADF" w:rsidRDefault="00C03203" w:rsidP="00AD21D6">
            <w:pPr>
              <w:pStyle w:val="ListParagraph"/>
              <w:numPr>
                <w:ilvl w:val="0"/>
                <w:numId w:val="45"/>
              </w:numPr>
              <w:spacing w:line="312" w:lineRule="auto"/>
            </w:pPr>
            <w:r>
              <w:t>Whether t</w:t>
            </w:r>
            <w:r w:rsidR="00DB6496" w:rsidRPr="00384ADF">
              <w:t>he underlying subject matter</w:t>
            </w:r>
            <w:r>
              <w:t xml:space="preserve"> has</w:t>
            </w:r>
            <w:r w:rsidR="00DB6496" w:rsidRPr="00384ADF">
              <w:t xml:space="preserve"> been formally adopted and documented by the entity</w:t>
            </w:r>
            <w:r>
              <w:t>.</w:t>
            </w:r>
          </w:p>
          <w:p w14:paraId="24E14D83" w14:textId="74D108BE" w:rsidR="00DB6496" w:rsidRPr="00384ADF" w:rsidRDefault="001B259A" w:rsidP="00AD21D6">
            <w:pPr>
              <w:pStyle w:val="ListParagraph"/>
              <w:numPr>
                <w:ilvl w:val="0"/>
                <w:numId w:val="45"/>
              </w:numPr>
              <w:spacing w:line="312" w:lineRule="auto"/>
            </w:pPr>
            <w:r>
              <w:t>Whether</w:t>
            </w:r>
            <w:r w:rsidRPr="00384ADF">
              <w:t xml:space="preserve"> </w:t>
            </w:r>
            <w:r w:rsidR="00DB6496" w:rsidRPr="00384ADF">
              <w:t>there</w:t>
            </w:r>
            <w:r>
              <w:t xml:space="preserve"> is</w:t>
            </w:r>
            <w:r w:rsidR="00DB6496" w:rsidRPr="00384ADF">
              <w:t xml:space="preserve"> an indication of consistent interpretation and understanding of the underlying subject matter</w:t>
            </w:r>
            <w:r>
              <w:t>.</w:t>
            </w:r>
          </w:p>
        </w:tc>
      </w:tr>
    </w:tbl>
    <w:p w14:paraId="48F96DBF" w14:textId="77777777" w:rsidR="00360C2B" w:rsidRPr="00384ADF" w:rsidRDefault="00360C2B" w:rsidP="00743AD0"/>
    <w:p w14:paraId="1B88362B" w14:textId="3247E840" w:rsidR="002F48E8" w:rsidRPr="00384ADF" w:rsidRDefault="00D179BD" w:rsidP="00ED6603">
      <w:pPr>
        <w:pStyle w:val="Heading3"/>
      </w:pPr>
      <w:bookmarkStart w:id="28" w:name="_Toc43704059"/>
      <w:r w:rsidRPr="00384ADF">
        <w:t>Entity</w:t>
      </w:r>
      <w:r w:rsidR="002F48E8" w:rsidRPr="00384ADF">
        <w:t xml:space="preserve"> context</w:t>
      </w:r>
      <w:bookmarkEnd w:id="28"/>
    </w:p>
    <w:p w14:paraId="62190B87" w14:textId="3BADF673" w:rsidR="00AE35DE" w:rsidRPr="00384ADF" w:rsidRDefault="000B2DB6" w:rsidP="005279E7">
      <w:pPr>
        <w:pStyle w:val="NumList"/>
        <w:spacing w:line="312" w:lineRule="auto"/>
      </w:pPr>
      <w:r w:rsidRPr="00384ADF">
        <w:t>T</w:t>
      </w:r>
      <w:r w:rsidR="00D06DE8" w:rsidRPr="00384ADF">
        <w:t xml:space="preserve">he </w:t>
      </w:r>
      <w:r w:rsidR="00AB18E9" w:rsidRPr="00384ADF">
        <w:t>practitioner</w:t>
      </w:r>
      <w:r w:rsidR="005955AF" w:rsidRPr="00384ADF">
        <w:t xml:space="preserve"> may</w:t>
      </w:r>
      <w:r w:rsidR="00D06DE8" w:rsidRPr="00384ADF">
        <w:t xml:space="preserve"> </w:t>
      </w:r>
      <w:r w:rsidR="0087797B" w:rsidRPr="00384ADF">
        <w:t xml:space="preserve">obtain </w:t>
      </w:r>
      <w:r w:rsidR="00D06DE8" w:rsidRPr="00384ADF">
        <w:t xml:space="preserve">a </w:t>
      </w:r>
      <w:r w:rsidR="000C3482" w:rsidRPr="00384ADF">
        <w:t xml:space="preserve">preliminary knowledge </w:t>
      </w:r>
      <w:r w:rsidR="00D06DE8" w:rsidRPr="00384ADF">
        <w:t xml:space="preserve">of the context within which the </w:t>
      </w:r>
      <w:r w:rsidR="00AE35DE" w:rsidRPr="00384ADF">
        <w:t xml:space="preserve">reporting </w:t>
      </w:r>
      <w:r w:rsidR="00DB7433" w:rsidRPr="00384ADF">
        <w:t xml:space="preserve">entity </w:t>
      </w:r>
      <w:r w:rsidR="00D06DE8" w:rsidRPr="00384ADF">
        <w:t>operates</w:t>
      </w:r>
      <w:r w:rsidR="0087797B" w:rsidRPr="00384ADF">
        <w:t>, for example, by obtaining an understanding of the macro-economic factors, laws</w:t>
      </w:r>
      <w:r w:rsidR="00827D05" w:rsidRPr="00384ADF">
        <w:t>,</w:t>
      </w:r>
      <w:r w:rsidR="0087797B" w:rsidRPr="00384ADF">
        <w:t xml:space="preserve"> regulations and industry practices within which the reporting entity operates</w:t>
      </w:r>
      <w:r w:rsidR="00827D05" w:rsidRPr="00384ADF">
        <w:t>,</w:t>
      </w:r>
      <w:r w:rsidR="0087797B" w:rsidRPr="00384ADF">
        <w:t xml:space="preserve"> and the reporting entity’s geographical locations and its structure</w:t>
      </w:r>
      <w:r w:rsidR="00D06DE8" w:rsidRPr="00384ADF">
        <w:t>.</w:t>
      </w:r>
      <w:r w:rsidR="0087797B" w:rsidRPr="00384ADF">
        <w:t xml:space="preserve"> This understanding </w:t>
      </w:r>
      <w:r w:rsidR="003B5F3D" w:rsidRPr="00384ADF">
        <w:t xml:space="preserve">may </w:t>
      </w:r>
      <w:r w:rsidR="0087797B" w:rsidRPr="00384ADF">
        <w:t>enable the practitioner to identify and consider the issues that may be relevant to the reporting entity’s sustainability performance</w:t>
      </w:r>
      <w:r w:rsidR="00C67768" w:rsidRPr="00384ADF">
        <w:t>, targets and outcomes</w:t>
      </w:r>
      <w:r w:rsidR="0087797B" w:rsidRPr="00384ADF">
        <w:t>.</w:t>
      </w:r>
      <w:r w:rsidR="00D06DE8" w:rsidRPr="00384ADF">
        <w:t xml:space="preserve"> </w:t>
      </w:r>
    </w:p>
    <w:p w14:paraId="66BEE27B" w14:textId="07854CAE" w:rsidR="00D06DE8" w:rsidRPr="00384ADF" w:rsidRDefault="00D06DE8" w:rsidP="005279E7">
      <w:pPr>
        <w:pStyle w:val="NumList"/>
        <w:spacing w:line="312" w:lineRule="auto"/>
      </w:pPr>
      <w:r w:rsidRPr="00384ADF">
        <w:t xml:space="preserve">In this </w:t>
      </w:r>
      <w:r w:rsidR="0087797B" w:rsidRPr="00384ADF">
        <w:t>consideration,</w:t>
      </w:r>
      <w:r w:rsidRPr="00384ADF">
        <w:t xml:space="preserve"> the </w:t>
      </w:r>
      <w:r w:rsidR="00AE35DE" w:rsidRPr="00384ADF">
        <w:t>practitioner</w:t>
      </w:r>
      <w:r w:rsidRPr="00384ADF">
        <w:t xml:space="preserve"> </w:t>
      </w:r>
      <w:r w:rsidR="0042564B" w:rsidRPr="00384ADF">
        <w:t xml:space="preserve">may </w:t>
      </w:r>
      <w:r w:rsidR="00AE35DE" w:rsidRPr="00384ADF">
        <w:t>be alert to</w:t>
      </w:r>
      <w:r w:rsidRPr="00384ADF">
        <w:t xml:space="preserve"> potential issues that may affect the </w:t>
      </w:r>
      <w:r w:rsidR="006C7941" w:rsidRPr="00384ADF">
        <w:rPr>
          <w:rFonts w:cs="Arial"/>
        </w:rPr>
        <w:t xml:space="preserve">scope of what </w:t>
      </w:r>
      <w:r w:rsidR="00D4047E" w:rsidRPr="00384ADF">
        <w:rPr>
          <w:rFonts w:cs="Arial"/>
        </w:rPr>
        <w:t xml:space="preserve">may </w:t>
      </w:r>
      <w:r w:rsidR="00EC11C5" w:rsidRPr="00384ADF">
        <w:rPr>
          <w:rFonts w:cs="Arial"/>
        </w:rPr>
        <w:t>be</w:t>
      </w:r>
      <w:r w:rsidR="006C7941" w:rsidRPr="00384ADF">
        <w:rPr>
          <w:rFonts w:cs="Arial"/>
        </w:rPr>
        <w:t xml:space="preserve"> reported</w:t>
      </w:r>
      <w:r w:rsidRPr="00384ADF">
        <w:t xml:space="preserve"> </w:t>
      </w:r>
      <w:r w:rsidR="003C38A4" w:rsidRPr="00384ADF">
        <w:t xml:space="preserve">on </w:t>
      </w:r>
      <w:r w:rsidR="00FD41AD" w:rsidRPr="00384ADF">
        <w:t xml:space="preserve">by </w:t>
      </w:r>
      <w:r w:rsidR="00AE35DE" w:rsidRPr="00384ADF">
        <w:t>the reporting entity</w:t>
      </w:r>
      <w:r w:rsidRPr="00384ADF">
        <w:t>.</w:t>
      </w:r>
    </w:p>
    <w:tbl>
      <w:tblPr>
        <w:tblStyle w:val="TableGrid"/>
        <w:tblW w:w="0" w:type="auto"/>
        <w:tblLook w:val="04A0" w:firstRow="1" w:lastRow="0" w:firstColumn="1" w:lastColumn="0" w:noHBand="0" w:noVBand="1"/>
      </w:tblPr>
      <w:tblGrid>
        <w:gridCol w:w="704"/>
        <w:gridCol w:w="7599"/>
      </w:tblGrid>
      <w:tr w:rsidR="001B259A" w:rsidRPr="00384ADF" w14:paraId="6742E5DD" w14:textId="77777777" w:rsidTr="00AD21D6">
        <w:trPr>
          <w:cantSplit/>
          <w:trHeight w:val="1134"/>
        </w:trPr>
        <w:tc>
          <w:tcPr>
            <w:tcW w:w="704" w:type="dxa"/>
            <w:shd w:val="clear" w:color="auto" w:fill="A6A6A6" w:themeFill="background1" w:themeFillShade="A6"/>
            <w:textDirection w:val="btLr"/>
          </w:tcPr>
          <w:p w14:paraId="7B38A5A4" w14:textId="02E48303" w:rsidR="001B259A" w:rsidRPr="00AD21D6" w:rsidDel="001B259A" w:rsidRDefault="001B259A" w:rsidP="00AD21D6">
            <w:pPr>
              <w:pStyle w:val="NumList"/>
              <w:numPr>
                <w:ilvl w:val="0"/>
                <w:numId w:val="0"/>
              </w:numPr>
              <w:spacing w:line="312" w:lineRule="auto"/>
              <w:ind w:left="113" w:right="113"/>
              <w:jc w:val="center"/>
              <w:rPr>
                <w:b/>
                <w:color w:val="FFFFFF" w:themeColor="background1"/>
              </w:rPr>
            </w:pPr>
            <w:r>
              <w:rPr>
                <w:b/>
                <w:color w:val="FFFFFF" w:themeColor="background1"/>
              </w:rPr>
              <w:t>Considerations for the Practitioner</w:t>
            </w:r>
          </w:p>
        </w:tc>
        <w:tc>
          <w:tcPr>
            <w:tcW w:w="7599" w:type="dxa"/>
            <w:shd w:val="clear" w:color="auto" w:fill="F2F2F2" w:themeFill="background1" w:themeFillShade="F2"/>
          </w:tcPr>
          <w:p w14:paraId="4EF22EDD" w14:textId="20554B96" w:rsidR="001B259A" w:rsidRPr="00384ADF" w:rsidRDefault="001B259A" w:rsidP="001E4F3B">
            <w:pPr>
              <w:pStyle w:val="NumList"/>
              <w:numPr>
                <w:ilvl w:val="0"/>
                <w:numId w:val="0"/>
              </w:numPr>
              <w:spacing w:line="312" w:lineRule="auto"/>
              <w:rPr>
                <w:b/>
              </w:rPr>
            </w:pPr>
            <w:r>
              <w:rPr>
                <w:bCs/>
              </w:rPr>
              <w:t>To obtain a</w:t>
            </w:r>
            <w:r w:rsidR="00DC7F5C">
              <w:rPr>
                <w:bCs/>
              </w:rPr>
              <w:t>n</w:t>
            </w:r>
            <w:r>
              <w:rPr>
                <w:bCs/>
              </w:rPr>
              <w:t xml:space="preserve"> understanding of the entity context it may be appropriate for the practitioner to consider:</w:t>
            </w:r>
          </w:p>
          <w:p w14:paraId="661D3B99" w14:textId="02513D00" w:rsidR="001B259A" w:rsidRPr="00384ADF" w:rsidRDefault="001B259A" w:rsidP="00AD21D6">
            <w:pPr>
              <w:pStyle w:val="ListParagraph"/>
              <w:numPr>
                <w:ilvl w:val="0"/>
                <w:numId w:val="46"/>
              </w:numPr>
              <w:spacing w:line="312" w:lineRule="auto"/>
              <w:rPr>
                <w:rFonts w:cs="Arial"/>
              </w:rPr>
            </w:pPr>
            <w:r>
              <w:rPr>
                <w:rFonts w:cs="Arial"/>
              </w:rPr>
              <w:t>T</w:t>
            </w:r>
            <w:r w:rsidRPr="00384ADF">
              <w:rPr>
                <w:rFonts w:cs="Arial"/>
              </w:rPr>
              <w:t>he relevant contextual issues that may impact considerations around the reporting content</w:t>
            </w:r>
            <w:r>
              <w:rPr>
                <w:rFonts w:cs="Arial"/>
              </w:rPr>
              <w:t>.</w:t>
            </w:r>
          </w:p>
          <w:p w14:paraId="3546858A" w14:textId="56167CDB" w:rsidR="001B259A" w:rsidRPr="00384ADF" w:rsidRDefault="001B259A" w:rsidP="00AD21D6">
            <w:pPr>
              <w:pStyle w:val="ListParagraph"/>
              <w:numPr>
                <w:ilvl w:val="0"/>
                <w:numId w:val="46"/>
              </w:numPr>
              <w:spacing w:line="312" w:lineRule="auto"/>
              <w:rPr>
                <w:rFonts w:cs="Arial"/>
              </w:rPr>
            </w:pPr>
            <w:r>
              <w:rPr>
                <w:rFonts w:cs="Arial"/>
              </w:rPr>
              <w:t>T</w:t>
            </w:r>
            <w:r w:rsidRPr="00384ADF">
              <w:rPr>
                <w:rFonts w:cs="Arial"/>
              </w:rPr>
              <w:t>he issues to be considered when assessing the scope of what may be reported on and how that relate</w:t>
            </w:r>
            <w:r>
              <w:rPr>
                <w:rFonts w:cs="Arial"/>
              </w:rPr>
              <w:t>s</w:t>
            </w:r>
            <w:r w:rsidRPr="00384ADF">
              <w:rPr>
                <w:rFonts w:cs="Arial"/>
              </w:rPr>
              <w:t xml:space="preserve"> to the information needs of the intended users</w:t>
            </w:r>
            <w:r>
              <w:rPr>
                <w:rFonts w:cs="Arial"/>
              </w:rPr>
              <w:t>.</w:t>
            </w:r>
          </w:p>
          <w:p w14:paraId="2609F684" w14:textId="76685FD0" w:rsidR="001B259A" w:rsidRPr="00384ADF" w:rsidRDefault="001B259A" w:rsidP="00AD21D6">
            <w:pPr>
              <w:pStyle w:val="ListParagraph"/>
              <w:numPr>
                <w:ilvl w:val="0"/>
                <w:numId w:val="46"/>
              </w:numPr>
              <w:spacing w:line="312" w:lineRule="auto"/>
            </w:pPr>
            <w:r w:rsidRPr="00384ADF">
              <w:rPr>
                <w:rFonts w:cs="Arial"/>
              </w:rPr>
              <w:t>Given the current understanding of the operations of the reporting entity, the stakeholders that the reporting entity impacts or are impacted by these operations</w:t>
            </w:r>
            <w:r>
              <w:rPr>
                <w:rFonts w:cs="Arial"/>
              </w:rPr>
              <w:t>.</w:t>
            </w:r>
          </w:p>
        </w:tc>
      </w:tr>
    </w:tbl>
    <w:p w14:paraId="6C3213B2" w14:textId="77777777" w:rsidR="00C367A4" w:rsidRPr="00384ADF" w:rsidRDefault="00C367A4" w:rsidP="00743AD0">
      <w:pPr>
        <w:pStyle w:val="NumList"/>
        <w:numPr>
          <w:ilvl w:val="0"/>
          <w:numId w:val="0"/>
        </w:numPr>
        <w:spacing w:after="0" w:line="312" w:lineRule="auto"/>
      </w:pPr>
    </w:p>
    <w:p w14:paraId="26102B82" w14:textId="1226F3FC" w:rsidR="005D26C0" w:rsidRPr="00384ADF" w:rsidRDefault="003879BC" w:rsidP="00ED6603">
      <w:pPr>
        <w:pStyle w:val="Heading3"/>
      </w:pPr>
      <w:bookmarkStart w:id="29" w:name="_Toc43704060"/>
      <w:r w:rsidRPr="00384ADF">
        <w:t>R</w:t>
      </w:r>
      <w:r w:rsidR="005D26C0" w:rsidRPr="00384ADF">
        <w:t>eporting infrastructure</w:t>
      </w:r>
      <w:bookmarkEnd w:id="29"/>
    </w:p>
    <w:p w14:paraId="003214AE" w14:textId="6118A864" w:rsidR="00D179BD" w:rsidRPr="00384ADF" w:rsidRDefault="00190FD7" w:rsidP="00950E58">
      <w:pPr>
        <w:pStyle w:val="Heading4"/>
      </w:pPr>
      <w:r w:rsidRPr="00384ADF">
        <w:t>Relevant r</w:t>
      </w:r>
      <w:r w:rsidR="00D179BD" w:rsidRPr="00384ADF">
        <w:t>eporting framework</w:t>
      </w:r>
    </w:p>
    <w:p w14:paraId="2946AE2F" w14:textId="0C4D7FE4" w:rsidR="00B31DA2" w:rsidRPr="00384ADF" w:rsidRDefault="000B2DB6" w:rsidP="005279E7">
      <w:pPr>
        <w:pStyle w:val="NumList"/>
        <w:spacing w:line="312" w:lineRule="auto"/>
      </w:pPr>
      <w:r w:rsidRPr="00384ADF">
        <w:t>T</w:t>
      </w:r>
      <w:r w:rsidR="00A439B7" w:rsidRPr="00384ADF">
        <w:t>he practitioner</w:t>
      </w:r>
      <w:r w:rsidR="00D06DE8" w:rsidRPr="00384ADF">
        <w:t xml:space="preserve"> </w:t>
      </w:r>
      <w:r w:rsidR="0042564B" w:rsidRPr="00384ADF">
        <w:t>may</w:t>
      </w:r>
      <w:r w:rsidRPr="00384ADF">
        <w:t xml:space="preserve"> </w:t>
      </w:r>
      <w:r w:rsidR="00D06DE8" w:rsidRPr="00384ADF">
        <w:t>consider the reporting framework</w:t>
      </w:r>
      <w:r w:rsidR="005D26C0" w:rsidRPr="00384ADF">
        <w:t>(s)</w:t>
      </w:r>
      <w:r w:rsidR="00D06DE8" w:rsidRPr="00384ADF">
        <w:t xml:space="preserve"> that </w:t>
      </w:r>
      <w:r w:rsidR="00A439B7" w:rsidRPr="00384ADF">
        <w:t>is</w:t>
      </w:r>
      <w:r w:rsidR="00D06DE8" w:rsidRPr="00384ADF">
        <w:t xml:space="preserve"> utilised by the reporting </w:t>
      </w:r>
      <w:r w:rsidR="00DB7433" w:rsidRPr="00384ADF">
        <w:t xml:space="preserve">entity </w:t>
      </w:r>
      <w:r w:rsidR="00D06DE8" w:rsidRPr="00384ADF">
        <w:t xml:space="preserve">to develop the report content. </w:t>
      </w:r>
      <w:r w:rsidR="005576B7" w:rsidRPr="00384ADF">
        <w:t xml:space="preserve"> </w:t>
      </w:r>
    </w:p>
    <w:p w14:paraId="55768BD8" w14:textId="33EF346B" w:rsidR="00D06DE8" w:rsidRPr="00384ADF" w:rsidRDefault="00F2331F" w:rsidP="005279E7">
      <w:pPr>
        <w:pStyle w:val="NumList"/>
        <w:spacing w:line="312" w:lineRule="auto"/>
      </w:pPr>
      <w:r w:rsidRPr="00384ADF">
        <w:t xml:space="preserve">The extent of management bias exercised in generating the report content </w:t>
      </w:r>
      <w:r w:rsidR="0012195B" w:rsidRPr="00384ADF">
        <w:t>may</w:t>
      </w:r>
      <w:r w:rsidRPr="00384ADF">
        <w:t xml:space="preserve"> be viewed as existing on a scale. </w:t>
      </w:r>
      <w:r w:rsidR="00D06DE8" w:rsidRPr="00384ADF">
        <w:t xml:space="preserve">At the one end of the </w:t>
      </w:r>
      <w:r w:rsidR="005576B7" w:rsidRPr="00384ADF">
        <w:t>scale</w:t>
      </w:r>
      <w:r w:rsidR="00D06DE8" w:rsidRPr="00384ADF">
        <w:t xml:space="preserve"> there is </w:t>
      </w:r>
      <w:r w:rsidR="00A26314" w:rsidRPr="00384ADF">
        <w:t>low</w:t>
      </w:r>
      <w:r w:rsidR="00D06DE8" w:rsidRPr="00384ADF">
        <w:t xml:space="preserve"> potential for management bias in the preparation of information</w:t>
      </w:r>
      <w:r w:rsidR="00A26314" w:rsidRPr="00384ADF">
        <w:t>, for</w:t>
      </w:r>
      <w:r w:rsidR="00D06DE8" w:rsidRPr="00384ADF">
        <w:t xml:space="preserve"> example</w:t>
      </w:r>
      <w:r w:rsidR="00A26314" w:rsidRPr="00384ADF">
        <w:t>,</w:t>
      </w:r>
      <w:r w:rsidR="00D06DE8" w:rsidRPr="00384ADF">
        <w:t xml:space="preserve"> the preparation of</w:t>
      </w:r>
      <w:r w:rsidR="00812A2C" w:rsidRPr="00384ADF">
        <w:t xml:space="preserve"> simple</w:t>
      </w:r>
      <w:r w:rsidR="00D06DE8" w:rsidRPr="00384ADF">
        <w:t xml:space="preserve"> financial statements where the reporting framework </w:t>
      </w:r>
      <w:r w:rsidR="00B31DA2" w:rsidRPr="00384ADF">
        <w:t>caters for recognition, measurement, presentation and disclosure of each content element in the financial statements</w:t>
      </w:r>
      <w:r w:rsidR="00D06DE8" w:rsidRPr="00384ADF">
        <w:t xml:space="preserve"> (</w:t>
      </w:r>
      <w:r w:rsidR="00A26314" w:rsidRPr="00384ADF">
        <w:t>e.g.</w:t>
      </w:r>
      <w:r w:rsidR="00B35A59" w:rsidRPr="00384ADF">
        <w:t xml:space="preserve"> using</w:t>
      </w:r>
      <w:r w:rsidR="00A26314" w:rsidRPr="00384ADF">
        <w:t xml:space="preserve"> International Financial Reporting Standards</w:t>
      </w:r>
      <w:r w:rsidR="00D06DE8" w:rsidRPr="00384ADF">
        <w:t>)</w:t>
      </w:r>
      <w:r w:rsidR="009105EA" w:rsidRPr="00384ADF">
        <w:t>;</w:t>
      </w:r>
      <w:r w:rsidR="00B31DA2" w:rsidRPr="00384ADF">
        <w:t xml:space="preserve"> and</w:t>
      </w:r>
      <w:r w:rsidR="00D06DE8" w:rsidRPr="00384ADF">
        <w:t xml:space="preserve"> </w:t>
      </w:r>
      <w:r w:rsidR="00A26314" w:rsidRPr="00384ADF">
        <w:t>that</w:t>
      </w:r>
      <w:r w:rsidR="00D06DE8" w:rsidRPr="00384ADF">
        <w:t xml:space="preserve"> caters for the majority of areas where </w:t>
      </w:r>
      <w:r w:rsidR="00A26314" w:rsidRPr="00384ADF">
        <w:t>the reporting entity</w:t>
      </w:r>
      <w:r w:rsidR="00D06DE8" w:rsidRPr="00384ADF">
        <w:t xml:space="preserve"> </w:t>
      </w:r>
      <w:r w:rsidR="00CE315B" w:rsidRPr="00384ADF">
        <w:t xml:space="preserve">may apply </w:t>
      </w:r>
      <w:r w:rsidR="00D06DE8" w:rsidRPr="00384ADF">
        <w:t xml:space="preserve">judgment. </w:t>
      </w:r>
      <w:r w:rsidR="009751E1" w:rsidRPr="00384ADF">
        <w:t xml:space="preserve">To a large degree, well developed reporting frameworks prescribe the </w:t>
      </w:r>
      <w:r w:rsidR="009D2E88" w:rsidRPr="00384ADF">
        <w:t xml:space="preserve">reporting </w:t>
      </w:r>
      <w:r w:rsidR="009751E1" w:rsidRPr="00384ADF">
        <w:t xml:space="preserve">policies </w:t>
      </w:r>
      <w:r w:rsidR="00E92B31" w:rsidRPr="00384ADF">
        <w:t xml:space="preserve">and procedures </w:t>
      </w:r>
      <w:r w:rsidR="009751E1" w:rsidRPr="00384ADF">
        <w:t xml:space="preserve">to be adopted by the reporting entity and </w:t>
      </w:r>
      <w:r w:rsidR="00C600D3" w:rsidRPr="00384ADF">
        <w:t xml:space="preserve">they </w:t>
      </w:r>
      <w:r w:rsidR="009751E1" w:rsidRPr="00384ADF">
        <w:t xml:space="preserve">provide </w:t>
      </w:r>
      <w:r w:rsidR="00CE46FD" w:rsidRPr="00384ADF">
        <w:t>few alternatives</w:t>
      </w:r>
      <w:r w:rsidR="009751E1" w:rsidRPr="00384ADF">
        <w:t>.</w:t>
      </w:r>
    </w:p>
    <w:p w14:paraId="3FDFC5B2" w14:textId="21F63FAA" w:rsidR="00D06DE8" w:rsidRPr="00384ADF" w:rsidRDefault="00D06DE8" w:rsidP="005279E7">
      <w:pPr>
        <w:pStyle w:val="NumList"/>
        <w:spacing w:line="312" w:lineRule="auto"/>
      </w:pPr>
      <w:r w:rsidRPr="00384ADF">
        <w:t xml:space="preserve">At the other end of the </w:t>
      </w:r>
      <w:r w:rsidR="004C708A" w:rsidRPr="00384ADF">
        <w:t>scale</w:t>
      </w:r>
      <w:r w:rsidR="00A26314" w:rsidRPr="00384ADF">
        <w:t>,</w:t>
      </w:r>
      <w:r w:rsidRPr="00384ADF">
        <w:t xml:space="preserve"> the reporting framework provides only </w:t>
      </w:r>
      <w:r w:rsidR="00456202" w:rsidRPr="00384ADF">
        <w:t>high-</w:t>
      </w:r>
      <w:r w:rsidRPr="00384ADF">
        <w:t>level guidance</w:t>
      </w:r>
      <w:r w:rsidR="00AD4EF4" w:rsidRPr="00384ADF">
        <w:t xml:space="preserve"> (principles)</w:t>
      </w:r>
      <w:r w:rsidRPr="00384ADF">
        <w:t xml:space="preserve"> </w:t>
      </w:r>
      <w:r w:rsidR="00A26314" w:rsidRPr="00384ADF">
        <w:t>on the</w:t>
      </w:r>
      <w:r w:rsidRPr="00384ADF">
        <w:t xml:space="preserve"> potential content elements and areas to report on</w:t>
      </w:r>
      <w:r w:rsidR="00A26314" w:rsidRPr="00384ADF">
        <w:t xml:space="preserve">, for example, the preparation of a </w:t>
      </w:r>
      <w:r w:rsidR="00995B22" w:rsidRPr="00384ADF">
        <w:t xml:space="preserve">sustainability </w:t>
      </w:r>
      <w:r w:rsidR="00A26314" w:rsidRPr="00384ADF">
        <w:t>report</w:t>
      </w:r>
      <w:r w:rsidRPr="00384ADF">
        <w:t xml:space="preserve"> </w:t>
      </w:r>
      <w:r w:rsidR="00B35A59" w:rsidRPr="00384ADF">
        <w:t>using</w:t>
      </w:r>
      <w:r w:rsidR="00A26314" w:rsidRPr="00384ADF">
        <w:t xml:space="preserve"> </w:t>
      </w:r>
      <w:r w:rsidR="00995B22" w:rsidRPr="00384ADF">
        <w:t>GRI Standards</w:t>
      </w:r>
      <w:r w:rsidR="00A26314" w:rsidRPr="00384ADF">
        <w:t>.</w:t>
      </w:r>
      <w:r w:rsidRPr="00384ADF">
        <w:t xml:space="preserve"> </w:t>
      </w:r>
      <w:r w:rsidR="00A26314" w:rsidRPr="00384ADF">
        <w:t xml:space="preserve">At this end of the </w:t>
      </w:r>
      <w:r w:rsidR="004C708A" w:rsidRPr="00384ADF">
        <w:t>scale</w:t>
      </w:r>
      <w:r w:rsidR="00A26314" w:rsidRPr="00384ADF">
        <w:t>, the reporting entity</w:t>
      </w:r>
      <w:r w:rsidRPr="00384ADF">
        <w:t xml:space="preserve"> determine</w:t>
      </w:r>
      <w:r w:rsidR="00A26314" w:rsidRPr="00384ADF">
        <w:t>s</w:t>
      </w:r>
      <w:r w:rsidRPr="00384ADF">
        <w:t xml:space="preserve"> the majority of</w:t>
      </w:r>
      <w:r w:rsidR="00456202" w:rsidRPr="00384ADF">
        <w:t xml:space="preserve"> the</w:t>
      </w:r>
      <w:r w:rsidRPr="00384ADF">
        <w:t xml:space="preserve"> content to report on, and </w:t>
      </w:r>
      <w:r w:rsidR="00226360" w:rsidRPr="00384ADF">
        <w:t>there is</w:t>
      </w:r>
      <w:r w:rsidR="00456202" w:rsidRPr="00384ADF">
        <w:t xml:space="preserve"> a</w:t>
      </w:r>
      <w:r w:rsidRPr="00384ADF">
        <w:t xml:space="preserve"> high </w:t>
      </w:r>
      <w:r w:rsidR="00226360" w:rsidRPr="00384ADF">
        <w:t>potential for</w:t>
      </w:r>
      <w:r w:rsidRPr="00384ADF">
        <w:t xml:space="preserve"> management bias.</w:t>
      </w:r>
      <w:r w:rsidR="009751E1" w:rsidRPr="00384ADF">
        <w:t xml:space="preserve"> </w:t>
      </w:r>
      <w:r w:rsidR="00B35A59" w:rsidRPr="00384ADF">
        <w:t xml:space="preserve">Since these </w:t>
      </w:r>
      <w:r w:rsidR="009751E1" w:rsidRPr="00384ADF">
        <w:t xml:space="preserve">reporting frameworks provide only </w:t>
      </w:r>
      <w:r w:rsidR="00456202" w:rsidRPr="00384ADF">
        <w:t>high-</w:t>
      </w:r>
      <w:r w:rsidR="009751E1" w:rsidRPr="00384ADF">
        <w:t>level guidance</w:t>
      </w:r>
      <w:r w:rsidR="00AD4EF4" w:rsidRPr="00384ADF">
        <w:t xml:space="preserve"> (principles)</w:t>
      </w:r>
      <w:r w:rsidR="009751E1" w:rsidRPr="00384ADF">
        <w:t>, it is largely up to the reporting entity to</w:t>
      </w:r>
      <w:r w:rsidR="000C3482" w:rsidRPr="00384ADF">
        <w:t xml:space="preserve"> select or</w:t>
      </w:r>
      <w:r w:rsidR="009751E1" w:rsidRPr="00384ADF">
        <w:t xml:space="preserve"> develop </w:t>
      </w:r>
      <w:r w:rsidR="00995B22" w:rsidRPr="00384ADF">
        <w:t xml:space="preserve">reporting </w:t>
      </w:r>
      <w:r w:rsidR="009751E1" w:rsidRPr="00384ADF">
        <w:t>policies</w:t>
      </w:r>
      <w:r w:rsidR="00E92B31" w:rsidRPr="00384ADF">
        <w:t xml:space="preserve"> and procedures</w:t>
      </w:r>
      <w:r w:rsidR="009751E1" w:rsidRPr="00384ADF">
        <w:t xml:space="preserve"> to apply these principles </w:t>
      </w:r>
      <w:r w:rsidR="00C600D3" w:rsidRPr="00384ADF">
        <w:t>to</w:t>
      </w:r>
      <w:r w:rsidR="009751E1" w:rsidRPr="00384ADF">
        <w:t xml:space="preserve"> its specific circumstances.</w:t>
      </w:r>
    </w:p>
    <w:p w14:paraId="06B00A8B" w14:textId="6FF89FD9" w:rsidR="00D06DE8" w:rsidRPr="00384ADF" w:rsidRDefault="00D06DE8" w:rsidP="005279E7">
      <w:pPr>
        <w:pStyle w:val="NumList"/>
        <w:spacing w:line="312" w:lineRule="auto"/>
      </w:pPr>
      <w:r w:rsidRPr="00384ADF">
        <w:t xml:space="preserve">The risk associated </w:t>
      </w:r>
      <w:r w:rsidR="005C28B0" w:rsidRPr="00384ADF">
        <w:t>with</w:t>
      </w:r>
      <w:r w:rsidRPr="00384ADF">
        <w:t xml:space="preserve"> higher management bias is that the reported information may only meet the needs of </w:t>
      </w:r>
      <w:r w:rsidR="00E547CF" w:rsidRPr="00384ADF">
        <w:t>the reporting entity</w:t>
      </w:r>
      <w:r w:rsidRPr="00384ADF">
        <w:t xml:space="preserve"> and not </w:t>
      </w:r>
      <w:r w:rsidR="00C600D3" w:rsidRPr="00384ADF">
        <w:t>those</w:t>
      </w:r>
      <w:r w:rsidRPr="00384ADF">
        <w:t xml:space="preserve"> of the intended users of the </w:t>
      </w:r>
      <w:proofErr w:type="gramStart"/>
      <w:r w:rsidRPr="00384ADF">
        <w:t>information</w:t>
      </w:r>
      <w:r w:rsidR="008D5E0F" w:rsidRPr="00384ADF">
        <w:t>, or</w:t>
      </w:r>
      <w:proofErr w:type="gramEnd"/>
      <w:r w:rsidR="008D5E0F" w:rsidRPr="00384ADF">
        <w:t xml:space="preserve"> may be disproportionately biased to communicate a particular message (e.g. an overly favourable position or a message that lacks balance/neutrality)</w:t>
      </w:r>
      <w:r w:rsidRPr="00384ADF">
        <w:t xml:space="preserve">. </w:t>
      </w:r>
    </w:p>
    <w:p w14:paraId="2A9137E9" w14:textId="767A2594" w:rsidR="00D06DE8" w:rsidRPr="00384ADF" w:rsidRDefault="00B31DA2" w:rsidP="005279E7">
      <w:pPr>
        <w:pStyle w:val="NumList"/>
        <w:spacing w:line="312" w:lineRule="auto"/>
      </w:pPr>
      <w:r w:rsidRPr="00384ADF">
        <w:t>However</w:t>
      </w:r>
      <w:r w:rsidR="00D06DE8" w:rsidRPr="00384ADF">
        <w:t xml:space="preserve"> reporting frameworks that rely on the judgment of </w:t>
      </w:r>
      <w:r w:rsidR="000B2D01" w:rsidRPr="00384ADF">
        <w:t>the reporting entity</w:t>
      </w:r>
      <w:r w:rsidR="00D06DE8" w:rsidRPr="00384ADF">
        <w:t xml:space="preserve"> to generate the majority of the content of the reported information</w:t>
      </w:r>
      <w:r w:rsidR="00CE315B" w:rsidRPr="00384ADF">
        <w:t xml:space="preserve"> may</w:t>
      </w:r>
      <w:r w:rsidR="00D06DE8" w:rsidRPr="00384ADF">
        <w:t xml:space="preserve"> contain principles</w:t>
      </w:r>
      <w:r w:rsidR="00995B22" w:rsidRPr="00384ADF">
        <w:t xml:space="preserve">, among other </w:t>
      </w:r>
      <w:r w:rsidR="0042564B" w:rsidRPr="00384ADF">
        <w:t>matters</w:t>
      </w:r>
      <w:r w:rsidR="00995B22" w:rsidRPr="00384ADF">
        <w:t>,</w:t>
      </w:r>
      <w:r w:rsidR="00D06DE8" w:rsidRPr="00384ADF">
        <w:t xml:space="preserve"> that aim to mitigate the risk of management bias in preparing the report. </w:t>
      </w:r>
      <w:r w:rsidR="007F2F88" w:rsidRPr="00384ADF">
        <w:t>T</w:t>
      </w:r>
      <w:r w:rsidR="00D06DE8" w:rsidRPr="00384ADF">
        <w:t xml:space="preserve">hese principles </w:t>
      </w:r>
      <w:r w:rsidR="000B2D01" w:rsidRPr="00384ADF">
        <w:t>are</w:t>
      </w:r>
      <w:r w:rsidR="007F2F88" w:rsidRPr="00384ADF">
        <w:t xml:space="preserve"> generally</w:t>
      </w:r>
      <w:r w:rsidR="000B2D01" w:rsidRPr="00384ADF">
        <w:t xml:space="preserve"> embedded in</w:t>
      </w:r>
      <w:r w:rsidR="00D06DE8" w:rsidRPr="00384ADF">
        <w:t xml:space="preserve"> areas</w:t>
      </w:r>
      <w:r w:rsidR="00E62029" w:rsidRPr="00384ADF">
        <w:t xml:space="preserve"> where the reporting entity</w:t>
      </w:r>
      <w:r w:rsidR="00D06DE8" w:rsidRPr="00384ADF">
        <w:t>:</w:t>
      </w:r>
    </w:p>
    <w:p w14:paraId="201AAF14" w14:textId="2CD41A3E" w:rsidR="00D06DE8" w:rsidRPr="00384ADF" w:rsidRDefault="00D06DE8" w:rsidP="005279E7">
      <w:pPr>
        <w:pStyle w:val="NumList"/>
        <w:numPr>
          <w:ilvl w:val="1"/>
          <w:numId w:val="2"/>
        </w:numPr>
        <w:spacing w:line="312" w:lineRule="auto"/>
        <w:ind w:hanging="425"/>
        <w:rPr>
          <w:rFonts w:cs="Arial"/>
        </w:rPr>
      </w:pPr>
      <w:r w:rsidRPr="00384ADF">
        <w:rPr>
          <w:rFonts w:cs="Arial"/>
        </w:rPr>
        <w:t>Engage</w:t>
      </w:r>
      <w:r w:rsidR="00E62029" w:rsidRPr="00384ADF">
        <w:rPr>
          <w:rFonts w:cs="Arial"/>
        </w:rPr>
        <w:t>s</w:t>
      </w:r>
      <w:r w:rsidR="0021282C" w:rsidRPr="00384ADF">
        <w:rPr>
          <w:rFonts w:cs="Arial"/>
        </w:rPr>
        <w:t xml:space="preserve"> </w:t>
      </w:r>
      <w:r w:rsidR="009475BE" w:rsidRPr="00384ADF">
        <w:rPr>
          <w:rFonts w:cs="Arial"/>
        </w:rPr>
        <w:t xml:space="preserve">the </w:t>
      </w:r>
      <w:r w:rsidR="0021282C" w:rsidRPr="00384ADF">
        <w:rPr>
          <w:rFonts w:cs="Arial"/>
        </w:rPr>
        <w:t>intended users and other</w:t>
      </w:r>
      <w:r w:rsidRPr="00384ADF">
        <w:rPr>
          <w:rFonts w:cs="Arial"/>
        </w:rPr>
        <w:t xml:space="preserve"> stakeholders to determine their information needs</w:t>
      </w:r>
      <w:r w:rsidR="000B2D01" w:rsidRPr="00384ADF">
        <w:rPr>
          <w:rFonts w:cs="Arial"/>
        </w:rPr>
        <w:t>;</w:t>
      </w:r>
    </w:p>
    <w:p w14:paraId="3ABB460B" w14:textId="5C695D43" w:rsidR="00D06DE8" w:rsidRPr="00384ADF" w:rsidRDefault="00E62029" w:rsidP="005279E7">
      <w:pPr>
        <w:pStyle w:val="NumList"/>
        <w:numPr>
          <w:ilvl w:val="1"/>
          <w:numId w:val="2"/>
        </w:numPr>
        <w:spacing w:line="312" w:lineRule="auto"/>
        <w:ind w:hanging="425"/>
        <w:rPr>
          <w:rFonts w:cs="Arial"/>
        </w:rPr>
      </w:pPr>
      <w:r w:rsidRPr="00384ADF">
        <w:rPr>
          <w:rFonts w:cs="Arial"/>
        </w:rPr>
        <w:t xml:space="preserve">Determines </w:t>
      </w:r>
      <w:r w:rsidR="00D06DE8" w:rsidRPr="00384ADF">
        <w:rPr>
          <w:rFonts w:cs="Arial"/>
        </w:rPr>
        <w:t xml:space="preserve">the </w:t>
      </w:r>
      <w:r w:rsidR="00EC11C5" w:rsidRPr="00384ADF">
        <w:rPr>
          <w:rFonts w:cs="Arial"/>
        </w:rPr>
        <w:t xml:space="preserve">scope of what </w:t>
      </w:r>
      <w:r w:rsidR="00D4047E" w:rsidRPr="00384ADF">
        <w:rPr>
          <w:rFonts w:cs="Arial"/>
        </w:rPr>
        <w:t xml:space="preserve">may </w:t>
      </w:r>
      <w:r w:rsidR="00EC11C5" w:rsidRPr="00384ADF">
        <w:rPr>
          <w:rFonts w:cs="Arial"/>
        </w:rPr>
        <w:t>be reported on</w:t>
      </w:r>
      <w:r w:rsidR="000B2D01" w:rsidRPr="00384ADF">
        <w:rPr>
          <w:rFonts w:cs="Arial"/>
        </w:rPr>
        <w:t>;</w:t>
      </w:r>
    </w:p>
    <w:p w14:paraId="3D7ADB2E" w14:textId="512BA948" w:rsidR="00D06DE8" w:rsidRPr="00384ADF" w:rsidRDefault="00E62029" w:rsidP="005279E7">
      <w:pPr>
        <w:pStyle w:val="NumList"/>
        <w:numPr>
          <w:ilvl w:val="1"/>
          <w:numId w:val="2"/>
        </w:numPr>
        <w:spacing w:line="312" w:lineRule="auto"/>
        <w:ind w:hanging="425"/>
        <w:rPr>
          <w:rFonts w:cs="Arial"/>
        </w:rPr>
      </w:pPr>
      <w:r w:rsidRPr="00384ADF">
        <w:rPr>
          <w:rFonts w:cs="Arial"/>
        </w:rPr>
        <w:t xml:space="preserve">Determines </w:t>
      </w:r>
      <w:r w:rsidR="00D06DE8" w:rsidRPr="00384ADF">
        <w:rPr>
          <w:rFonts w:cs="Arial"/>
        </w:rPr>
        <w:t>the material issues to report on</w:t>
      </w:r>
      <w:r w:rsidR="000B2D01" w:rsidRPr="00384ADF">
        <w:rPr>
          <w:rFonts w:cs="Arial"/>
        </w:rPr>
        <w:t>; and</w:t>
      </w:r>
    </w:p>
    <w:p w14:paraId="2D373C9E" w14:textId="130A161C" w:rsidR="00D06DE8" w:rsidRPr="00384ADF" w:rsidRDefault="00E62029" w:rsidP="005279E7">
      <w:pPr>
        <w:pStyle w:val="NumList"/>
        <w:numPr>
          <w:ilvl w:val="1"/>
          <w:numId w:val="2"/>
        </w:numPr>
        <w:spacing w:line="312" w:lineRule="auto"/>
        <w:ind w:hanging="425"/>
      </w:pPr>
      <w:r w:rsidRPr="00384ADF">
        <w:rPr>
          <w:rFonts w:cs="Arial"/>
        </w:rPr>
        <w:t xml:space="preserve">Defines </w:t>
      </w:r>
      <w:r w:rsidR="00D06DE8" w:rsidRPr="00384ADF">
        <w:rPr>
          <w:rFonts w:cs="Arial"/>
        </w:rPr>
        <w:t>processes to measure</w:t>
      </w:r>
      <w:r w:rsidR="000C3482" w:rsidRPr="00384ADF">
        <w:rPr>
          <w:rFonts w:cs="Arial"/>
        </w:rPr>
        <w:t xml:space="preserve"> or evaluate</w:t>
      </w:r>
      <w:r w:rsidR="00D06DE8" w:rsidRPr="00384ADF">
        <w:rPr>
          <w:rFonts w:cs="Arial"/>
        </w:rPr>
        <w:t xml:space="preserve"> certain areas of performance</w:t>
      </w:r>
      <w:r w:rsidR="000B2D01" w:rsidRPr="00384ADF">
        <w:t>.</w:t>
      </w:r>
    </w:p>
    <w:tbl>
      <w:tblPr>
        <w:tblStyle w:val="TableGrid"/>
        <w:tblW w:w="0" w:type="auto"/>
        <w:tblInd w:w="-5" w:type="dxa"/>
        <w:tblLook w:val="04A0" w:firstRow="1" w:lastRow="0" w:firstColumn="1" w:lastColumn="0" w:noHBand="0" w:noVBand="1"/>
      </w:tblPr>
      <w:tblGrid>
        <w:gridCol w:w="709"/>
        <w:gridCol w:w="7599"/>
      </w:tblGrid>
      <w:tr w:rsidR="00E9585B" w:rsidRPr="00384ADF" w14:paraId="69EEEFB9" w14:textId="77777777" w:rsidTr="00AD21D6">
        <w:trPr>
          <w:cantSplit/>
          <w:trHeight w:val="1134"/>
        </w:trPr>
        <w:tc>
          <w:tcPr>
            <w:tcW w:w="709" w:type="dxa"/>
            <w:shd w:val="clear" w:color="auto" w:fill="A6A6A6" w:themeFill="background1" w:themeFillShade="A6"/>
            <w:textDirection w:val="btLr"/>
          </w:tcPr>
          <w:p w14:paraId="395F8CEA" w14:textId="0B19E42C" w:rsidR="00E9585B" w:rsidRPr="00AD21D6" w:rsidDel="001B259A" w:rsidRDefault="00E9585B" w:rsidP="00AD21D6">
            <w:pPr>
              <w:pStyle w:val="NumList"/>
              <w:numPr>
                <w:ilvl w:val="0"/>
                <w:numId w:val="0"/>
              </w:numPr>
              <w:spacing w:line="312" w:lineRule="auto"/>
              <w:ind w:left="113" w:right="113"/>
              <w:jc w:val="center"/>
              <w:rPr>
                <w:b/>
                <w:color w:val="FFFFFF" w:themeColor="background1"/>
              </w:rPr>
            </w:pPr>
            <w:r>
              <w:rPr>
                <w:b/>
                <w:color w:val="FFFFFF" w:themeColor="background1"/>
              </w:rPr>
              <w:t>Considerations for the Practitioner</w:t>
            </w:r>
          </w:p>
        </w:tc>
        <w:tc>
          <w:tcPr>
            <w:tcW w:w="7599" w:type="dxa"/>
            <w:shd w:val="clear" w:color="auto" w:fill="F2F2F2" w:themeFill="background1" w:themeFillShade="F2"/>
          </w:tcPr>
          <w:p w14:paraId="3182F5B7" w14:textId="6C0A10D9" w:rsidR="00E9585B" w:rsidRPr="00384ADF" w:rsidRDefault="00E9585B" w:rsidP="001E4F3B">
            <w:pPr>
              <w:pStyle w:val="NumList"/>
              <w:numPr>
                <w:ilvl w:val="0"/>
                <w:numId w:val="0"/>
              </w:numPr>
              <w:spacing w:line="312" w:lineRule="auto"/>
              <w:rPr>
                <w:b/>
              </w:rPr>
            </w:pPr>
            <w:r>
              <w:rPr>
                <w:bCs/>
              </w:rPr>
              <w:t>To obtain a</w:t>
            </w:r>
            <w:r w:rsidR="00DC7F5C">
              <w:rPr>
                <w:bCs/>
              </w:rPr>
              <w:t>n</w:t>
            </w:r>
            <w:r>
              <w:rPr>
                <w:bCs/>
              </w:rPr>
              <w:t xml:space="preserve"> understanding of the relevant reporting framework it may be appropriate for the practitioner to consider:</w:t>
            </w:r>
          </w:p>
          <w:p w14:paraId="5068B4DA" w14:textId="6DE6ADC5" w:rsidR="00E9585B" w:rsidRPr="00384ADF" w:rsidRDefault="00E9585B" w:rsidP="00AD21D6">
            <w:pPr>
              <w:pStyle w:val="ListParagraph"/>
              <w:numPr>
                <w:ilvl w:val="0"/>
                <w:numId w:val="47"/>
              </w:numPr>
              <w:spacing w:line="312" w:lineRule="auto"/>
              <w:rPr>
                <w:rFonts w:cs="Arial"/>
              </w:rPr>
            </w:pPr>
            <w:r>
              <w:rPr>
                <w:rFonts w:cs="Arial"/>
              </w:rPr>
              <w:t>T</w:t>
            </w:r>
            <w:r w:rsidRPr="00384ADF">
              <w:rPr>
                <w:rFonts w:cs="Arial"/>
              </w:rPr>
              <w:t>he reporting framework(s) that the reporting entity is utilising in reporting on the subject matter information</w:t>
            </w:r>
            <w:r>
              <w:rPr>
                <w:rFonts w:cs="Arial"/>
              </w:rPr>
              <w:t>.</w:t>
            </w:r>
          </w:p>
          <w:p w14:paraId="6F09BC80" w14:textId="72BEAE12" w:rsidR="00E9585B" w:rsidRPr="00384ADF" w:rsidRDefault="00E9585B" w:rsidP="00AD21D6">
            <w:pPr>
              <w:pStyle w:val="ListParagraph"/>
              <w:numPr>
                <w:ilvl w:val="0"/>
                <w:numId w:val="47"/>
              </w:numPr>
              <w:spacing w:line="312" w:lineRule="auto"/>
              <w:rPr>
                <w:rFonts w:cs="Arial"/>
              </w:rPr>
            </w:pPr>
            <w:r>
              <w:rPr>
                <w:rFonts w:cs="Arial"/>
              </w:rPr>
              <w:t>T</w:t>
            </w:r>
            <w:r w:rsidRPr="00384ADF">
              <w:rPr>
                <w:rFonts w:cs="Arial"/>
              </w:rPr>
              <w:t>he process the entity has followed to adopt the reporting framework(s)</w:t>
            </w:r>
            <w:r>
              <w:rPr>
                <w:rFonts w:cs="Arial"/>
              </w:rPr>
              <w:t>.</w:t>
            </w:r>
          </w:p>
          <w:p w14:paraId="3C845429" w14:textId="6FE96738" w:rsidR="00E9585B" w:rsidRPr="00384ADF" w:rsidRDefault="00E9585B" w:rsidP="00AD21D6">
            <w:pPr>
              <w:pStyle w:val="ListParagraph"/>
              <w:numPr>
                <w:ilvl w:val="0"/>
                <w:numId w:val="47"/>
              </w:numPr>
              <w:spacing w:line="312" w:lineRule="auto"/>
              <w:rPr>
                <w:rFonts w:cs="Arial"/>
              </w:rPr>
            </w:pPr>
            <w:r>
              <w:rPr>
                <w:rFonts w:cs="Arial"/>
              </w:rPr>
              <w:t>T</w:t>
            </w:r>
            <w:r w:rsidRPr="00384ADF">
              <w:rPr>
                <w:rFonts w:cs="Arial"/>
              </w:rPr>
              <w:t>he process the entity has followed to engage the intended users and other stakeholders to determine their information needs</w:t>
            </w:r>
            <w:r>
              <w:rPr>
                <w:rFonts w:cs="Arial"/>
              </w:rPr>
              <w:t>.</w:t>
            </w:r>
          </w:p>
          <w:p w14:paraId="5BEEF03A" w14:textId="263A2920" w:rsidR="00E9585B" w:rsidRPr="00384ADF" w:rsidRDefault="00E9585B" w:rsidP="00AD21D6">
            <w:pPr>
              <w:pStyle w:val="ListParagraph"/>
              <w:numPr>
                <w:ilvl w:val="0"/>
                <w:numId w:val="47"/>
              </w:numPr>
              <w:spacing w:line="312" w:lineRule="auto"/>
              <w:rPr>
                <w:rFonts w:cs="Arial"/>
              </w:rPr>
            </w:pPr>
            <w:r>
              <w:rPr>
                <w:rFonts w:cs="Arial"/>
              </w:rPr>
              <w:t>The</w:t>
            </w:r>
            <w:r w:rsidRPr="00384ADF">
              <w:rPr>
                <w:rFonts w:cs="Arial"/>
              </w:rPr>
              <w:t xml:space="preserve"> level of management bias</w:t>
            </w:r>
            <w:r>
              <w:rPr>
                <w:rFonts w:cs="Arial"/>
              </w:rPr>
              <w:t xml:space="preserve"> that</w:t>
            </w:r>
            <w:r w:rsidRPr="00384ADF">
              <w:rPr>
                <w:rFonts w:cs="Arial"/>
              </w:rPr>
              <w:t xml:space="preserve"> exists in the reporting framework(s) used by management in the selection of reporting content</w:t>
            </w:r>
            <w:r>
              <w:rPr>
                <w:rFonts w:cs="Arial"/>
              </w:rPr>
              <w:t>.</w:t>
            </w:r>
          </w:p>
          <w:p w14:paraId="7882C386" w14:textId="20486B85" w:rsidR="00E9585B" w:rsidRPr="00384ADF" w:rsidRDefault="00E9585B" w:rsidP="00AD21D6">
            <w:pPr>
              <w:pStyle w:val="ListParagraph"/>
              <w:numPr>
                <w:ilvl w:val="0"/>
                <w:numId w:val="47"/>
              </w:numPr>
              <w:spacing w:line="312" w:lineRule="auto"/>
              <w:rPr>
                <w:rFonts w:cs="Arial"/>
              </w:rPr>
            </w:pPr>
            <w:r>
              <w:rPr>
                <w:rFonts w:cs="Arial"/>
              </w:rPr>
              <w:t>Whether</w:t>
            </w:r>
            <w:r w:rsidRPr="00384ADF">
              <w:rPr>
                <w:rFonts w:cs="Arial"/>
              </w:rPr>
              <w:t xml:space="preserve"> the following areas</w:t>
            </w:r>
            <w:r>
              <w:rPr>
                <w:rFonts w:cs="Arial"/>
              </w:rPr>
              <w:t xml:space="preserve"> are</w:t>
            </w:r>
            <w:r w:rsidRPr="00384ADF">
              <w:rPr>
                <w:rFonts w:cs="Arial"/>
              </w:rPr>
              <w:t xml:space="preserve"> included in the reporting framework(s):</w:t>
            </w:r>
          </w:p>
          <w:p w14:paraId="02EFE452" w14:textId="15519E51" w:rsidR="00E9585B" w:rsidRPr="00384ADF" w:rsidRDefault="00E9585B" w:rsidP="00AD21D6">
            <w:pPr>
              <w:pStyle w:val="ListParagraph"/>
              <w:widowControl/>
              <w:numPr>
                <w:ilvl w:val="0"/>
                <w:numId w:val="48"/>
              </w:numPr>
              <w:autoSpaceDE/>
              <w:autoSpaceDN/>
              <w:adjustRightInd/>
              <w:spacing w:line="312" w:lineRule="auto"/>
              <w:ind w:left="1310" w:hanging="425"/>
              <w:rPr>
                <w:rFonts w:cs="Arial"/>
              </w:rPr>
            </w:pPr>
            <w:r w:rsidRPr="00384ADF">
              <w:rPr>
                <w:rFonts w:cs="Arial"/>
              </w:rPr>
              <w:t>Determination of the scope of what may be reported on</w:t>
            </w:r>
            <w:r>
              <w:rPr>
                <w:rFonts w:cs="Arial"/>
              </w:rPr>
              <w:t>.</w:t>
            </w:r>
          </w:p>
          <w:p w14:paraId="4816D157" w14:textId="77334A76" w:rsidR="00E9585B" w:rsidRPr="00384ADF" w:rsidRDefault="00E9585B" w:rsidP="00AD21D6">
            <w:pPr>
              <w:pStyle w:val="ListParagraph"/>
              <w:widowControl/>
              <w:numPr>
                <w:ilvl w:val="0"/>
                <w:numId w:val="48"/>
              </w:numPr>
              <w:autoSpaceDE/>
              <w:autoSpaceDN/>
              <w:adjustRightInd/>
              <w:spacing w:line="312" w:lineRule="auto"/>
              <w:ind w:left="1310" w:hanging="425"/>
              <w:rPr>
                <w:rFonts w:cs="Arial"/>
              </w:rPr>
            </w:pPr>
            <w:r w:rsidRPr="00384ADF">
              <w:rPr>
                <w:rFonts w:cs="Arial"/>
              </w:rPr>
              <w:t>Determining the material issues to report on</w:t>
            </w:r>
            <w:r>
              <w:rPr>
                <w:rFonts w:cs="Arial"/>
              </w:rPr>
              <w:t>.</w:t>
            </w:r>
          </w:p>
          <w:p w14:paraId="1997F7C8" w14:textId="2C27C788" w:rsidR="00E9585B" w:rsidRPr="00384ADF" w:rsidRDefault="00E9585B" w:rsidP="00AD21D6">
            <w:pPr>
              <w:pStyle w:val="ListParagraph"/>
              <w:widowControl/>
              <w:numPr>
                <w:ilvl w:val="0"/>
                <w:numId w:val="48"/>
              </w:numPr>
              <w:autoSpaceDE/>
              <w:autoSpaceDN/>
              <w:adjustRightInd/>
              <w:spacing w:line="312" w:lineRule="auto"/>
              <w:ind w:left="1310" w:hanging="425"/>
            </w:pPr>
            <w:r w:rsidRPr="00384ADF">
              <w:rPr>
                <w:rFonts w:cs="Arial"/>
              </w:rPr>
              <w:t>Defini</w:t>
            </w:r>
            <w:r>
              <w:rPr>
                <w:rFonts w:cs="Arial"/>
              </w:rPr>
              <w:t>tion of</w:t>
            </w:r>
            <w:r w:rsidRPr="00384ADF">
              <w:rPr>
                <w:rFonts w:cs="Arial"/>
              </w:rPr>
              <w:t xml:space="preserve"> processes to measure or evaluate certain areas of performance</w:t>
            </w:r>
            <w:r>
              <w:rPr>
                <w:rFonts w:cs="Arial"/>
              </w:rPr>
              <w:t>.</w:t>
            </w:r>
            <w:r w:rsidRPr="00384ADF">
              <w:rPr>
                <w:rFonts w:cs="Arial"/>
              </w:rPr>
              <w:t xml:space="preserve"> </w:t>
            </w:r>
          </w:p>
          <w:p w14:paraId="45BFCB81" w14:textId="6508A7F7" w:rsidR="00E9585B" w:rsidRPr="00384ADF" w:rsidRDefault="00DC7F5C" w:rsidP="00AD21D6">
            <w:pPr>
              <w:widowControl/>
              <w:autoSpaceDE/>
              <w:autoSpaceDN/>
              <w:adjustRightInd/>
              <w:spacing w:line="312" w:lineRule="auto"/>
              <w:ind w:left="743"/>
            </w:pPr>
            <w:r>
              <w:t>If not, whether</w:t>
            </w:r>
            <w:r w:rsidR="00E9585B" w:rsidRPr="00384ADF">
              <w:t xml:space="preserve"> these areas been addressed</w:t>
            </w:r>
            <w:r>
              <w:t xml:space="preserve"> in another way</w:t>
            </w:r>
            <w:r w:rsidR="00E9585B" w:rsidRPr="00384ADF">
              <w:t xml:space="preserve"> by the reporting entity</w:t>
            </w:r>
            <w:r>
              <w:t>.</w:t>
            </w:r>
          </w:p>
        </w:tc>
      </w:tr>
    </w:tbl>
    <w:p w14:paraId="56A5C127" w14:textId="2DA21E97" w:rsidR="00C367A4" w:rsidRPr="00384ADF" w:rsidRDefault="00C367A4" w:rsidP="00743AD0">
      <w:pPr>
        <w:pStyle w:val="NumList"/>
        <w:numPr>
          <w:ilvl w:val="0"/>
          <w:numId w:val="0"/>
        </w:numPr>
        <w:spacing w:after="0" w:line="312" w:lineRule="auto"/>
        <w:ind w:left="567" w:hanging="567"/>
      </w:pPr>
    </w:p>
    <w:p w14:paraId="422A3B74" w14:textId="20989076" w:rsidR="0083461F" w:rsidRPr="00384ADF" w:rsidRDefault="005D26C0" w:rsidP="00AD21D6">
      <w:pPr>
        <w:pStyle w:val="Heading4"/>
        <w:keepNext w:val="0"/>
      </w:pPr>
      <w:r w:rsidRPr="00384ADF">
        <w:t>R</w:t>
      </w:r>
      <w:r w:rsidR="00ED58BC" w:rsidRPr="00384ADF">
        <w:t xml:space="preserve">eporting </w:t>
      </w:r>
      <w:r w:rsidR="0083461F" w:rsidRPr="00384ADF">
        <w:t>policies</w:t>
      </w:r>
      <w:r w:rsidR="00E92B31" w:rsidRPr="00384ADF">
        <w:t xml:space="preserve"> and procedures</w:t>
      </w:r>
    </w:p>
    <w:p w14:paraId="1DA29752" w14:textId="2EC666A8" w:rsidR="00D06DE8" w:rsidRPr="00384ADF" w:rsidRDefault="00CE33E7" w:rsidP="00AD21D6">
      <w:pPr>
        <w:pStyle w:val="NumList"/>
        <w:spacing w:line="312" w:lineRule="auto"/>
      </w:pPr>
      <w:r>
        <w:t>The practitioner may consider the reporting policies and procedures that generate the reporting entity’s criteria that provide the basis for reporting relevant and reliable sustainability information</w:t>
      </w:r>
      <w:r w:rsidR="00D06DE8" w:rsidRPr="00384ADF">
        <w:t>.</w:t>
      </w:r>
    </w:p>
    <w:p w14:paraId="0193EEC0" w14:textId="5C7724F2" w:rsidR="00D06DE8" w:rsidRPr="00384ADF" w:rsidRDefault="001F7F70" w:rsidP="00AD21D6">
      <w:pPr>
        <w:pStyle w:val="NumList"/>
        <w:spacing w:line="312" w:lineRule="auto"/>
      </w:pPr>
      <w:r w:rsidRPr="00384ADF">
        <w:t xml:space="preserve">The </w:t>
      </w:r>
      <w:r w:rsidR="000F71F8" w:rsidRPr="00384ADF">
        <w:t xml:space="preserve">sustainability assurance </w:t>
      </w:r>
      <w:r w:rsidRPr="00384ADF">
        <w:t xml:space="preserve">engagement is more likely to </w:t>
      </w:r>
      <w:r w:rsidR="0027760F" w:rsidRPr="00384ADF">
        <w:t xml:space="preserve">exhibit </w:t>
      </w:r>
      <w:r w:rsidRPr="00384ADF">
        <w:t>a rational purpose if the intended users selected</w:t>
      </w:r>
      <w:r w:rsidR="005D26C0" w:rsidRPr="00384ADF">
        <w:t xml:space="preserve"> or</w:t>
      </w:r>
      <w:r w:rsidRPr="00384ADF">
        <w:t xml:space="preserve"> were involved in selecting the criteria. </w:t>
      </w:r>
      <w:r w:rsidR="00D06DE8" w:rsidRPr="00384ADF">
        <w:t xml:space="preserve">As stated </w:t>
      </w:r>
      <w:r w:rsidR="005F3C47" w:rsidRPr="00384ADF">
        <w:t xml:space="preserve">in paragraph </w:t>
      </w:r>
      <w:r w:rsidR="002B6802" w:rsidRPr="00384ADF">
        <w:t>62</w:t>
      </w:r>
      <w:r w:rsidR="005F3C47" w:rsidRPr="00384ADF">
        <w:t>,</w:t>
      </w:r>
      <w:r w:rsidR="00D06DE8" w:rsidRPr="00384ADF">
        <w:t xml:space="preserve"> </w:t>
      </w:r>
      <w:r w:rsidR="005C28B0" w:rsidRPr="00384ADF">
        <w:t xml:space="preserve">the risk associated with higher management bias is that the reported information may only meet the needs of the reporting entity and not </w:t>
      </w:r>
      <w:r w:rsidR="009A584C" w:rsidRPr="00384ADF">
        <w:t>those</w:t>
      </w:r>
      <w:r w:rsidR="005C28B0" w:rsidRPr="00384ADF">
        <w:t xml:space="preserve"> of the intended users of the information</w:t>
      </w:r>
      <w:r w:rsidR="00D06DE8" w:rsidRPr="00384ADF">
        <w:t xml:space="preserve">. </w:t>
      </w:r>
    </w:p>
    <w:p w14:paraId="0C1F3B0E" w14:textId="2E8C44B4" w:rsidR="00AD730B" w:rsidRPr="00384ADF" w:rsidRDefault="00D06DE8" w:rsidP="00AD21D6">
      <w:pPr>
        <w:pStyle w:val="NumList"/>
        <w:spacing w:line="312" w:lineRule="auto"/>
      </w:pPr>
      <w:r w:rsidRPr="00384ADF">
        <w:t xml:space="preserve">The level of potential management bias </w:t>
      </w:r>
      <w:r w:rsidR="0022450E" w:rsidRPr="00384ADF">
        <w:t>in</w:t>
      </w:r>
      <w:r w:rsidR="00CF2C33" w:rsidRPr="00384ADF">
        <w:t xml:space="preserve"> selecting</w:t>
      </w:r>
      <w:r w:rsidR="00CD4FBF" w:rsidRPr="00384ADF">
        <w:t xml:space="preserve"> or developing</w:t>
      </w:r>
      <w:r w:rsidRPr="00384ADF">
        <w:t xml:space="preserve"> report</w:t>
      </w:r>
      <w:r w:rsidR="00CF2C33" w:rsidRPr="00384ADF">
        <w:t>ing policies</w:t>
      </w:r>
      <w:r w:rsidR="00E92B31" w:rsidRPr="00384ADF">
        <w:t xml:space="preserve"> and procedures</w:t>
      </w:r>
      <w:r w:rsidRPr="00384ADF">
        <w:t xml:space="preserve"> </w:t>
      </w:r>
      <w:r w:rsidR="0027760F" w:rsidRPr="00384ADF">
        <w:t xml:space="preserve">may </w:t>
      </w:r>
      <w:r w:rsidRPr="00384ADF">
        <w:t xml:space="preserve">directly correlate with the </w:t>
      </w:r>
      <w:r w:rsidR="00C67768" w:rsidRPr="00384ADF">
        <w:t>nature and extent of procedures</w:t>
      </w:r>
      <w:r w:rsidRPr="00384ADF">
        <w:t xml:space="preserve"> that the </w:t>
      </w:r>
      <w:r w:rsidR="007C374A" w:rsidRPr="00384ADF">
        <w:t>practitioner</w:t>
      </w:r>
      <w:r w:rsidRPr="00384ADF">
        <w:t xml:space="preserve"> </w:t>
      </w:r>
      <w:r w:rsidR="005D26C0" w:rsidRPr="00384ADF">
        <w:t>perform</w:t>
      </w:r>
      <w:r w:rsidR="0042564B" w:rsidRPr="00384ADF">
        <w:t>s</w:t>
      </w:r>
      <w:r w:rsidRPr="00384ADF">
        <w:t xml:space="preserve"> when considering the design of</w:t>
      </w:r>
      <w:r w:rsidR="0022450E" w:rsidRPr="00384ADF">
        <w:t xml:space="preserve"> the reporting entity’s</w:t>
      </w:r>
      <w:r w:rsidRPr="00384ADF">
        <w:t xml:space="preserve"> reporting </w:t>
      </w:r>
      <w:r w:rsidR="00CE46FD" w:rsidRPr="00384ADF">
        <w:t>policies and procedures</w:t>
      </w:r>
      <w:r w:rsidRPr="00384ADF">
        <w:t>. It</w:t>
      </w:r>
      <w:r w:rsidR="00456202" w:rsidRPr="00384ADF">
        <w:t xml:space="preserve"> then</w:t>
      </w:r>
      <w:r w:rsidRPr="00384ADF">
        <w:t xml:space="preserve"> follows that</w:t>
      </w:r>
      <w:r w:rsidR="0022450E" w:rsidRPr="00384ADF">
        <w:t xml:space="preserve"> </w:t>
      </w:r>
      <w:r w:rsidR="005D26C0" w:rsidRPr="00384ADF">
        <w:t xml:space="preserve">a </w:t>
      </w:r>
      <w:r w:rsidRPr="00384ADF">
        <w:t>reporting policy</w:t>
      </w:r>
      <w:r w:rsidR="00CE46FD" w:rsidRPr="00384ADF">
        <w:t xml:space="preserve"> and procedure</w:t>
      </w:r>
      <w:r w:rsidRPr="00384ADF">
        <w:t xml:space="preserve"> with </w:t>
      </w:r>
      <w:r w:rsidR="00456202" w:rsidRPr="00384ADF">
        <w:t>high-</w:t>
      </w:r>
      <w:r w:rsidRPr="00384ADF">
        <w:t>level involvement from the intended users</w:t>
      </w:r>
      <w:r w:rsidR="005D26C0" w:rsidRPr="00384ADF">
        <w:t>,</w:t>
      </w:r>
      <w:r w:rsidR="0022450E" w:rsidRPr="00384ADF">
        <w:t xml:space="preserve"> and</w:t>
      </w:r>
      <w:r w:rsidRPr="00384ADF">
        <w:t xml:space="preserve"> with </w:t>
      </w:r>
      <w:r w:rsidR="005D26C0" w:rsidRPr="00384ADF">
        <w:t xml:space="preserve">a </w:t>
      </w:r>
      <w:r w:rsidRPr="00384ADF">
        <w:t>transparent due process</w:t>
      </w:r>
      <w:r w:rsidR="009A584C" w:rsidRPr="00384ADF">
        <w:t>,</w:t>
      </w:r>
      <w:r w:rsidRPr="00384ADF">
        <w:t xml:space="preserve"> </w:t>
      </w:r>
      <w:r w:rsidR="0027760F" w:rsidRPr="00384ADF">
        <w:t xml:space="preserve">may </w:t>
      </w:r>
      <w:r w:rsidRPr="00384ADF">
        <w:t xml:space="preserve">provide higher levels of </w:t>
      </w:r>
      <w:r w:rsidR="00CF2C33" w:rsidRPr="00384ADF">
        <w:t>certainty</w:t>
      </w:r>
      <w:r w:rsidRPr="00384ADF">
        <w:t xml:space="preserve"> to the </w:t>
      </w:r>
      <w:r w:rsidR="0022450E" w:rsidRPr="00384ADF">
        <w:t>practitioner</w:t>
      </w:r>
      <w:r w:rsidRPr="00384ADF">
        <w:t xml:space="preserve"> that </w:t>
      </w:r>
      <w:r w:rsidR="00DB08B8">
        <w:t xml:space="preserve">management bias has been applied within acceptable </w:t>
      </w:r>
      <w:r w:rsidR="00697629">
        <w:t>limits</w:t>
      </w:r>
      <w:r w:rsidRPr="00384ADF">
        <w:t xml:space="preserve">. </w:t>
      </w:r>
      <w:r w:rsidR="00D27CB4" w:rsidRPr="00384ADF">
        <w:rPr>
          <w:rFonts w:cs="Arial"/>
          <w:color w:val="000000"/>
          <w:lang w:eastAsia="en-ZA"/>
        </w:rPr>
        <w:t xml:space="preserve">Conversely, the lower the level of involvement from the intended users, the more relevant and the higher the focus </w:t>
      </w:r>
      <w:r w:rsidR="0042564B" w:rsidRPr="00384ADF">
        <w:rPr>
          <w:rFonts w:cs="Arial"/>
          <w:color w:val="000000"/>
          <w:lang w:eastAsia="en-ZA"/>
        </w:rPr>
        <w:t xml:space="preserve">of the practitioner </w:t>
      </w:r>
      <w:r w:rsidR="003B5F3D" w:rsidRPr="00384ADF">
        <w:rPr>
          <w:rFonts w:cs="Arial"/>
          <w:color w:val="000000"/>
          <w:lang w:eastAsia="en-ZA"/>
        </w:rPr>
        <w:t>may</w:t>
      </w:r>
      <w:r w:rsidR="00D27CB4" w:rsidRPr="00384ADF">
        <w:rPr>
          <w:rFonts w:cs="Arial"/>
          <w:color w:val="000000"/>
          <w:lang w:eastAsia="en-ZA"/>
        </w:rPr>
        <w:t xml:space="preserve"> be on considering the degree and impact of management bias on a reporting policy and procedure.</w:t>
      </w:r>
    </w:p>
    <w:p w14:paraId="16580704" w14:textId="534F1340" w:rsidR="00D06DE8" w:rsidRPr="00384ADF" w:rsidRDefault="00D06DE8" w:rsidP="00AD21D6">
      <w:pPr>
        <w:pStyle w:val="NumList"/>
        <w:spacing w:line="312" w:lineRule="auto"/>
      </w:pPr>
      <w:r w:rsidRPr="00384ADF">
        <w:t>These</w:t>
      </w:r>
      <w:r w:rsidR="00CF2C33" w:rsidRPr="00384ADF">
        <w:t xml:space="preserve"> reporting</w:t>
      </w:r>
      <w:r w:rsidRPr="00384ADF">
        <w:t xml:space="preserve"> policies</w:t>
      </w:r>
      <w:r w:rsidR="00E92B31" w:rsidRPr="00384ADF">
        <w:t xml:space="preserve"> and procedures</w:t>
      </w:r>
      <w:r w:rsidRPr="00384ADF">
        <w:t xml:space="preserve"> </w:t>
      </w:r>
      <w:r w:rsidR="003B5F3D" w:rsidRPr="00384ADF">
        <w:t xml:space="preserve">may </w:t>
      </w:r>
      <w:r w:rsidRPr="00384ADF">
        <w:t xml:space="preserve">also </w:t>
      </w:r>
      <w:r w:rsidR="00CE46FD" w:rsidRPr="00384ADF">
        <w:t xml:space="preserve">need </w:t>
      </w:r>
      <w:r w:rsidRPr="00384ADF">
        <w:t>to be available (or disclosed) to the intended user</w:t>
      </w:r>
      <w:r w:rsidR="009A584C" w:rsidRPr="00384ADF">
        <w:t>s</w:t>
      </w:r>
      <w:r w:rsidRPr="00384ADF">
        <w:t xml:space="preserve"> to enable them to understand the </w:t>
      </w:r>
      <w:r w:rsidR="00E27329" w:rsidRPr="00384ADF">
        <w:t>policies</w:t>
      </w:r>
      <w:r w:rsidR="00E92B31" w:rsidRPr="00384ADF">
        <w:t xml:space="preserve"> and procedures</w:t>
      </w:r>
      <w:r w:rsidR="00E27329" w:rsidRPr="00384ADF">
        <w:t xml:space="preserve"> that have been applied in preparing the reported information and how the underlying subject matter has been measured or evaluated</w:t>
      </w:r>
      <w:r w:rsidRPr="00384ADF">
        <w:t>.</w:t>
      </w:r>
    </w:p>
    <w:tbl>
      <w:tblPr>
        <w:tblStyle w:val="TableGrid"/>
        <w:tblW w:w="0" w:type="auto"/>
        <w:tblLook w:val="04A0" w:firstRow="1" w:lastRow="0" w:firstColumn="1" w:lastColumn="0" w:noHBand="0" w:noVBand="1"/>
      </w:tblPr>
      <w:tblGrid>
        <w:gridCol w:w="704"/>
        <w:gridCol w:w="7599"/>
      </w:tblGrid>
      <w:tr w:rsidR="00DC7F5C" w:rsidRPr="00384ADF" w14:paraId="57CF2165" w14:textId="77777777" w:rsidTr="00AD21D6">
        <w:trPr>
          <w:cantSplit/>
          <w:trHeight w:val="1134"/>
        </w:trPr>
        <w:tc>
          <w:tcPr>
            <w:tcW w:w="704" w:type="dxa"/>
            <w:shd w:val="clear" w:color="auto" w:fill="A6A6A6" w:themeFill="background1" w:themeFillShade="A6"/>
            <w:textDirection w:val="btLr"/>
          </w:tcPr>
          <w:p w14:paraId="317BEDF6" w14:textId="0C25480C" w:rsidR="00DC7F5C" w:rsidRPr="00AD21D6" w:rsidDel="00DC7F5C" w:rsidRDefault="00DC7F5C" w:rsidP="00AD21D6">
            <w:pPr>
              <w:pStyle w:val="NumList"/>
              <w:numPr>
                <w:ilvl w:val="0"/>
                <w:numId w:val="0"/>
              </w:numPr>
              <w:spacing w:line="312" w:lineRule="auto"/>
              <w:ind w:left="113" w:right="113"/>
              <w:jc w:val="center"/>
              <w:rPr>
                <w:b/>
                <w:color w:val="FFFFFF" w:themeColor="background1"/>
              </w:rPr>
            </w:pPr>
            <w:r>
              <w:rPr>
                <w:b/>
                <w:color w:val="FFFFFF" w:themeColor="background1"/>
              </w:rPr>
              <w:t>Considerations for the Practitioner</w:t>
            </w:r>
          </w:p>
        </w:tc>
        <w:tc>
          <w:tcPr>
            <w:tcW w:w="7599" w:type="dxa"/>
            <w:shd w:val="clear" w:color="auto" w:fill="F2F2F2" w:themeFill="background1" w:themeFillShade="F2"/>
          </w:tcPr>
          <w:p w14:paraId="5D0C162C" w14:textId="359F5E21" w:rsidR="00DC7F5C" w:rsidRPr="00384ADF" w:rsidRDefault="00DC7F5C" w:rsidP="00AD21D6">
            <w:pPr>
              <w:pStyle w:val="NumList"/>
              <w:numPr>
                <w:ilvl w:val="0"/>
                <w:numId w:val="0"/>
              </w:numPr>
              <w:spacing w:line="312" w:lineRule="auto"/>
              <w:rPr>
                <w:b/>
              </w:rPr>
            </w:pPr>
            <w:r>
              <w:rPr>
                <w:bCs/>
              </w:rPr>
              <w:t>To obtain an understanding of the reporting policies and procedures it may be appropriate for the practitioner to consider:</w:t>
            </w:r>
          </w:p>
          <w:p w14:paraId="4EBA22D9" w14:textId="7AB93343" w:rsidR="00DC7F5C" w:rsidRPr="00384ADF" w:rsidRDefault="00DC7F5C" w:rsidP="00AD21D6">
            <w:pPr>
              <w:pStyle w:val="ListParagraph"/>
              <w:numPr>
                <w:ilvl w:val="0"/>
                <w:numId w:val="47"/>
              </w:numPr>
              <w:spacing w:line="312" w:lineRule="auto"/>
            </w:pPr>
            <w:r w:rsidRPr="00384ADF">
              <w:rPr>
                <w:rFonts w:cs="Arial"/>
              </w:rPr>
              <w:t xml:space="preserve">Given the potential for management bias in the development of reporting content, </w:t>
            </w:r>
            <w:r>
              <w:rPr>
                <w:rFonts w:cs="Arial"/>
              </w:rPr>
              <w:t>whether</w:t>
            </w:r>
            <w:r w:rsidRPr="00384ADF">
              <w:t xml:space="preserve"> the reporting entity ha</w:t>
            </w:r>
            <w:r>
              <w:t>s</w:t>
            </w:r>
            <w:r w:rsidRPr="00384ADF">
              <w:t xml:space="preserve"> a formal process for the selection or development of reporting policies and procedures around:</w:t>
            </w:r>
          </w:p>
          <w:p w14:paraId="55D7BC7E" w14:textId="2DF07871" w:rsidR="00DC7F5C" w:rsidRPr="00384ADF" w:rsidRDefault="00DC7F5C" w:rsidP="00AD21D6">
            <w:pPr>
              <w:pStyle w:val="ListParagraph"/>
              <w:numPr>
                <w:ilvl w:val="0"/>
                <w:numId w:val="48"/>
              </w:numPr>
              <w:autoSpaceDE/>
              <w:autoSpaceDN/>
              <w:adjustRightInd/>
              <w:spacing w:line="312" w:lineRule="auto"/>
              <w:ind w:left="1310" w:hanging="425"/>
              <w:rPr>
                <w:rFonts w:cs="Arial"/>
              </w:rPr>
            </w:pPr>
            <w:r w:rsidRPr="00384ADF">
              <w:rPr>
                <w:rFonts w:cs="Arial"/>
              </w:rPr>
              <w:t>The engagement of the intended users and other stakeholders</w:t>
            </w:r>
            <w:r>
              <w:rPr>
                <w:rFonts w:cs="Arial"/>
              </w:rPr>
              <w:t>.</w:t>
            </w:r>
          </w:p>
          <w:p w14:paraId="5067098F" w14:textId="7D495E7D" w:rsidR="00DC7F5C" w:rsidRPr="00384ADF" w:rsidRDefault="00DC7F5C" w:rsidP="00AD21D6">
            <w:pPr>
              <w:pStyle w:val="ListParagraph"/>
              <w:numPr>
                <w:ilvl w:val="0"/>
                <w:numId w:val="48"/>
              </w:numPr>
              <w:autoSpaceDE/>
              <w:autoSpaceDN/>
              <w:adjustRightInd/>
              <w:spacing w:line="312" w:lineRule="auto"/>
              <w:ind w:left="1310" w:hanging="425"/>
              <w:rPr>
                <w:rFonts w:cs="Arial"/>
              </w:rPr>
            </w:pPr>
            <w:r w:rsidRPr="00384ADF">
              <w:rPr>
                <w:rFonts w:cs="Arial"/>
              </w:rPr>
              <w:t>The scope of what may be reported on</w:t>
            </w:r>
            <w:r>
              <w:rPr>
                <w:rFonts w:cs="Arial"/>
              </w:rPr>
              <w:t>.</w:t>
            </w:r>
          </w:p>
          <w:p w14:paraId="1BE6A059" w14:textId="02BAE0A4" w:rsidR="00DC7F5C" w:rsidRPr="00384ADF" w:rsidRDefault="00DC7F5C" w:rsidP="00AD21D6">
            <w:pPr>
              <w:pStyle w:val="ListParagraph"/>
              <w:numPr>
                <w:ilvl w:val="0"/>
                <w:numId w:val="48"/>
              </w:numPr>
              <w:autoSpaceDE/>
              <w:autoSpaceDN/>
              <w:adjustRightInd/>
              <w:spacing w:line="312" w:lineRule="auto"/>
              <w:ind w:left="1310" w:hanging="425"/>
              <w:rPr>
                <w:rFonts w:cs="Arial"/>
              </w:rPr>
            </w:pPr>
            <w:r w:rsidRPr="00384ADF">
              <w:rPr>
                <w:rFonts w:cs="Arial"/>
              </w:rPr>
              <w:t>The process for determining reporting materiality</w:t>
            </w:r>
            <w:r>
              <w:rPr>
                <w:rFonts w:cs="Arial"/>
              </w:rPr>
              <w:t>.</w:t>
            </w:r>
          </w:p>
          <w:p w14:paraId="79A2314C" w14:textId="5648B789" w:rsidR="00DC7F5C" w:rsidRPr="00384ADF" w:rsidRDefault="00DC7F5C" w:rsidP="00AD21D6">
            <w:pPr>
              <w:pStyle w:val="ListParagraph"/>
              <w:numPr>
                <w:ilvl w:val="0"/>
                <w:numId w:val="48"/>
              </w:numPr>
              <w:autoSpaceDE/>
              <w:autoSpaceDN/>
              <w:adjustRightInd/>
              <w:spacing w:line="312" w:lineRule="auto"/>
              <w:ind w:left="1310" w:hanging="425"/>
              <w:rPr>
                <w:rFonts w:cs="Arial"/>
              </w:rPr>
            </w:pPr>
            <w:r w:rsidRPr="00384ADF">
              <w:rPr>
                <w:rFonts w:cs="Arial"/>
              </w:rPr>
              <w:t>Measurement or evaluation</w:t>
            </w:r>
            <w:r>
              <w:rPr>
                <w:rFonts w:cs="Arial"/>
              </w:rPr>
              <w:t>.</w:t>
            </w:r>
          </w:p>
          <w:p w14:paraId="79ACD26D" w14:textId="3EB5F94F" w:rsidR="00DC7F5C" w:rsidRPr="00384ADF" w:rsidRDefault="00DC7F5C" w:rsidP="00AD21D6">
            <w:pPr>
              <w:pStyle w:val="ListParagraph"/>
              <w:numPr>
                <w:ilvl w:val="0"/>
                <w:numId w:val="48"/>
              </w:numPr>
              <w:autoSpaceDE/>
              <w:autoSpaceDN/>
              <w:adjustRightInd/>
              <w:spacing w:line="312" w:lineRule="auto"/>
              <w:ind w:left="1310" w:hanging="425"/>
              <w:rPr>
                <w:rFonts w:cs="Arial"/>
              </w:rPr>
            </w:pPr>
            <w:r w:rsidRPr="00384ADF">
              <w:rPr>
                <w:rFonts w:cs="Arial"/>
              </w:rPr>
              <w:t>Other relevant reporting issues</w:t>
            </w:r>
            <w:r>
              <w:rPr>
                <w:rFonts w:cs="Arial"/>
              </w:rPr>
              <w:t>.</w:t>
            </w:r>
          </w:p>
          <w:p w14:paraId="5E4A2EF0" w14:textId="764564BD" w:rsidR="00DC7F5C" w:rsidRPr="00384ADF" w:rsidRDefault="00DC7F5C" w:rsidP="00AD21D6">
            <w:pPr>
              <w:spacing w:line="312" w:lineRule="auto"/>
              <w:rPr>
                <w:rFonts w:cs="Arial"/>
              </w:rPr>
            </w:pPr>
            <w:r>
              <w:rPr>
                <w:rFonts w:cs="Arial"/>
              </w:rPr>
              <w:t>With respect to the above</w:t>
            </w:r>
            <w:r w:rsidRPr="00384ADF">
              <w:rPr>
                <w:rFonts w:cs="Arial"/>
              </w:rPr>
              <w:t xml:space="preserve"> aspects</w:t>
            </w:r>
            <w:r>
              <w:rPr>
                <w:rFonts w:cs="Arial"/>
              </w:rPr>
              <w:t>,</w:t>
            </w:r>
            <w:r w:rsidRPr="00384ADF">
              <w:rPr>
                <w:rFonts w:cs="Arial"/>
              </w:rPr>
              <w:t xml:space="preserve"> </w:t>
            </w:r>
            <w:r>
              <w:rPr>
                <w:rFonts w:cs="Arial"/>
              </w:rPr>
              <w:t>it may be appropriate for the practitioner to</w:t>
            </w:r>
            <w:r w:rsidRPr="00384ADF">
              <w:rPr>
                <w:rFonts w:cs="Arial"/>
              </w:rPr>
              <w:t xml:space="preserve"> consider:</w:t>
            </w:r>
          </w:p>
          <w:p w14:paraId="2DFA2C61" w14:textId="4BA9E0B1" w:rsidR="00DC7F5C" w:rsidRPr="00384ADF" w:rsidRDefault="00D31B0E" w:rsidP="00AD21D6">
            <w:pPr>
              <w:pStyle w:val="ListParagraph"/>
              <w:numPr>
                <w:ilvl w:val="0"/>
                <w:numId w:val="47"/>
              </w:numPr>
              <w:spacing w:line="312" w:lineRule="auto"/>
              <w:rPr>
                <w:rFonts w:cs="Arial"/>
              </w:rPr>
            </w:pPr>
            <w:r>
              <w:rPr>
                <w:rFonts w:cs="Arial"/>
              </w:rPr>
              <w:t>Whether</w:t>
            </w:r>
            <w:r w:rsidRPr="00384ADF">
              <w:rPr>
                <w:rFonts w:cs="Arial"/>
              </w:rPr>
              <w:t xml:space="preserve"> </w:t>
            </w:r>
            <w:r w:rsidR="00DC7F5C" w:rsidRPr="00384ADF">
              <w:rPr>
                <w:rFonts w:cs="Arial"/>
              </w:rPr>
              <w:t>the reporting policies and procedures</w:t>
            </w:r>
            <w:r>
              <w:rPr>
                <w:rFonts w:cs="Arial"/>
              </w:rPr>
              <w:t xml:space="preserve"> are</w:t>
            </w:r>
            <w:r w:rsidR="00DC7F5C" w:rsidRPr="00384ADF">
              <w:rPr>
                <w:rFonts w:cs="Arial"/>
              </w:rPr>
              <w:t xml:space="preserve"> aligned to the reporting framework(s</w:t>
            </w:r>
            <w:r w:rsidRPr="00384ADF">
              <w:rPr>
                <w:rFonts w:cs="Arial"/>
              </w:rPr>
              <w:t>)</w:t>
            </w:r>
            <w:r>
              <w:rPr>
                <w:rFonts w:cs="Arial"/>
              </w:rPr>
              <w:t>.</w:t>
            </w:r>
          </w:p>
          <w:p w14:paraId="684E5D70" w14:textId="55992A16" w:rsidR="00D31B0E" w:rsidRPr="00384ADF" w:rsidRDefault="00D31B0E" w:rsidP="00AD21D6">
            <w:pPr>
              <w:pStyle w:val="ListParagraph"/>
              <w:numPr>
                <w:ilvl w:val="0"/>
                <w:numId w:val="47"/>
              </w:numPr>
              <w:spacing w:line="312" w:lineRule="auto"/>
              <w:rPr>
                <w:b/>
              </w:rPr>
            </w:pPr>
            <w:r>
              <w:rPr>
                <w:rFonts w:cs="Arial"/>
              </w:rPr>
              <w:t>Whether</w:t>
            </w:r>
            <w:r w:rsidRPr="00384ADF">
              <w:rPr>
                <w:rFonts w:cs="Arial"/>
              </w:rPr>
              <w:t xml:space="preserve"> the reporting policies and procedures</w:t>
            </w:r>
            <w:r>
              <w:rPr>
                <w:rFonts w:cs="Arial"/>
              </w:rPr>
              <w:t xml:space="preserve"> were</w:t>
            </w:r>
            <w:r w:rsidRPr="00384ADF">
              <w:rPr>
                <w:rFonts w:cs="Arial"/>
              </w:rPr>
              <w:t xml:space="preserve"> developed internally or adopted from a pre-existing framework or other guidance</w:t>
            </w:r>
            <w:r>
              <w:rPr>
                <w:rFonts w:cs="Arial"/>
              </w:rPr>
              <w:t>.</w:t>
            </w:r>
          </w:p>
          <w:p w14:paraId="5EF7909E" w14:textId="43249977" w:rsidR="00DC7F5C" w:rsidRPr="00384ADF" w:rsidRDefault="00D31B0E" w:rsidP="00AD21D6">
            <w:pPr>
              <w:pStyle w:val="ListParagraph"/>
              <w:numPr>
                <w:ilvl w:val="0"/>
                <w:numId w:val="47"/>
              </w:numPr>
              <w:spacing w:line="312" w:lineRule="auto"/>
              <w:rPr>
                <w:rFonts w:cs="Arial"/>
              </w:rPr>
            </w:pPr>
            <w:r>
              <w:rPr>
                <w:rFonts w:cs="Arial"/>
              </w:rPr>
              <w:t>Whether</w:t>
            </w:r>
            <w:r w:rsidRPr="00384ADF">
              <w:rPr>
                <w:rFonts w:cs="Arial"/>
              </w:rPr>
              <w:t xml:space="preserve"> </w:t>
            </w:r>
            <w:r w:rsidR="00DC7F5C" w:rsidRPr="00384ADF">
              <w:rPr>
                <w:rFonts w:cs="Arial"/>
              </w:rPr>
              <w:t>a transparent due process</w:t>
            </w:r>
            <w:r>
              <w:rPr>
                <w:rFonts w:cs="Arial"/>
              </w:rPr>
              <w:t xml:space="preserve"> was</w:t>
            </w:r>
            <w:r w:rsidR="00DC7F5C" w:rsidRPr="00384ADF">
              <w:rPr>
                <w:rFonts w:cs="Arial"/>
              </w:rPr>
              <w:t xml:space="preserve"> followed in the selection or development of the reporting policies and procedures</w:t>
            </w:r>
            <w:r>
              <w:rPr>
                <w:rFonts w:cs="Arial"/>
              </w:rPr>
              <w:t>.</w:t>
            </w:r>
          </w:p>
          <w:p w14:paraId="5A73D8A9" w14:textId="6847880B" w:rsidR="00DC7F5C" w:rsidRPr="00384ADF" w:rsidRDefault="00DC7F5C" w:rsidP="00AD21D6">
            <w:pPr>
              <w:pStyle w:val="ListParagraph"/>
              <w:numPr>
                <w:ilvl w:val="0"/>
                <w:numId w:val="47"/>
              </w:numPr>
              <w:spacing w:line="312" w:lineRule="auto"/>
              <w:rPr>
                <w:rFonts w:cs="Arial"/>
              </w:rPr>
            </w:pPr>
            <w:r w:rsidRPr="00384ADF">
              <w:rPr>
                <w:rFonts w:cs="Arial"/>
              </w:rPr>
              <w:t>To what extent the intended users of the reported information</w:t>
            </w:r>
            <w:r w:rsidR="00D31B0E">
              <w:rPr>
                <w:rFonts w:cs="Arial"/>
              </w:rPr>
              <w:t xml:space="preserve"> were</w:t>
            </w:r>
            <w:r w:rsidRPr="00384ADF">
              <w:rPr>
                <w:rFonts w:cs="Arial"/>
              </w:rPr>
              <w:t xml:space="preserve"> involved in the selection or development of the reporting policies and procedures</w:t>
            </w:r>
            <w:r w:rsidR="00D31B0E">
              <w:rPr>
                <w:rFonts w:cs="Arial"/>
              </w:rPr>
              <w:t>.</w:t>
            </w:r>
          </w:p>
          <w:p w14:paraId="294BAE60" w14:textId="4118A92B" w:rsidR="00DC7F5C" w:rsidRPr="00384ADF" w:rsidRDefault="00D31B0E" w:rsidP="00AD21D6">
            <w:pPr>
              <w:pStyle w:val="ListParagraph"/>
              <w:numPr>
                <w:ilvl w:val="0"/>
                <w:numId w:val="47"/>
              </w:numPr>
              <w:spacing w:line="312" w:lineRule="auto"/>
              <w:rPr>
                <w:rFonts w:cs="Arial"/>
              </w:rPr>
            </w:pPr>
            <w:r>
              <w:rPr>
                <w:rFonts w:cs="Arial"/>
              </w:rPr>
              <w:t>Whether</w:t>
            </w:r>
            <w:r w:rsidR="00DC7F5C" w:rsidRPr="00384ADF">
              <w:rPr>
                <w:rFonts w:cs="Arial"/>
              </w:rPr>
              <w:t xml:space="preserve"> the reporting policies and procedures </w:t>
            </w:r>
            <w:r>
              <w:rPr>
                <w:rFonts w:cs="Arial"/>
              </w:rPr>
              <w:t xml:space="preserve">are </w:t>
            </w:r>
            <w:r w:rsidR="00DC7F5C" w:rsidRPr="00384ADF">
              <w:rPr>
                <w:rFonts w:cs="Arial"/>
              </w:rPr>
              <w:t>made available to the intended users of the report</w:t>
            </w:r>
            <w:r>
              <w:rPr>
                <w:rFonts w:cs="Arial"/>
              </w:rPr>
              <w:t>.</w:t>
            </w:r>
          </w:p>
          <w:p w14:paraId="576D70B1" w14:textId="31A5032E" w:rsidR="00DC7F5C" w:rsidRPr="00384ADF" w:rsidRDefault="00D31B0E" w:rsidP="00AD21D6">
            <w:pPr>
              <w:pStyle w:val="ListParagraph"/>
              <w:numPr>
                <w:ilvl w:val="0"/>
                <w:numId w:val="47"/>
              </w:numPr>
              <w:spacing w:line="312" w:lineRule="auto"/>
              <w:rPr>
                <w:rFonts w:cs="Arial"/>
              </w:rPr>
            </w:pPr>
            <w:r>
              <w:rPr>
                <w:rFonts w:cs="Arial"/>
              </w:rPr>
              <w:t>Whether</w:t>
            </w:r>
            <w:r w:rsidRPr="00384ADF">
              <w:rPr>
                <w:rFonts w:cs="Arial"/>
              </w:rPr>
              <w:t xml:space="preserve"> </w:t>
            </w:r>
            <w:r w:rsidR="00DC7F5C" w:rsidRPr="00384ADF">
              <w:rPr>
                <w:rFonts w:cs="Arial"/>
              </w:rPr>
              <w:t xml:space="preserve">the design of the reporting policies and procedures facilitate ease of implementation; and </w:t>
            </w:r>
            <w:r>
              <w:rPr>
                <w:rFonts w:cs="Arial"/>
              </w:rPr>
              <w:t>whether</w:t>
            </w:r>
            <w:r w:rsidRPr="00384ADF">
              <w:rPr>
                <w:rFonts w:cs="Arial"/>
              </w:rPr>
              <w:t xml:space="preserve"> </w:t>
            </w:r>
            <w:r w:rsidR="00DC7F5C" w:rsidRPr="00384ADF">
              <w:rPr>
                <w:rFonts w:cs="Arial"/>
              </w:rPr>
              <w:t>they have the potential to generate relevant and reliable information</w:t>
            </w:r>
            <w:r>
              <w:rPr>
                <w:rFonts w:cs="Arial"/>
              </w:rPr>
              <w:t>.</w:t>
            </w:r>
          </w:p>
          <w:p w14:paraId="1C890BA6" w14:textId="65F8858E" w:rsidR="00DC7F5C" w:rsidRPr="00384ADF" w:rsidRDefault="00D31B0E" w:rsidP="00AD21D6">
            <w:pPr>
              <w:pStyle w:val="ListParagraph"/>
              <w:numPr>
                <w:ilvl w:val="0"/>
                <w:numId w:val="47"/>
              </w:numPr>
              <w:spacing w:line="312" w:lineRule="auto"/>
              <w:rPr>
                <w:rFonts w:cs="Arial"/>
              </w:rPr>
            </w:pPr>
            <w:r>
              <w:rPr>
                <w:rFonts w:cs="Arial"/>
              </w:rPr>
              <w:t>Whether</w:t>
            </w:r>
            <w:r w:rsidRPr="00384ADF">
              <w:rPr>
                <w:rFonts w:cs="Arial"/>
              </w:rPr>
              <w:t xml:space="preserve"> </w:t>
            </w:r>
            <w:r w:rsidR="00DC7F5C" w:rsidRPr="00384ADF">
              <w:rPr>
                <w:rFonts w:cs="Arial"/>
              </w:rPr>
              <w:t>responsibility</w:t>
            </w:r>
            <w:r>
              <w:rPr>
                <w:rFonts w:cs="Arial"/>
              </w:rPr>
              <w:t xml:space="preserve"> has</w:t>
            </w:r>
            <w:r w:rsidR="00DC7F5C" w:rsidRPr="00384ADF">
              <w:rPr>
                <w:rFonts w:cs="Arial"/>
              </w:rPr>
              <w:t xml:space="preserve"> been assigned within the reporting entity to implement the reporting policies and procedures</w:t>
            </w:r>
            <w:r>
              <w:rPr>
                <w:rFonts w:cs="Arial"/>
              </w:rPr>
              <w:t>.</w:t>
            </w:r>
          </w:p>
          <w:p w14:paraId="50908E82" w14:textId="4E19417E" w:rsidR="00DC7F5C" w:rsidRPr="00384ADF" w:rsidRDefault="00D31B0E" w:rsidP="00AD21D6">
            <w:pPr>
              <w:pStyle w:val="ListParagraph"/>
              <w:numPr>
                <w:ilvl w:val="0"/>
                <w:numId w:val="47"/>
              </w:numPr>
              <w:spacing w:line="312" w:lineRule="auto"/>
              <w:rPr>
                <w:rFonts w:cs="Arial"/>
              </w:rPr>
            </w:pPr>
            <w:r>
              <w:rPr>
                <w:rFonts w:cs="Arial"/>
              </w:rPr>
              <w:t>Whether there a</w:t>
            </w:r>
            <w:r w:rsidRPr="00384ADF">
              <w:rPr>
                <w:rFonts w:cs="Arial"/>
              </w:rPr>
              <w:t xml:space="preserve">re </w:t>
            </w:r>
            <w:r w:rsidR="00DC7F5C" w:rsidRPr="00384ADF">
              <w:rPr>
                <w:rFonts w:cs="Arial"/>
              </w:rPr>
              <w:t>any internal controls around the implementation and monitoring of the reporting policies and procedures?</w:t>
            </w:r>
          </w:p>
          <w:p w14:paraId="6A30173A" w14:textId="6CA7D280" w:rsidR="00DC7F5C" w:rsidRPr="00384ADF" w:rsidRDefault="00DC7F5C" w:rsidP="00AD21D6">
            <w:pPr>
              <w:spacing w:line="312" w:lineRule="auto"/>
              <w:rPr>
                <w:rFonts w:cs="Arial"/>
              </w:rPr>
            </w:pPr>
            <w:r w:rsidRPr="00384ADF">
              <w:rPr>
                <w:rFonts w:cs="Arial"/>
              </w:rPr>
              <w:t xml:space="preserve">In the absence of a formal process, as referred to </w:t>
            </w:r>
            <w:r w:rsidR="00D31B0E">
              <w:rPr>
                <w:rFonts w:cs="Arial"/>
              </w:rPr>
              <w:t>above</w:t>
            </w:r>
            <w:r w:rsidRPr="00384ADF">
              <w:rPr>
                <w:rFonts w:cs="Arial"/>
              </w:rPr>
              <w:t>, consider:</w:t>
            </w:r>
          </w:p>
          <w:p w14:paraId="36522819" w14:textId="1B899C0B" w:rsidR="00DC7F5C" w:rsidRPr="00384ADF" w:rsidRDefault="00D31B0E" w:rsidP="00AD21D6">
            <w:pPr>
              <w:pStyle w:val="ListParagraph"/>
              <w:numPr>
                <w:ilvl w:val="0"/>
                <w:numId w:val="47"/>
              </w:numPr>
              <w:spacing w:line="312" w:lineRule="auto"/>
              <w:rPr>
                <w:rFonts w:cs="Arial"/>
              </w:rPr>
            </w:pPr>
            <w:r>
              <w:rPr>
                <w:rFonts w:cs="Arial"/>
              </w:rPr>
              <w:t>Whether</w:t>
            </w:r>
            <w:r w:rsidRPr="00384ADF">
              <w:rPr>
                <w:rFonts w:cs="Arial"/>
              </w:rPr>
              <w:t xml:space="preserve"> </w:t>
            </w:r>
            <w:r w:rsidR="00DC7F5C" w:rsidRPr="00384ADF">
              <w:rPr>
                <w:rFonts w:cs="Arial"/>
              </w:rPr>
              <w:t>management explanations satisfy the requirements of effective reporting policies and procedures</w:t>
            </w:r>
            <w:r>
              <w:rPr>
                <w:rFonts w:cs="Arial"/>
              </w:rPr>
              <w:t>.</w:t>
            </w:r>
          </w:p>
          <w:p w14:paraId="2F367910" w14:textId="679AD562" w:rsidR="00DC7F5C" w:rsidRPr="00384ADF" w:rsidRDefault="00D31B0E" w:rsidP="00AD21D6">
            <w:pPr>
              <w:pStyle w:val="ListParagraph"/>
              <w:numPr>
                <w:ilvl w:val="0"/>
                <w:numId w:val="47"/>
              </w:numPr>
              <w:spacing w:line="312" w:lineRule="auto"/>
              <w:rPr>
                <w:b/>
              </w:rPr>
            </w:pPr>
            <w:r>
              <w:rPr>
                <w:rFonts w:cs="Arial"/>
              </w:rPr>
              <w:t>The</w:t>
            </w:r>
            <w:r w:rsidRPr="00384ADF">
              <w:rPr>
                <w:rFonts w:cs="Arial"/>
              </w:rPr>
              <w:t xml:space="preserve"> </w:t>
            </w:r>
            <w:r w:rsidR="00DC7F5C" w:rsidRPr="00384ADF">
              <w:rPr>
                <w:rFonts w:cs="Arial"/>
              </w:rPr>
              <w:t xml:space="preserve">processes or practices </w:t>
            </w:r>
            <w:r>
              <w:rPr>
                <w:rFonts w:cs="Arial"/>
              </w:rPr>
              <w:t>that</w:t>
            </w:r>
            <w:r w:rsidRPr="00384ADF">
              <w:rPr>
                <w:rFonts w:cs="Arial"/>
              </w:rPr>
              <w:t xml:space="preserve"> </w:t>
            </w:r>
            <w:r w:rsidR="00DC7F5C" w:rsidRPr="00384ADF">
              <w:rPr>
                <w:rFonts w:cs="Arial"/>
              </w:rPr>
              <w:t>management</w:t>
            </w:r>
            <w:r>
              <w:rPr>
                <w:rFonts w:cs="Arial"/>
              </w:rPr>
              <w:t xml:space="preserve"> have</w:t>
            </w:r>
            <w:r w:rsidR="00DC7F5C" w:rsidRPr="00384ADF">
              <w:rPr>
                <w:rFonts w:cs="Arial"/>
              </w:rPr>
              <w:t xml:space="preserve"> implemented to achieve the requirements of effective reporting policies and procedures</w:t>
            </w:r>
            <w:r>
              <w:rPr>
                <w:rFonts w:cs="Arial"/>
              </w:rPr>
              <w:t>.</w:t>
            </w:r>
          </w:p>
        </w:tc>
      </w:tr>
    </w:tbl>
    <w:p w14:paraId="1DE1B736" w14:textId="2478C026" w:rsidR="00B01DD0" w:rsidRPr="00384ADF" w:rsidRDefault="00B01DD0" w:rsidP="00AD21D6">
      <w:pPr>
        <w:pStyle w:val="NumList"/>
        <w:numPr>
          <w:ilvl w:val="0"/>
          <w:numId w:val="0"/>
        </w:numPr>
        <w:spacing w:line="312" w:lineRule="auto"/>
        <w:rPr>
          <w:rFonts w:cs="Arial"/>
        </w:rPr>
      </w:pPr>
    </w:p>
    <w:p w14:paraId="568B4124" w14:textId="45D9CFEB" w:rsidR="00A87782" w:rsidRPr="00384ADF" w:rsidRDefault="00A87782" w:rsidP="00AD21D6">
      <w:pPr>
        <w:pStyle w:val="Heading4"/>
        <w:keepNext w:val="0"/>
      </w:pPr>
      <w:r w:rsidRPr="00384ADF">
        <w:t>Reporting systems and controls</w:t>
      </w:r>
    </w:p>
    <w:p w14:paraId="14002FF0" w14:textId="70B8A199" w:rsidR="000F71F8" w:rsidRPr="00384ADF" w:rsidRDefault="000F71F8" w:rsidP="00AD21D6">
      <w:pPr>
        <w:pStyle w:val="NumList"/>
        <w:spacing w:line="312" w:lineRule="auto"/>
      </w:pPr>
      <w:r w:rsidRPr="00384ADF">
        <w:t>The practitioner may consider the effectiveness of the reporting entity’s reporting systems and controls.</w:t>
      </w:r>
    </w:p>
    <w:p w14:paraId="1FFFFCAF" w14:textId="0E3EA302" w:rsidR="00B843F4" w:rsidRPr="00384ADF" w:rsidRDefault="00005E5E" w:rsidP="00AD21D6">
      <w:pPr>
        <w:pStyle w:val="NumList"/>
        <w:spacing w:line="312" w:lineRule="auto"/>
      </w:pPr>
      <w:r w:rsidRPr="00384ADF">
        <w:t xml:space="preserve">The reporting entity’s </w:t>
      </w:r>
      <w:r w:rsidR="004C0773" w:rsidRPr="00384ADF">
        <w:t xml:space="preserve">ability to generate relevant and </w:t>
      </w:r>
      <w:r w:rsidR="00146CE4" w:rsidRPr="00384ADF">
        <w:t xml:space="preserve">reliable </w:t>
      </w:r>
      <w:r w:rsidR="004C0773" w:rsidRPr="00384ADF">
        <w:t>sustainability information is dependent on the effectiveness of its reporting systems and controls</w:t>
      </w:r>
      <w:r w:rsidR="00B843F4" w:rsidRPr="00384ADF">
        <w:t>.</w:t>
      </w:r>
    </w:p>
    <w:p w14:paraId="3ECBB9E8" w14:textId="6E376050" w:rsidR="000B3EA1" w:rsidRPr="00384ADF" w:rsidRDefault="00B843F4" w:rsidP="00AD21D6">
      <w:pPr>
        <w:pStyle w:val="NumList"/>
        <w:spacing w:line="312" w:lineRule="auto"/>
      </w:pPr>
      <w:r w:rsidRPr="00384ADF">
        <w:t>The reporting entity’s reporting systems and controls</w:t>
      </w:r>
      <w:r w:rsidR="00ED77C9" w:rsidRPr="00384ADF">
        <w:t xml:space="preserve"> over sustainability information</w:t>
      </w:r>
      <w:r w:rsidR="00046B70" w:rsidRPr="00384ADF">
        <w:t xml:space="preserve"> may not be as robust</w:t>
      </w:r>
      <w:r w:rsidR="00B9563F" w:rsidRPr="00384ADF">
        <w:t>,</w:t>
      </w:r>
      <w:r w:rsidR="00ED77C9" w:rsidRPr="00384ADF">
        <w:t xml:space="preserve"> mature</w:t>
      </w:r>
      <w:r w:rsidR="00B9563F" w:rsidRPr="00384ADF">
        <w:t xml:space="preserve"> or integrated</w:t>
      </w:r>
      <w:r w:rsidR="00046B70" w:rsidRPr="00384ADF">
        <w:t xml:space="preserve"> as </w:t>
      </w:r>
      <w:r w:rsidR="00ED77C9" w:rsidRPr="00384ADF">
        <w:t>it</w:t>
      </w:r>
      <w:r w:rsidR="00046B70" w:rsidRPr="00384ADF">
        <w:t>s financial reporting systems and controls</w:t>
      </w:r>
      <w:r w:rsidR="00005E5E" w:rsidRPr="00384ADF">
        <w:t>.</w:t>
      </w:r>
      <w:r w:rsidR="00ED77C9" w:rsidRPr="00384ADF">
        <w:t xml:space="preserve"> </w:t>
      </w:r>
    </w:p>
    <w:tbl>
      <w:tblPr>
        <w:tblStyle w:val="TableGrid"/>
        <w:tblW w:w="0" w:type="auto"/>
        <w:tblLook w:val="04A0" w:firstRow="1" w:lastRow="0" w:firstColumn="1" w:lastColumn="0" w:noHBand="0" w:noVBand="1"/>
      </w:tblPr>
      <w:tblGrid>
        <w:gridCol w:w="1129"/>
        <w:gridCol w:w="7174"/>
      </w:tblGrid>
      <w:tr w:rsidR="00EF52B9" w:rsidRPr="00384ADF" w14:paraId="70661CEC" w14:textId="77777777" w:rsidTr="00511198">
        <w:trPr>
          <w:cantSplit/>
          <w:trHeight w:val="1529"/>
        </w:trPr>
        <w:tc>
          <w:tcPr>
            <w:tcW w:w="1129" w:type="dxa"/>
            <w:shd w:val="clear" w:color="auto" w:fill="A6A6A6" w:themeFill="background1" w:themeFillShade="A6"/>
            <w:textDirection w:val="btLr"/>
          </w:tcPr>
          <w:p w14:paraId="0B345F86" w14:textId="6B738317" w:rsidR="00EF52B9" w:rsidRPr="00AD21D6" w:rsidDel="00D31B0E" w:rsidRDefault="00EF52B9" w:rsidP="00AD21D6">
            <w:pPr>
              <w:pStyle w:val="NumList"/>
              <w:numPr>
                <w:ilvl w:val="0"/>
                <w:numId w:val="0"/>
              </w:numPr>
              <w:spacing w:line="312" w:lineRule="auto"/>
              <w:ind w:left="113" w:right="113"/>
              <w:jc w:val="center"/>
              <w:rPr>
                <w:b/>
                <w:color w:val="FFFFFF" w:themeColor="background1"/>
              </w:rPr>
            </w:pPr>
            <w:r>
              <w:rPr>
                <w:b/>
                <w:color w:val="FFFFFF" w:themeColor="background1"/>
              </w:rPr>
              <w:t>Consideration for the Practitioner</w:t>
            </w:r>
          </w:p>
        </w:tc>
        <w:tc>
          <w:tcPr>
            <w:tcW w:w="7174" w:type="dxa"/>
            <w:shd w:val="clear" w:color="auto" w:fill="F2F2F2" w:themeFill="background1" w:themeFillShade="F2"/>
          </w:tcPr>
          <w:p w14:paraId="4EB77DE8" w14:textId="741C461B" w:rsidR="00EF52B9" w:rsidRPr="00384ADF" w:rsidRDefault="00EF52B9" w:rsidP="00AD21D6">
            <w:pPr>
              <w:spacing w:line="312" w:lineRule="auto"/>
            </w:pPr>
            <w:r>
              <w:t xml:space="preserve">To obtain an understanding of reporting systems and controls </w:t>
            </w:r>
            <w:r>
              <w:rPr>
                <w:bCs/>
              </w:rPr>
              <w:t>it may be appropriate for the practitioner to consider</w:t>
            </w:r>
            <w:r>
              <w:t xml:space="preserve"> whether there a</w:t>
            </w:r>
            <w:r w:rsidRPr="00384ADF">
              <w:t>re reporting systems and controls in place to support the reporting entity’s reporting policies and procedures</w:t>
            </w:r>
            <w:r>
              <w:t>.</w:t>
            </w:r>
          </w:p>
        </w:tc>
      </w:tr>
    </w:tbl>
    <w:p w14:paraId="255D10B7" w14:textId="77777777" w:rsidR="00042F13" w:rsidRPr="00384ADF" w:rsidRDefault="00042F13" w:rsidP="00743AD0">
      <w:pPr>
        <w:pStyle w:val="NumList"/>
        <w:numPr>
          <w:ilvl w:val="0"/>
          <w:numId w:val="0"/>
        </w:numPr>
        <w:spacing w:after="0" w:line="312" w:lineRule="auto"/>
      </w:pPr>
    </w:p>
    <w:p w14:paraId="53BF17C9" w14:textId="5B2A59AD" w:rsidR="00A87782" w:rsidRPr="00384ADF" w:rsidRDefault="00A65A6D" w:rsidP="00950E58">
      <w:pPr>
        <w:pStyle w:val="Heading4"/>
      </w:pPr>
      <w:r w:rsidRPr="00384ADF">
        <w:t>Governance and oversight</w:t>
      </w:r>
    </w:p>
    <w:p w14:paraId="1F90A311" w14:textId="094CC6C8" w:rsidR="004A2F68" w:rsidRPr="00384ADF" w:rsidRDefault="004A731F" w:rsidP="005279E7">
      <w:pPr>
        <w:pStyle w:val="NumList"/>
        <w:spacing w:line="312" w:lineRule="auto"/>
        <w:ind w:left="562" w:hanging="562"/>
      </w:pPr>
      <w:r w:rsidRPr="00384ADF">
        <w:t>The practitioner</w:t>
      </w:r>
      <w:r w:rsidR="000F71F8" w:rsidRPr="00384ADF">
        <w:t xml:space="preserve"> may</w:t>
      </w:r>
      <w:r w:rsidRPr="00384ADF">
        <w:t xml:space="preserve"> determine whether t</w:t>
      </w:r>
      <w:r w:rsidR="00CE46FD" w:rsidRPr="00384ADF">
        <w:t xml:space="preserve">he governing body </w:t>
      </w:r>
      <w:r w:rsidR="00E15843" w:rsidRPr="00384ADF">
        <w:t>or board of the entity</w:t>
      </w:r>
      <w:r w:rsidR="00CE46FD" w:rsidRPr="00384ADF">
        <w:t xml:space="preserve"> </w:t>
      </w:r>
      <w:r w:rsidRPr="00384ADF">
        <w:t xml:space="preserve">has </w:t>
      </w:r>
      <w:r w:rsidR="00B4487B" w:rsidRPr="00384ADF">
        <w:t>formalise</w:t>
      </w:r>
      <w:r w:rsidRPr="00384ADF">
        <w:t>d</w:t>
      </w:r>
      <w:r w:rsidR="00B4487B" w:rsidRPr="00384ADF">
        <w:t xml:space="preserve"> </w:t>
      </w:r>
      <w:r w:rsidR="00557D2B" w:rsidRPr="00384ADF">
        <w:t xml:space="preserve">its </w:t>
      </w:r>
      <w:r w:rsidR="00B4487B" w:rsidRPr="00384ADF">
        <w:t>responsibilities by</w:t>
      </w:r>
      <w:r w:rsidR="00CE46FD" w:rsidRPr="00384ADF">
        <w:t xml:space="preserve"> </w:t>
      </w:r>
      <w:r w:rsidR="00E15843" w:rsidRPr="00384ADF">
        <w:t xml:space="preserve">establishing the reporting purpose, </w:t>
      </w:r>
      <w:r w:rsidR="00CE46FD" w:rsidRPr="00384ADF">
        <w:t>develop</w:t>
      </w:r>
      <w:r w:rsidR="00B4487B" w:rsidRPr="00384ADF">
        <w:t>ing</w:t>
      </w:r>
      <w:r w:rsidR="00CE46FD" w:rsidRPr="00384ADF">
        <w:t xml:space="preserve"> practices to be adopted </w:t>
      </w:r>
      <w:r w:rsidR="00557D2B" w:rsidRPr="00384ADF">
        <w:t xml:space="preserve">with </w:t>
      </w:r>
      <w:r w:rsidR="00CE46FD" w:rsidRPr="00384ADF">
        <w:t>regard to approving reporting frameworks to be used</w:t>
      </w:r>
      <w:r w:rsidR="00E15843" w:rsidRPr="00384ADF">
        <w:t xml:space="preserve">, </w:t>
      </w:r>
      <w:r w:rsidR="00CE46FD" w:rsidRPr="00384ADF">
        <w:t>approving the materiality determination</w:t>
      </w:r>
      <w:r w:rsidR="00E15843" w:rsidRPr="00384ADF">
        <w:t xml:space="preserve">, </w:t>
      </w:r>
      <w:r w:rsidR="00CE46FD" w:rsidRPr="00384ADF">
        <w:t xml:space="preserve">and ensuring that the external reports meet the information needs of material stakeholders. </w:t>
      </w:r>
      <w:r w:rsidR="00270BA6" w:rsidRPr="00384ADF">
        <w:t>The King IV Report on Corporate Governance for South Africa 2016</w:t>
      </w:r>
      <w:r w:rsidR="00270BA6" w:rsidRPr="00384ADF">
        <w:rPr>
          <w:rStyle w:val="FootnoteReference"/>
          <w:vertAlign w:val="superscript"/>
        </w:rPr>
        <w:footnoteReference w:id="28"/>
      </w:r>
      <w:r w:rsidR="00270BA6" w:rsidRPr="00384ADF">
        <w:t xml:space="preserve"> contains a section </w:t>
      </w:r>
      <w:r w:rsidR="00414367" w:rsidRPr="00384ADF">
        <w:t>(</w:t>
      </w:r>
      <w:r w:rsidR="00270BA6" w:rsidRPr="00384ADF">
        <w:rPr>
          <w:i/>
        </w:rPr>
        <w:t>Strategy, Performance and Reporting</w:t>
      </w:r>
      <w:r w:rsidR="00414367" w:rsidRPr="00384ADF">
        <w:rPr>
          <w:i/>
        </w:rPr>
        <w:t>)</w:t>
      </w:r>
      <w:r w:rsidR="00270BA6" w:rsidRPr="00384ADF">
        <w:t xml:space="preserve"> </w:t>
      </w:r>
      <w:r w:rsidR="00414367" w:rsidRPr="00384ADF">
        <w:t xml:space="preserve">that </w:t>
      </w:r>
      <w:r w:rsidR="00270BA6" w:rsidRPr="00384ADF">
        <w:t>sets out the responsibilities of the governing body over external reports, for example</w:t>
      </w:r>
      <w:r w:rsidR="001D03B0" w:rsidRPr="00384ADF">
        <w:t>,</w:t>
      </w:r>
      <w:r w:rsidR="00270BA6" w:rsidRPr="00384ADF">
        <w:t xml:space="preserve"> </w:t>
      </w:r>
      <w:r w:rsidR="007E0447" w:rsidRPr="00384ADF">
        <w:t>sustainability reports</w:t>
      </w:r>
      <w:r w:rsidR="00270BA6" w:rsidRPr="00384ADF">
        <w:t xml:space="preserve">. </w:t>
      </w:r>
    </w:p>
    <w:tbl>
      <w:tblPr>
        <w:tblStyle w:val="TableGrid"/>
        <w:tblW w:w="0" w:type="auto"/>
        <w:tblLook w:val="04A0" w:firstRow="1" w:lastRow="0" w:firstColumn="1" w:lastColumn="0" w:noHBand="0" w:noVBand="1"/>
      </w:tblPr>
      <w:tblGrid>
        <w:gridCol w:w="1129"/>
        <w:gridCol w:w="7174"/>
      </w:tblGrid>
      <w:tr w:rsidR="00EF52B9" w:rsidRPr="00384ADF" w14:paraId="085259AC" w14:textId="77777777" w:rsidTr="00511198">
        <w:trPr>
          <w:cantSplit/>
          <w:trHeight w:val="1134"/>
        </w:trPr>
        <w:tc>
          <w:tcPr>
            <w:tcW w:w="1129" w:type="dxa"/>
            <w:shd w:val="clear" w:color="auto" w:fill="A6A6A6" w:themeFill="background1" w:themeFillShade="A6"/>
            <w:textDirection w:val="btLr"/>
          </w:tcPr>
          <w:p w14:paraId="58EEFBE5" w14:textId="621219C5" w:rsidR="00EF52B9" w:rsidRPr="00AD21D6" w:rsidDel="00EF52B9" w:rsidRDefault="00EF52B9" w:rsidP="00AD21D6">
            <w:pPr>
              <w:pStyle w:val="NumList"/>
              <w:numPr>
                <w:ilvl w:val="0"/>
                <w:numId w:val="0"/>
              </w:numPr>
              <w:spacing w:line="312" w:lineRule="auto"/>
              <w:ind w:left="113" w:right="113"/>
              <w:jc w:val="center"/>
              <w:rPr>
                <w:b/>
                <w:color w:val="FFFFFF" w:themeColor="background1"/>
              </w:rPr>
            </w:pPr>
            <w:r>
              <w:rPr>
                <w:b/>
                <w:color w:val="FFFFFF" w:themeColor="background1"/>
              </w:rPr>
              <w:t>Consideration for the Practitioner</w:t>
            </w:r>
          </w:p>
        </w:tc>
        <w:tc>
          <w:tcPr>
            <w:tcW w:w="7174" w:type="dxa"/>
            <w:shd w:val="clear" w:color="auto" w:fill="F2F2F2" w:themeFill="background1" w:themeFillShade="F2"/>
          </w:tcPr>
          <w:p w14:paraId="7F26A344" w14:textId="4C265D8A" w:rsidR="00EF52B9" w:rsidRPr="00384ADF" w:rsidRDefault="00EF52B9" w:rsidP="00AD21D6">
            <w:pPr>
              <w:pStyle w:val="NumList"/>
              <w:numPr>
                <w:ilvl w:val="0"/>
                <w:numId w:val="0"/>
              </w:numPr>
              <w:spacing w:line="312" w:lineRule="auto"/>
            </w:pPr>
            <w:r>
              <w:t xml:space="preserve">To obtain an understanding of governance and oversight </w:t>
            </w:r>
            <w:r>
              <w:rPr>
                <w:bCs/>
              </w:rPr>
              <w:t>it may be appropriate for the practitioner to consider</w:t>
            </w:r>
            <w:r>
              <w:t xml:space="preserve"> whether </w:t>
            </w:r>
            <w:r w:rsidRPr="00384ADF">
              <w:t>there</w:t>
            </w:r>
            <w:r>
              <w:t xml:space="preserve"> are</w:t>
            </w:r>
            <w:r w:rsidRPr="00384ADF">
              <w:t xml:space="preserve"> governance and oversight functions in place that support the reporting entity in its approval processes </w:t>
            </w:r>
            <w:r>
              <w:t>that</w:t>
            </w:r>
            <w:r w:rsidRPr="00384ADF">
              <w:t xml:space="preserve"> ensure that the external reports meet the information needs of material stakeholders</w:t>
            </w:r>
            <w:r>
              <w:t>.</w:t>
            </w:r>
          </w:p>
        </w:tc>
      </w:tr>
    </w:tbl>
    <w:p w14:paraId="0B4E8BB8" w14:textId="77777777" w:rsidR="00042F13" w:rsidRPr="00384ADF" w:rsidRDefault="00042F13" w:rsidP="00743AD0">
      <w:pPr>
        <w:pStyle w:val="NumList"/>
        <w:numPr>
          <w:ilvl w:val="0"/>
          <w:numId w:val="0"/>
        </w:numPr>
        <w:spacing w:after="0" w:line="312" w:lineRule="auto"/>
      </w:pPr>
    </w:p>
    <w:p w14:paraId="640D3922" w14:textId="202B2410" w:rsidR="00B2493E" w:rsidRPr="00384ADF" w:rsidRDefault="00B2493E" w:rsidP="00ED6603">
      <w:pPr>
        <w:pStyle w:val="Heading3"/>
      </w:pPr>
      <w:bookmarkStart w:id="30" w:name="_Toc43704061"/>
      <w:r w:rsidRPr="00384ADF">
        <w:t>Concluding on</w:t>
      </w:r>
      <w:r w:rsidR="00A65A6D" w:rsidRPr="00384ADF">
        <w:t xml:space="preserve"> </w:t>
      </w:r>
      <w:r w:rsidRPr="00384ADF">
        <w:t>rational purpose</w:t>
      </w:r>
      <w:bookmarkEnd w:id="30"/>
    </w:p>
    <w:p w14:paraId="6A55BB45" w14:textId="05D1CD8B" w:rsidR="00B2493E" w:rsidRPr="00384ADF" w:rsidRDefault="00B2493E" w:rsidP="005279E7">
      <w:pPr>
        <w:pStyle w:val="NumList"/>
        <w:spacing w:line="312" w:lineRule="auto"/>
      </w:pPr>
      <w:r w:rsidRPr="00384ADF">
        <w:t>Based on the practitioner</w:t>
      </w:r>
      <w:r w:rsidR="00CE0DB0" w:rsidRPr="00384ADF">
        <w:t>’</w:t>
      </w:r>
      <w:r w:rsidRPr="00384ADF">
        <w:t>s understanding of</w:t>
      </w:r>
      <w:r w:rsidR="004A5C2E" w:rsidRPr="00384ADF">
        <w:t xml:space="preserve"> underlying subject matter, entity context</w:t>
      </w:r>
      <w:r w:rsidR="00C67768" w:rsidRPr="00384ADF">
        <w:t>,</w:t>
      </w:r>
      <w:r w:rsidR="004A5C2E" w:rsidRPr="00384ADF">
        <w:t xml:space="preserve"> reporting infrastructure</w:t>
      </w:r>
      <w:r w:rsidR="00C67768" w:rsidRPr="00384ADF">
        <w:t xml:space="preserve"> and any other relevant areas</w:t>
      </w:r>
      <w:r w:rsidRPr="00384ADF">
        <w:t>, the practitioner conclude</w:t>
      </w:r>
      <w:r w:rsidR="000E676A" w:rsidRPr="00384ADF">
        <w:t>s</w:t>
      </w:r>
      <w:r w:rsidRPr="00384ADF">
        <w:t xml:space="preserve"> on</w:t>
      </w:r>
      <w:r w:rsidR="00B61D4F" w:rsidRPr="00384ADF">
        <w:t xml:space="preserve"> </w:t>
      </w:r>
      <w:r w:rsidR="00B61D4F" w:rsidRPr="00384ADF">
        <w:rPr>
          <w:rFonts w:cs="Arial"/>
        </w:rPr>
        <w:t>determining whether the sustainability assurance engagement exhibits a rational purpose</w:t>
      </w:r>
      <w:r w:rsidRPr="00384ADF">
        <w:t xml:space="preserve"> </w:t>
      </w:r>
      <w:r w:rsidR="00B61D4F" w:rsidRPr="00384ADF">
        <w:t>(</w:t>
      </w:r>
      <w:r w:rsidRPr="00384ADF">
        <w:t xml:space="preserve">the </w:t>
      </w:r>
      <w:r w:rsidR="00EA3D3B" w:rsidRPr="00384ADF">
        <w:t>two</w:t>
      </w:r>
      <w:r w:rsidR="00941041" w:rsidRPr="00384ADF">
        <w:t xml:space="preserve"> rational purpose</w:t>
      </w:r>
      <w:r w:rsidR="00EA3D3B" w:rsidRPr="00384ADF">
        <w:t xml:space="preserve"> </w:t>
      </w:r>
      <w:r w:rsidRPr="00384ADF">
        <w:t>considerations set out in paragraph</w:t>
      </w:r>
      <w:r w:rsidR="001D03B0" w:rsidRPr="00384ADF">
        <w:t xml:space="preserve"> </w:t>
      </w:r>
      <w:r w:rsidR="002B6802" w:rsidRPr="00384ADF">
        <w:t>50</w:t>
      </w:r>
      <w:r w:rsidR="00B61D4F" w:rsidRPr="00384ADF">
        <w:t>)</w:t>
      </w:r>
      <w:r w:rsidR="00DF1A70" w:rsidRPr="00384ADF">
        <w:rPr>
          <w:rStyle w:val="FootnoteReference"/>
          <w:vertAlign w:val="superscript"/>
        </w:rPr>
        <w:footnoteReference w:id="29"/>
      </w:r>
      <w:r w:rsidRPr="00384ADF">
        <w:t>.</w:t>
      </w:r>
    </w:p>
    <w:p w14:paraId="3CA75643" w14:textId="36860BC9" w:rsidR="00165304" w:rsidRPr="00384ADF" w:rsidRDefault="0049356F" w:rsidP="005279E7">
      <w:pPr>
        <w:pStyle w:val="NumList"/>
        <w:spacing w:line="312" w:lineRule="auto"/>
      </w:pPr>
      <w:r w:rsidRPr="00384ADF">
        <w:t>T</w:t>
      </w:r>
      <w:r w:rsidR="00165304" w:rsidRPr="00384ADF">
        <w:t xml:space="preserve">o determine </w:t>
      </w:r>
      <w:r w:rsidRPr="00384ADF">
        <w:t xml:space="preserve">whether </w:t>
      </w:r>
      <w:r w:rsidR="00165304" w:rsidRPr="00384ADF">
        <w:t>aspects of the subject matter information h</w:t>
      </w:r>
      <w:r w:rsidR="004A2A7E" w:rsidRPr="00384ADF">
        <w:t>ave</w:t>
      </w:r>
      <w:r w:rsidR="00165304" w:rsidRPr="00384ADF">
        <w:t xml:space="preserve"> been excluded from the sustainability assurance engagement, the practitioner compare</w:t>
      </w:r>
      <w:r w:rsidR="008246A2" w:rsidRPr="00384ADF">
        <w:t>s</w:t>
      </w:r>
      <w:r w:rsidR="00165304" w:rsidRPr="00384ADF">
        <w:t xml:space="preserve"> the proposed assurance scope to the practitioner</w:t>
      </w:r>
      <w:r w:rsidR="00CE0DB0" w:rsidRPr="00384ADF">
        <w:t>’</w:t>
      </w:r>
      <w:r w:rsidR="00165304" w:rsidRPr="00384ADF">
        <w:t>s understanding of the information needs of the intended users</w:t>
      </w:r>
      <w:r w:rsidR="00D54711" w:rsidRPr="00384ADF">
        <w:t xml:space="preserve"> and the</w:t>
      </w:r>
      <w:r w:rsidR="00FA65CB" w:rsidRPr="00384ADF">
        <w:t xml:space="preserve"> reasonability of the</w:t>
      </w:r>
      <w:r w:rsidR="00D54711" w:rsidRPr="00384ADF">
        <w:t xml:space="preserve"> reporting entity’s reasons for excluding </w:t>
      </w:r>
      <w:r w:rsidR="00F2331F" w:rsidRPr="00384ADF">
        <w:t>any aspects of the subject matter information from the scope of the</w:t>
      </w:r>
      <w:r w:rsidR="00696215" w:rsidRPr="00384ADF">
        <w:t xml:space="preserve"> sustainability</w:t>
      </w:r>
      <w:r w:rsidR="00F2331F" w:rsidRPr="00384ADF">
        <w:t xml:space="preserve"> assurance engagement</w:t>
      </w:r>
      <w:r w:rsidR="00165304" w:rsidRPr="00384ADF">
        <w:t>.</w:t>
      </w:r>
    </w:p>
    <w:p w14:paraId="03122E30" w14:textId="5D76C164" w:rsidR="00B2493E" w:rsidRPr="00384ADF" w:rsidRDefault="00165304" w:rsidP="005279E7">
      <w:pPr>
        <w:pStyle w:val="NumList"/>
        <w:spacing w:line="312" w:lineRule="auto"/>
      </w:pPr>
      <w:r w:rsidRPr="00384ADF">
        <w:t>The practitioner’s consideration of underlying subject</w:t>
      </w:r>
      <w:r w:rsidR="000B4DC9" w:rsidRPr="00384ADF">
        <w:t xml:space="preserve"> matter</w:t>
      </w:r>
      <w:r w:rsidRPr="00384ADF">
        <w:t>, entity context</w:t>
      </w:r>
      <w:r w:rsidR="00C67768" w:rsidRPr="00384ADF">
        <w:t>,</w:t>
      </w:r>
      <w:r w:rsidRPr="00384ADF">
        <w:t xml:space="preserve"> reporting infrastructure</w:t>
      </w:r>
      <w:r w:rsidR="00C67768" w:rsidRPr="00384ADF">
        <w:t xml:space="preserve"> and any other relevant areas</w:t>
      </w:r>
      <w:r w:rsidRPr="00384ADF">
        <w:t xml:space="preserve"> </w:t>
      </w:r>
      <w:r w:rsidR="00D73DAE" w:rsidRPr="00384ADF">
        <w:t xml:space="preserve">may </w:t>
      </w:r>
      <w:r w:rsidRPr="00384ADF">
        <w:t xml:space="preserve">provide insight </w:t>
      </w:r>
      <w:r w:rsidR="00CD129F" w:rsidRPr="00384ADF">
        <w:t xml:space="preserve">into </w:t>
      </w:r>
      <w:r w:rsidRPr="00384ADF">
        <w:t>whether the sustainability information produced aligns with the information needs of the intended users</w:t>
      </w:r>
      <w:r w:rsidR="000B4DC9" w:rsidRPr="00384ADF">
        <w:t xml:space="preserve"> of</w:t>
      </w:r>
      <w:r w:rsidR="009E4608" w:rsidRPr="00384ADF">
        <w:t xml:space="preserve"> the</w:t>
      </w:r>
      <w:r w:rsidR="000B4DC9" w:rsidRPr="00384ADF">
        <w:t xml:space="preserve"> subject matter information</w:t>
      </w:r>
      <w:r w:rsidRPr="00384ADF">
        <w:t>.</w:t>
      </w:r>
      <w:r w:rsidR="00B2493E" w:rsidRPr="00384ADF">
        <w:t xml:space="preserve"> </w:t>
      </w:r>
    </w:p>
    <w:p w14:paraId="432D1F59" w14:textId="7D6A5F64" w:rsidR="006B226C" w:rsidRPr="00384ADF" w:rsidRDefault="00B2493E" w:rsidP="005279E7">
      <w:pPr>
        <w:pStyle w:val="NumList"/>
        <w:spacing w:line="312" w:lineRule="auto"/>
      </w:pPr>
      <w:r w:rsidRPr="00384ADF">
        <w:t>If the practitioner concludes that certain aspects of the subject matter information were excluded from</w:t>
      </w:r>
      <w:r w:rsidR="00A23217" w:rsidRPr="00384ADF">
        <w:t xml:space="preserve"> the scope of the</w:t>
      </w:r>
      <w:r w:rsidR="00696215" w:rsidRPr="00384ADF">
        <w:t xml:space="preserve"> sustainability</w:t>
      </w:r>
      <w:r w:rsidRPr="00384ADF">
        <w:t xml:space="preserve"> assurance engagement, the practitioner use</w:t>
      </w:r>
      <w:r w:rsidR="008246A2" w:rsidRPr="00384ADF">
        <w:t>s</w:t>
      </w:r>
      <w:r w:rsidRPr="00384ADF">
        <w:t xml:space="preserve"> professional judgment to conclude on the impact of such omissions</w:t>
      </w:r>
      <w:r w:rsidR="00165304" w:rsidRPr="00384ADF">
        <w:t xml:space="preserve"> (including those for which the reporting entity has provided </w:t>
      </w:r>
      <w:r w:rsidR="00D54711" w:rsidRPr="00384ADF">
        <w:t>reasons/explanations</w:t>
      </w:r>
      <w:r w:rsidR="00151981" w:rsidRPr="00384ADF">
        <w:t>)</w:t>
      </w:r>
      <w:r w:rsidRPr="00384ADF">
        <w:t xml:space="preserve"> </w:t>
      </w:r>
      <w:r w:rsidR="00436A04" w:rsidRPr="00384ADF">
        <w:t xml:space="preserve">when </w:t>
      </w:r>
      <w:r w:rsidRPr="00384ADF">
        <w:t>conclu</w:t>
      </w:r>
      <w:r w:rsidR="00436A04" w:rsidRPr="00384ADF">
        <w:t>ding</w:t>
      </w:r>
      <w:r w:rsidRPr="00384ADF">
        <w:t xml:space="preserve"> on </w:t>
      </w:r>
      <w:r w:rsidR="00436A04" w:rsidRPr="00384ADF">
        <w:t xml:space="preserve">whether </w:t>
      </w:r>
      <w:r w:rsidRPr="00384ADF">
        <w:t xml:space="preserve">the sustainability assurance engagement </w:t>
      </w:r>
      <w:r w:rsidR="00696215" w:rsidRPr="00384ADF">
        <w:t xml:space="preserve">exhibits </w:t>
      </w:r>
      <w:r w:rsidRPr="00384ADF">
        <w:t>a rational purpose.</w:t>
      </w:r>
    </w:p>
    <w:p w14:paraId="6B82A5B3" w14:textId="2FE5FB8F" w:rsidR="00B2493E" w:rsidRPr="00384ADF" w:rsidRDefault="006B226C" w:rsidP="000E676A">
      <w:pPr>
        <w:pStyle w:val="NumList"/>
        <w:spacing w:line="312" w:lineRule="auto"/>
      </w:pPr>
      <w:r w:rsidRPr="00384ADF">
        <w:rPr>
          <w:rFonts w:cs="Arial"/>
        </w:rPr>
        <w:t xml:space="preserve">The </w:t>
      </w:r>
      <w:r w:rsidR="00C723BD" w:rsidRPr="00384ADF">
        <w:rPr>
          <w:rFonts w:cs="Arial"/>
        </w:rPr>
        <w:t xml:space="preserve">reporting entity </w:t>
      </w:r>
      <w:r w:rsidRPr="00384ADF">
        <w:rPr>
          <w:rFonts w:cs="Arial"/>
        </w:rPr>
        <w:t xml:space="preserve">may have good </w:t>
      </w:r>
      <w:bookmarkStart w:id="31" w:name="_Hlk521910495"/>
      <w:r w:rsidRPr="00384ADF">
        <w:rPr>
          <w:rFonts w:cs="Arial"/>
        </w:rPr>
        <w:t>reason</w:t>
      </w:r>
      <w:r w:rsidR="0049356F" w:rsidRPr="00384ADF">
        <w:rPr>
          <w:rFonts w:cs="Arial"/>
        </w:rPr>
        <w:t>s</w:t>
      </w:r>
      <w:r w:rsidRPr="00384ADF">
        <w:rPr>
          <w:rFonts w:cs="Arial"/>
        </w:rPr>
        <w:t xml:space="preserve"> for excluding certain aspects from the scope of the</w:t>
      </w:r>
      <w:r w:rsidR="00830247" w:rsidRPr="00384ADF">
        <w:rPr>
          <w:rFonts w:cs="Arial"/>
        </w:rPr>
        <w:t xml:space="preserve"> sustainability</w:t>
      </w:r>
      <w:r w:rsidRPr="00384ADF">
        <w:rPr>
          <w:rFonts w:cs="Arial"/>
        </w:rPr>
        <w:t xml:space="preserve"> assurance engagement</w:t>
      </w:r>
      <w:bookmarkEnd w:id="31"/>
      <w:r w:rsidRPr="00384ADF">
        <w:rPr>
          <w:rFonts w:cs="Arial"/>
        </w:rPr>
        <w:t xml:space="preserve">, </w:t>
      </w:r>
      <w:r w:rsidR="0049356F" w:rsidRPr="00384ADF">
        <w:rPr>
          <w:rFonts w:cs="Arial"/>
        </w:rPr>
        <w:t xml:space="preserve">and these </w:t>
      </w:r>
      <w:r w:rsidRPr="00384ADF">
        <w:rPr>
          <w:rFonts w:cs="Arial"/>
        </w:rPr>
        <w:t>may be related to the maturity of its reporting infrastructure and the availability of certain information</w:t>
      </w:r>
      <w:r w:rsidR="0049356F" w:rsidRPr="00384ADF">
        <w:rPr>
          <w:rFonts w:cs="Arial"/>
        </w:rPr>
        <w:t xml:space="preserve">. Alternatively they may relate to </w:t>
      </w:r>
      <w:r w:rsidRPr="00384ADF">
        <w:rPr>
          <w:rFonts w:cs="Arial"/>
        </w:rPr>
        <w:t>the use of a combined assurance model where the reporting entity obtains internal assurance on certain aspects of the sustainability information and may not wish to duplicate effort and cost</w:t>
      </w:r>
      <w:r w:rsidR="00830247" w:rsidRPr="00384ADF">
        <w:rPr>
          <w:rFonts w:cs="Arial"/>
        </w:rPr>
        <w:t>s</w:t>
      </w:r>
      <w:r w:rsidRPr="00384ADF">
        <w:rPr>
          <w:rFonts w:cs="Arial"/>
        </w:rPr>
        <w:t xml:space="preserve"> in this regard. Nevertheless, such </w:t>
      </w:r>
      <w:r w:rsidR="00830247" w:rsidRPr="00384ADF">
        <w:rPr>
          <w:rFonts w:cs="Arial"/>
        </w:rPr>
        <w:t xml:space="preserve">a sustainability </w:t>
      </w:r>
      <w:r w:rsidRPr="00384ADF">
        <w:rPr>
          <w:rFonts w:cs="Arial"/>
        </w:rPr>
        <w:t>assurance engagement may still have a rational purpose. To this end, the pertinent issue is that the practitioner be satisfied with the reasons of the reporting entity for excluding certain aspects of the subject matter information from the scope of the</w:t>
      </w:r>
      <w:r w:rsidR="00830247" w:rsidRPr="00384ADF">
        <w:rPr>
          <w:rFonts w:cs="Arial"/>
        </w:rPr>
        <w:t xml:space="preserve"> sustainability</w:t>
      </w:r>
      <w:r w:rsidRPr="00384ADF">
        <w:rPr>
          <w:rFonts w:cs="Arial"/>
        </w:rPr>
        <w:t xml:space="preserve"> assurance engagement. If the practitioner, in applying professional judgment</w:t>
      </w:r>
      <w:r w:rsidR="00830247" w:rsidRPr="00384ADF">
        <w:rPr>
          <w:rFonts w:cs="Arial"/>
        </w:rPr>
        <w:t>,</w:t>
      </w:r>
      <w:r w:rsidRPr="00384ADF">
        <w:rPr>
          <w:rFonts w:cs="Arial"/>
        </w:rPr>
        <w:t xml:space="preserve"> concludes that the reasons for excluding certain aspects of the subject matter information are </w:t>
      </w:r>
      <w:r w:rsidR="00830247" w:rsidRPr="00384ADF">
        <w:rPr>
          <w:rFonts w:cs="Arial"/>
        </w:rPr>
        <w:t xml:space="preserve">reasonable </w:t>
      </w:r>
      <w:r w:rsidRPr="00384ADF">
        <w:rPr>
          <w:rFonts w:cs="Arial"/>
        </w:rPr>
        <w:t>in the circumstances and that the sustainability report is not misleading to the intended users with regard to the sustainability activities relevant to the reporting entity, this consideration in relation to establishing whether the</w:t>
      </w:r>
      <w:r w:rsidR="00830247" w:rsidRPr="00384ADF">
        <w:rPr>
          <w:rFonts w:cs="Arial"/>
        </w:rPr>
        <w:t xml:space="preserve"> sustainability</w:t>
      </w:r>
      <w:r w:rsidRPr="00384ADF">
        <w:rPr>
          <w:rFonts w:cs="Arial"/>
        </w:rPr>
        <w:t xml:space="preserve"> assurance engagement </w:t>
      </w:r>
      <w:r w:rsidR="00830247" w:rsidRPr="00384ADF">
        <w:rPr>
          <w:rFonts w:cs="Arial"/>
        </w:rPr>
        <w:t xml:space="preserve">exhibits </w:t>
      </w:r>
      <w:r w:rsidRPr="00384ADF">
        <w:rPr>
          <w:rFonts w:cs="Arial"/>
        </w:rPr>
        <w:t xml:space="preserve">a rational purpose </w:t>
      </w:r>
      <w:r w:rsidR="009E4608" w:rsidRPr="00384ADF">
        <w:rPr>
          <w:rFonts w:cs="Arial"/>
        </w:rPr>
        <w:t>could</w:t>
      </w:r>
      <w:r w:rsidRPr="00384ADF">
        <w:rPr>
          <w:rFonts w:cs="Arial"/>
        </w:rPr>
        <w:t xml:space="preserve"> be satisfied.</w:t>
      </w:r>
      <w:r w:rsidR="00B2493E" w:rsidRPr="00384ADF">
        <w:t xml:space="preserve"> </w:t>
      </w:r>
    </w:p>
    <w:p w14:paraId="49600BEA" w14:textId="15E5535F" w:rsidR="0044729F" w:rsidRPr="00384ADF" w:rsidRDefault="008C2ACA" w:rsidP="00827736">
      <w:pPr>
        <w:pStyle w:val="NumList"/>
        <w:spacing w:line="312" w:lineRule="auto"/>
      </w:pPr>
      <w:r w:rsidRPr="00384ADF">
        <w:t>T</w:t>
      </w:r>
      <w:r w:rsidR="00981A29" w:rsidRPr="00384ADF">
        <w:t xml:space="preserve">o determine </w:t>
      </w:r>
      <w:r w:rsidR="00827736" w:rsidRPr="00384ADF">
        <w:t>who selected the criteria to be applied to measure or evaluate the underlying subject matter, and what the degree of judgment and scope for</w:t>
      </w:r>
      <w:r w:rsidR="009E4608" w:rsidRPr="00384ADF">
        <w:t xml:space="preserve"> management</w:t>
      </w:r>
      <w:r w:rsidR="00827736" w:rsidRPr="00384ADF">
        <w:t xml:space="preserve"> bias is in applying them as well as whether the intended users selected or were involved in selecting the criteria</w:t>
      </w:r>
      <w:r w:rsidR="00981A29" w:rsidRPr="00384ADF">
        <w:t>, the practitioner</w:t>
      </w:r>
      <w:r w:rsidR="00830247" w:rsidRPr="00384ADF">
        <w:t xml:space="preserve"> may</w:t>
      </w:r>
      <w:r w:rsidR="00981A29" w:rsidRPr="00384ADF">
        <w:t xml:space="preserve"> </w:t>
      </w:r>
      <w:r w:rsidR="0044729F" w:rsidRPr="00384ADF">
        <w:t>consider:</w:t>
      </w:r>
    </w:p>
    <w:p w14:paraId="5D8FE580" w14:textId="06CCCD10" w:rsidR="0044729F" w:rsidRPr="00384ADF" w:rsidRDefault="0044729F" w:rsidP="0044729F">
      <w:pPr>
        <w:pStyle w:val="NumList"/>
        <w:numPr>
          <w:ilvl w:val="1"/>
          <w:numId w:val="16"/>
        </w:numPr>
        <w:spacing w:line="312" w:lineRule="auto"/>
        <w:rPr>
          <w:rFonts w:cs="Arial"/>
        </w:rPr>
      </w:pPr>
      <w:r w:rsidRPr="00384ADF">
        <w:rPr>
          <w:rFonts w:cs="Arial"/>
        </w:rPr>
        <w:t>The reporting framework selected by the reporting entity to generate reporting content;</w:t>
      </w:r>
    </w:p>
    <w:p w14:paraId="79E39236" w14:textId="40180E7E" w:rsidR="00C26C21" w:rsidRPr="00384ADF" w:rsidRDefault="00C26C21" w:rsidP="0044729F">
      <w:pPr>
        <w:pStyle w:val="NumList"/>
        <w:numPr>
          <w:ilvl w:val="1"/>
          <w:numId w:val="16"/>
        </w:numPr>
        <w:spacing w:line="312" w:lineRule="auto"/>
        <w:rPr>
          <w:rFonts w:cs="Arial"/>
        </w:rPr>
      </w:pPr>
      <w:r w:rsidRPr="00384ADF">
        <w:rPr>
          <w:rFonts w:cs="Arial"/>
        </w:rPr>
        <w:t>The level of potential management bias in the generation of reporting content;</w:t>
      </w:r>
    </w:p>
    <w:p w14:paraId="75F0BD3B" w14:textId="0998CE58" w:rsidR="00C26C21" w:rsidRPr="00384ADF" w:rsidRDefault="00C26C21" w:rsidP="0044729F">
      <w:pPr>
        <w:pStyle w:val="NumList"/>
        <w:numPr>
          <w:ilvl w:val="1"/>
          <w:numId w:val="16"/>
        </w:numPr>
        <w:spacing w:line="312" w:lineRule="auto"/>
        <w:rPr>
          <w:rFonts w:cs="Arial"/>
        </w:rPr>
      </w:pPr>
      <w:r w:rsidRPr="00384ADF">
        <w:rPr>
          <w:rFonts w:cs="Arial"/>
        </w:rPr>
        <w:t>Whether</w:t>
      </w:r>
      <w:r w:rsidR="00697629">
        <w:rPr>
          <w:rFonts w:cs="Arial"/>
        </w:rPr>
        <w:t xml:space="preserve"> and the extent to which</w:t>
      </w:r>
      <w:r w:rsidRPr="00384ADF">
        <w:rPr>
          <w:rFonts w:cs="Arial"/>
        </w:rPr>
        <w:t xml:space="preserve"> the reporting entity engaged with</w:t>
      </w:r>
      <w:r w:rsidR="00565F83" w:rsidRPr="00384ADF">
        <w:rPr>
          <w:rFonts w:cs="Arial"/>
        </w:rPr>
        <w:t xml:space="preserve"> the intended users and other</w:t>
      </w:r>
      <w:r w:rsidRPr="00384ADF">
        <w:rPr>
          <w:rFonts w:cs="Arial"/>
        </w:rPr>
        <w:t xml:space="preserve"> stakeholders to determine their information needs regarding reporting content;</w:t>
      </w:r>
    </w:p>
    <w:p w14:paraId="7A96F0A5" w14:textId="2F238F08" w:rsidR="00C26C21" w:rsidRPr="00384ADF" w:rsidRDefault="00C26C21" w:rsidP="0044729F">
      <w:pPr>
        <w:pStyle w:val="NumList"/>
        <w:numPr>
          <w:ilvl w:val="1"/>
          <w:numId w:val="16"/>
        </w:numPr>
        <w:spacing w:line="312" w:lineRule="auto"/>
        <w:rPr>
          <w:rFonts w:cs="Arial"/>
        </w:rPr>
      </w:pPr>
      <w:r w:rsidRPr="00384ADF">
        <w:rPr>
          <w:rFonts w:cs="Arial"/>
        </w:rPr>
        <w:t xml:space="preserve">Whether the reporting entity undertook a transparent due process in </w:t>
      </w:r>
      <w:r w:rsidR="00697629">
        <w:rPr>
          <w:rFonts w:cs="Arial"/>
        </w:rPr>
        <w:t xml:space="preserve">selecting or </w:t>
      </w:r>
      <w:r w:rsidRPr="00384ADF">
        <w:rPr>
          <w:rFonts w:cs="Arial"/>
        </w:rPr>
        <w:t xml:space="preserve">developing its reporting policies and procedures with the involvement of </w:t>
      </w:r>
      <w:r w:rsidR="00D927F3" w:rsidRPr="00384ADF">
        <w:rPr>
          <w:rFonts w:cs="Arial"/>
        </w:rPr>
        <w:t xml:space="preserve">the </w:t>
      </w:r>
      <w:r w:rsidRPr="00384ADF">
        <w:rPr>
          <w:rFonts w:cs="Arial"/>
        </w:rPr>
        <w:t>intended users;</w:t>
      </w:r>
      <w:r w:rsidR="008C2ACA" w:rsidRPr="00384ADF">
        <w:rPr>
          <w:rFonts w:cs="Arial"/>
        </w:rPr>
        <w:t xml:space="preserve"> and</w:t>
      </w:r>
    </w:p>
    <w:p w14:paraId="2B5D959F" w14:textId="4A7D8E41" w:rsidR="00C26C21" w:rsidRPr="00384ADF" w:rsidRDefault="00C26C21" w:rsidP="0044729F">
      <w:pPr>
        <w:pStyle w:val="NumList"/>
        <w:numPr>
          <w:ilvl w:val="1"/>
          <w:numId w:val="16"/>
        </w:numPr>
        <w:spacing w:line="312" w:lineRule="auto"/>
        <w:rPr>
          <w:rFonts w:cs="Arial"/>
        </w:rPr>
      </w:pPr>
      <w:r w:rsidRPr="00384ADF">
        <w:rPr>
          <w:rFonts w:cs="Arial"/>
        </w:rPr>
        <w:t>Whether the reporting entity has disclosed/made available to</w:t>
      </w:r>
      <w:r w:rsidR="008C2ACA" w:rsidRPr="00384ADF">
        <w:rPr>
          <w:rFonts w:cs="Arial"/>
        </w:rPr>
        <w:t xml:space="preserve"> the</w:t>
      </w:r>
      <w:r w:rsidRPr="00384ADF">
        <w:rPr>
          <w:rFonts w:cs="Arial"/>
        </w:rPr>
        <w:t xml:space="preserve"> intended users its reporting policies and procedures.</w:t>
      </w:r>
    </w:p>
    <w:p w14:paraId="1BB97933" w14:textId="5416C4FD" w:rsidR="00B2493E" w:rsidRPr="00384ADF" w:rsidRDefault="00151981" w:rsidP="005279E7">
      <w:pPr>
        <w:pStyle w:val="NumList"/>
        <w:spacing w:line="312" w:lineRule="auto"/>
      </w:pPr>
      <w:r w:rsidRPr="00384ADF">
        <w:t>Based on the practitioner</w:t>
      </w:r>
      <w:r w:rsidR="00CE0DB0" w:rsidRPr="00384ADF">
        <w:t>’</w:t>
      </w:r>
      <w:r w:rsidRPr="00384ADF">
        <w:t xml:space="preserve">s understanding obtained during the assessment of </w:t>
      </w:r>
      <w:r w:rsidR="00830247" w:rsidRPr="00384ADF">
        <w:t xml:space="preserve">the reporting entity’s </w:t>
      </w:r>
      <w:r w:rsidRPr="00384ADF">
        <w:t xml:space="preserve">reporting infrastructure, the practitioner uses professional judgment to conclude on the impact of the expected involvement of the intended users in the criteria selection and the expected level of management bias that </w:t>
      </w:r>
      <w:r w:rsidR="00D4047E" w:rsidRPr="00384ADF">
        <w:t xml:space="preserve">may </w:t>
      </w:r>
      <w:r w:rsidRPr="00384ADF">
        <w:t>affect the rational purpose of the engagement.</w:t>
      </w:r>
    </w:p>
    <w:p w14:paraId="6B024D9D" w14:textId="73ECC1F0" w:rsidR="005B2C28" w:rsidRPr="00384ADF" w:rsidRDefault="002236B6" w:rsidP="00F412E3">
      <w:pPr>
        <w:pStyle w:val="Heading2"/>
      </w:pPr>
      <w:bookmarkStart w:id="32" w:name="_Toc43704062"/>
      <w:r w:rsidRPr="00384ADF">
        <w:t>A</w:t>
      </w:r>
      <w:r w:rsidR="009F74E9" w:rsidRPr="00384ADF">
        <w:t xml:space="preserve">ppropriateness of underlying subject matter and </w:t>
      </w:r>
      <w:r w:rsidR="008F6CCA" w:rsidRPr="00384ADF">
        <w:t>s</w:t>
      </w:r>
      <w:r w:rsidR="005D2248" w:rsidRPr="00384ADF">
        <w:t>uitability of criteria</w:t>
      </w:r>
      <w:bookmarkEnd w:id="32"/>
      <w:r w:rsidR="005D2248" w:rsidRPr="00384ADF">
        <w:t xml:space="preserve"> </w:t>
      </w:r>
    </w:p>
    <w:p w14:paraId="6AC88D18" w14:textId="2145C8BF" w:rsidR="00273EB7" w:rsidRPr="00384ADF" w:rsidRDefault="009D3D41" w:rsidP="005279E7">
      <w:pPr>
        <w:pStyle w:val="NumList"/>
        <w:spacing w:line="312" w:lineRule="auto"/>
      </w:pPr>
      <w:r w:rsidRPr="00384ADF">
        <w:t>The process of establishing whether the</w:t>
      </w:r>
      <w:r w:rsidR="00D22641" w:rsidRPr="00384ADF">
        <w:t xml:space="preserve"> sustainability</w:t>
      </w:r>
      <w:r w:rsidRPr="00384ADF">
        <w:t xml:space="preserve"> assurance engagement </w:t>
      </w:r>
      <w:r w:rsidR="00523DD6" w:rsidRPr="00384ADF">
        <w:t xml:space="preserve">exhibits </w:t>
      </w:r>
      <w:r w:rsidRPr="00384ADF">
        <w:t xml:space="preserve">a rational purpose provides the context within which the </w:t>
      </w:r>
      <w:r w:rsidR="000D6AB0" w:rsidRPr="00384ADF">
        <w:t>practitioner</w:t>
      </w:r>
      <w:r w:rsidRPr="00384ADF">
        <w:t xml:space="preserve"> </w:t>
      </w:r>
      <w:r w:rsidR="000843C7" w:rsidRPr="00384ADF">
        <w:rPr>
          <w:rFonts w:cs="Arial"/>
        </w:rPr>
        <w:t>determin</w:t>
      </w:r>
      <w:r w:rsidR="00C73FE9" w:rsidRPr="00384ADF">
        <w:rPr>
          <w:rFonts w:cs="Arial"/>
        </w:rPr>
        <w:t>es</w:t>
      </w:r>
      <w:r w:rsidR="000843C7" w:rsidRPr="00384ADF">
        <w:rPr>
          <w:rFonts w:cs="Arial"/>
        </w:rPr>
        <w:t xml:space="preserve"> whether the sustainability assurance engagement exhibits</w:t>
      </w:r>
      <w:r w:rsidR="008C2ACA" w:rsidRPr="00384ADF">
        <w:rPr>
          <w:rFonts w:cs="Arial"/>
        </w:rPr>
        <w:t xml:space="preserve"> that</w:t>
      </w:r>
      <w:r w:rsidR="000843C7" w:rsidRPr="00384ADF">
        <w:rPr>
          <w:rFonts w:cs="Arial"/>
        </w:rPr>
        <w:t xml:space="preserve"> the underlying subject matter is appropriate and the </w:t>
      </w:r>
      <w:r w:rsidR="007317E0" w:rsidRPr="00384ADF">
        <w:rPr>
          <w:rFonts w:cs="Arial"/>
        </w:rPr>
        <w:t>criteria that the practitioner expects to be applied in the preparation of the subject matter information are suitable for the engagement circumstances</w:t>
      </w:r>
      <w:r w:rsidRPr="00384ADF">
        <w:t>.</w:t>
      </w:r>
    </w:p>
    <w:p w14:paraId="5CA8984A" w14:textId="468C4381" w:rsidR="00381013" w:rsidRPr="00384ADF" w:rsidRDefault="00381013" w:rsidP="00320CD5">
      <w:pPr>
        <w:pStyle w:val="NumList"/>
        <w:spacing w:after="80" w:line="312" w:lineRule="auto"/>
      </w:pPr>
      <w:r w:rsidRPr="00384ADF">
        <w:t>This SAAEPS recommends that the process of considering the appropriateness of the underlying subject matter and the suitability of criteria</w:t>
      </w:r>
      <w:r w:rsidR="00C73FE9" w:rsidRPr="00384ADF">
        <w:t xml:space="preserve"> may</w:t>
      </w:r>
      <w:r w:rsidRPr="00384ADF">
        <w:t xml:space="preserve"> be performed in a two-step process:</w:t>
      </w:r>
    </w:p>
    <w:p w14:paraId="596858A1" w14:textId="0229F909" w:rsidR="00381013" w:rsidRPr="00384ADF" w:rsidRDefault="00403C18" w:rsidP="00743AD0">
      <w:pPr>
        <w:pStyle w:val="NumList"/>
        <w:numPr>
          <w:ilvl w:val="1"/>
          <w:numId w:val="2"/>
        </w:numPr>
        <w:spacing w:after="80" w:line="312" w:lineRule="auto"/>
        <w:ind w:hanging="425"/>
      </w:pPr>
      <w:r w:rsidRPr="00384ADF">
        <w:t xml:space="preserve">Step 1: </w:t>
      </w:r>
      <w:r w:rsidR="00381013" w:rsidRPr="00384ADF">
        <w:t>Appropriateness of the underlying subject matter; and</w:t>
      </w:r>
    </w:p>
    <w:p w14:paraId="705FF8F8" w14:textId="794E8B28" w:rsidR="00471C6E" w:rsidRPr="00384ADF" w:rsidRDefault="00403C18" w:rsidP="005279E7">
      <w:pPr>
        <w:pStyle w:val="NumList"/>
        <w:numPr>
          <w:ilvl w:val="1"/>
          <w:numId w:val="2"/>
        </w:numPr>
        <w:spacing w:line="312" w:lineRule="auto"/>
        <w:ind w:hanging="425"/>
      </w:pPr>
      <w:r w:rsidRPr="00384ADF">
        <w:t xml:space="preserve">Step 2: </w:t>
      </w:r>
      <w:r w:rsidR="00381013" w:rsidRPr="00384ADF">
        <w:t>Suitability of criteria.</w:t>
      </w:r>
    </w:p>
    <w:p w14:paraId="038D8D3F" w14:textId="59E174D2" w:rsidR="00381013" w:rsidRPr="00384ADF" w:rsidRDefault="00471C6E" w:rsidP="005279E7">
      <w:pPr>
        <w:pStyle w:val="NumList"/>
        <w:numPr>
          <w:ilvl w:val="0"/>
          <w:numId w:val="0"/>
        </w:numPr>
        <w:spacing w:line="312" w:lineRule="auto"/>
        <w:ind w:left="567"/>
      </w:pPr>
      <w:r w:rsidRPr="00384ADF">
        <w:t>The practitioner satisf</w:t>
      </w:r>
      <w:r w:rsidR="008246A2" w:rsidRPr="00384ADF">
        <w:t>ies</w:t>
      </w:r>
      <w:r w:rsidRPr="00384ADF">
        <w:t xml:space="preserve"> the requirements of the first step before moving on to the next step. </w:t>
      </w:r>
    </w:p>
    <w:p w14:paraId="34166519" w14:textId="193B5254" w:rsidR="009D3D41" w:rsidRPr="00384ADF" w:rsidRDefault="009D3D41" w:rsidP="00ED6603">
      <w:pPr>
        <w:pStyle w:val="Heading3"/>
      </w:pPr>
      <w:bookmarkStart w:id="33" w:name="_Toc43704063"/>
      <w:r w:rsidRPr="00384ADF">
        <w:t xml:space="preserve">Step </w:t>
      </w:r>
      <w:r w:rsidR="00CC5161" w:rsidRPr="00384ADF">
        <w:t>1</w:t>
      </w:r>
      <w:r w:rsidRPr="00384ADF">
        <w:t>: Appropriate</w:t>
      </w:r>
      <w:r w:rsidR="004A2AC1" w:rsidRPr="00384ADF">
        <w:t>ness of the</w:t>
      </w:r>
      <w:r w:rsidR="00852210" w:rsidRPr="00384ADF">
        <w:t xml:space="preserve"> underlying</w:t>
      </w:r>
      <w:r w:rsidRPr="00384ADF">
        <w:t xml:space="preserve"> subject matter</w:t>
      </w:r>
      <w:bookmarkEnd w:id="33"/>
    </w:p>
    <w:p w14:paraId="6F224244" w14:textId="15FB8F8A" w:rsidR="004504CE" w:rsidRPr="00384ADF" w:rsidRDefault="002D2DE9" w:rsidP="005279E7">
      <w:pPr>
        <w:pStyle w:val="NumList"/>
        <w:spacing w:line="312" w:lineRule="auto"/>
      </w:pPr>
      <w:r w:rsidRPr="00384ADF">
        <w:rPr>
          <w:rFonts w:cs="Arial"/>
        </w:rPr>
        <w:t>Determining whether the sustainability assurance engagement exhibits</w:t>
      </w:r>
      <w:r w:rsidR="008C2ACA" w:rsidRPr="00384ADF">
        <w:rPr>
          <w:rFonts w:cs="Arial"/>
        </w:rPr>
        <w:t xml:space="preserve"> that</w:t>
      </w:r>
      <w:r w:rsidRPr="00384ADF">
        <w:rPr>
          <w:rFonts w:cs="Arial"/>
        </w:rPr>
        <w:t xml:space="preserve"> the underlying subject matter is appropriate</w:t>
      </w:r>
      <w:r w:rsidR="004504CE" w:rsidRPr="00384ADF">
        <w:t xml:space="preserve"> at a </w:t>
      </w:r>
      <w:r w:rsidR="008C2ACA" w:rsidRPr="00384ADF">
        <w:t>high-</w:t>
      </w:r>
      <w:r w:rsidR="004504CE" w:rsidRPr="00384ADF">
        <w:t xml:space="preserve">level is what is dealt with as part of </w:t>
      </w:r>
      <w:r w:rsidRPr="00384ADF">
        <w:rPr>
          <w:rFonts w:cs="Arial"/>
        </w:rPr>
        <w:t>determining whether the sustainability assurance engagement exhibits a rational purpose</w:t>
      </w:r>
      <w:r w:rsidR="004504CE" w:rsidRPr="00384ADF">
        <w:t xml:space="preserve">. </w:t>
      </w:r>
      <w:r w:rsidRPr="00384ADF">
        <w:rPr>
          <w:rFonts w:cs="Arial"/>
        </w:rPr>
        <w:t>Determining whether the sustainability assurance engagement exhibits</w:t>
      </w:r>
      <w:r w:rsidR="008C2ACA" w:rsidRPr="00384ADF">
        <w:rPr>
          <w:rFonts w:cs="Arial"/>
        </w:rPr>
        <w:t xml:space="preserve"> that</w:t>
      </w:r>
      <w:r w:rsidRPr="00384ADF">
        <w:rPr>
          <w:rFonts w:cs="Arial"/>
        </w:rPr>
        <w:t xml:space="preserve"> the underlying subject matter is appropriate</w:t>
      </w:r>
      <w:r w:rsidR="004504CE" w:rsidRPr="00384ADF">
        <w:t xml:space="preserve"> at a detailed level is what is dealt with in</w:t>
      </w:r>
      <w:r w:rsidR="008E05D7" w:rsidRPr="00384ADF">
        <w:t xml:space="preserve"> </w:t>
      </w:r>
      <w:r w:rsidR="004504CE" w:rsidRPr="00384ADF">
        <w:t xml:space="preserve">step 1. </w:t>
      </w:r>
    </w:p>
    <w:p w14:paraId="4034C84F" w14:textId="54187BF5" w:rsidR="00A1201A" w:rsidRPr="00384ADF" w:rsidRDefault="00FA5427" w:rsidP="00743AD0">
      <w:pPr>
        <w:pStyle w:val="NumList"/>
        <w:spacing w:after="80" w:line="312" w:lineRule="auto"/>
      </w:pPr>
      <w:r w:rsidRPr="00384ADF">
        <w:t>An appropriate underlying subject matter is identifiable and capable of consistent measurement or evaluation against the applicable criteria such that the resulting subject matter information can be subjected to procedures for obtaining sufficient appropriate evidence to support a reasonable assurance or limited assurance conclusion, as appropriate</w:t>
      </w:r>
      <w:r w:rsidR="00A1201A" w:rsidRPr="00384ADF">
        <w:rPr>
          <w:rStyle w:val="FootnoteReference"/>
          <w:vertAlign w:val="superscript"/>
        </w:rPr>
        <w:footnoteReference w:id="30"/>
      </w:r>
      <w:r w:rsidRPr="00384ADF">
        <w:t xml:space="preserve">. </w:t>
      </w:r>
    </w:p>
    <w:p w14:paraId="6A1363CE" w14:textId="73D22615" w:rsidR="004A2AC1" w:rsidRPr="00384ADF" w:rsidRDefault="003A20B1" w:rsidP="00743AD0">
      <w:pPr>
        <w:pStyle w:val="NumList"/>
        <w:spacing w:after="80" w:line="312" w:lineRule="auto"/>
      </w:pPr>
      <w:r w:rsidRPr="00384ADF">
        <w:rPr>
          <w:rFonts w:cs="Arial"/>
        </w:rPr>
        <w:t xml:space="preserve">As such, the practitioner </w:t>
      </w:r>
      <w:r w:rsidR="00E84634" w:rsidRPr="00384ADF">
        <w:rPr>
          <w:rFonts w:cs="Arial"/>
        </w:rPr>
        <w:t>establishes whether</w:t>
      </w:r>
      <w:r w:rsidR="004A2AC1" w:rsidRPr="00384ADF">
        <w:t>:</w:t>
      </w:r>
    </w:p>
    <w:p w14:paraId="04E8D3F2" w14:textId="53554A56" w:rsidR="004A2AC1" w:rsidRPr="00384ADF" w:rsidRDefault="004A2AC1" w:rsidP="00743AD0">
      <w:pPr>
        <w:pStyle w:val="NumList"/>
        <w:numPr>
          <w:ilvl w:val="1"/>
          <w:numId w:val="2"/>
        </w:numPr>
        <w:spacing w:after="80" w:line="312" w:lineRule="auto"/>
        <w:ind w:hanging="425"/>
        <w:rPr>
          <w:rFonts w:cs="Arial"/>
        </w:rPr>
      </w:pPr>
      <w:r w:rsidRPr="00384ADF">
        <w:rPr>
          <w:rFonts w:cs="Arial"/>
        </w:rPr>
        <w:t>The underlying subject matter is identifiable</w:t>
      </w:r>
      <w:r w:rsidR="003161AA" w:rsidRPr="00384ADF">
        <w:rPr>
          <w:rFonts w:cs="Arial"/>
        </w:rPr>
        <w:t>; and</w:t>
      </w:r>
    </w:p>
    <w:p w14:paraId="731792EC" w14:textId="600BF614" w:rsidR="004A2AC1" w:rsidRPr="00384ADF" w:rsidRDefault="004A2AC1" w:rsidP="00743AD0">
      <w:pPr>
        <w:pStyle w:val="NumList"/>
        <w:numPr>
          <w:ilvl w:val="1"/>
          <w:numId w:val="2"/>
        </w:numPr>
        <w:spacing w:after="80" w:line="312" w:lineRule="auto"/>
        <w:ind w:hanging="425"/>
        <w:rPr>
          <w:rFonts w:cs="Arial"/>
        </w:rPr>
      </w:pPr>
      <w:r w:rsidRPr="00384ADF">
        <w:rPr>
          <w:rFonts w:cs="Arial"/>
        </w:rPr>
        <w:t>The underlying subject matter is capable of consistent measurement or evaluation.</w:t>
      </w:r>
    </w:p>
    <w:p w14:paraId="13159EAF" w14:textId="6198AF96" w:rsidR="00501922" w:rsidRPr="00384ADF" w:rsidRDefault="00501922" w:rsidP="005279E7">
      <w:pPr>
        <w:pStyle w:val="NumList"/>
        <w:spacing w:line="312" w:lineRule="auto"/>
      </w:pPr>
      <w:r w:rsidRPr="00384ADF">
        <w:t xml:space="preserve">In </w:t>
      </w:r>
      <w:r w:rsidR="00E84634" w:rsidRPr="00384ADF">
        <w:t xml:space="preserve">a sustainability </w:t>
      </w:r>
      <w:r w:rsidRPr="00384ADF">
        <w:t>assurance engagement</w:t>
      </w:r>
      <w:r w:rsidR="00006400" w:rsidRPr="00384ADF">
        <w:t>,</w:t>
      </w:r>
      <w:r w:rsidRPr="00384ADF">
        <w:t xml:space="preserve"> the </w:t>
      </w:r>
      <w:r w:rsidR="00006400" w:rsidRPr="00384ADF">
        <w:t>practitioner</w:t>
      </w:r>
      <w:r w:rsidRPr="00384ADF">
        <w:t xml:space="preserve"> determine</w:t>
      </w:r>
      <w:r w:rsidR="00006400" w:rsidRPr="00384ADF">
        <w:t>s</w:t>
      </w:r>
      <w:r w:rsidRPr="00384ADF">
        <w:t xml:space="preserve"> whether all aspects that form part of the assurance scope </w:t>
      </w:r>
      <w:r w:rsidR="00E84634" w:rsidRPr="00384ADF">
        <w:t xml:space="preserve">exhibit </w:t>
      </w:r>
      <w:r w:rsidRPr="00384ADF">
        <w:t xml:space="preserve">an appropriate underlying subject matter. The </w:t>
      </w:r>
      <w:r w:rsidR="00006400" w:rsidRPr="00384ADF">
        <w:t>practitioner</w:t>
      </w:r>
      <w:r w:rsidRPr="00384ADF">
        <w:t xml:space="preserve"> </w:t>
      </w:r>
      <w:r w:rsidR="003B5F3D" w:rsidRPr="00384ADF">
        <w:t xml:space="preserve">may </w:t>
      </w:r>
      <w:r w:rsidRPr="00384ADF">
        <w:t>be requested to assure subject matter information</w:t>
      </w:r>
      <w:r w:rsidR="00CE0DB0" w:rsidRPr="00384ADF">
        <w:t>;</w:t>
      </w:r>
      <w:r w:rsidRPr="00384ADF">
        <w:t xml:space="preserve"> hence</w:t>
      </w:r>
      <w:r w:rsidR="00CE60BB" w:rsidRPr="00384ADF">
        <w:t>,</w:t>
      </w:r>
      <w:r w:rsidRPr="00384ADF">
        <w:t xml:space="preserve"> the </w:t>
      </w:r>
      <w:r w:rsidR="00006400" w:rsidRPr="00384ADF">
        <w:t>practitioner</w:t>
      </w:r>
      <w:r w:rsidRPr="00384ADF">
        <w:t xml:space="preserve"> use</w:t>
      </w:r>
      <w:r w:rsidR="00523DD6" w:rsidRPr="00384ADF">
        <w:t>s</w:t>
      </w:r>
      <w:r w:rsidRPr="00384ADF">
        <w:t xml:space="preserve"> the subject matter information to determine what the underlying subject matter may be. </w:t>
      </w:r>
    </w:p>
    <w:p w14:paraId="3F7566D5" w14:textId="05A89CED" w:rsidR="00501922" w:rsidRPr="00384ADF" w:rsidRDefault="00501922" w:rsidP="005279E7">
      <w:pPr>
        <w:pStyle w:val="NumList"/>
        <w:spacing w:line="312" w:lineRule="auto"/>
      </w:pPr>
      <w:r w:rsidRPr="00384ADF">
        <w:t>To illustrate how</w:t>
      </w:r>
      <w:r w:rsidR="00523DD6" w:rsidRPr="00384ADF">
        <w:rPr>
          <w:rFonts w:cs="Arial"/>
        </w:rPr>
        <w:t xml:space="preserve"> the determination of whether the sustainability assurance engagement exhibits</w:t>
      </w:r>
      <w:r w:rsidR="008C2ACA" w:rsidRPr="00384ADF">
        <w:rPr>
          <w:rFonts w:cs="Arial"/>
        </w:rPr>
        <w:t xml:space="preserve"> that</w:t>
      </w:r>
      <w:r w:rsidR="00523DD6" w:rsidRPr="00384ADF">
        <w:rPr>
          <w:rFonts w:cs="Arial"/>
        </w:rPr>
        <w:t xml:space="preserve"> the underlying subject matter is appropriate</w:t>
      </w:r>
      <w:r w:rsidRPr="00384ADF">
        <w:t xml:space="preserve"> </w:t>
      </w:r>
      <w:r w:rsidR="00D4047E" w:rsidRPr="00384ADF">
        <w:t xml:space="preserve">may </w:t>
      </w:r>
      <w:r w:rsidRPr="00384ADF">
        <w:t xml:space="preserve">work in practice, </w:t>
      </w:r>
      <w:r w:rsidR="00D73DAE" w:rsidRPr="00384ADF">
        <w:t>the example in</w:t>
      </w:r>
      <w:r w:rsidRPr="00384ADF">
        <w:t xml:space="preserve"> ISAE 3000 (</w:t>
      </w:r>
      <w:r w:rsidR="00006400" w:rsidRPr="00384ADF">
        <w:t>Revised</w:t>
      </w:r>
      <w:r w:rsidRPr="00384ADF">
        <w:t>)</w:t>
      </w:r>
      <w:r w:rsidR="00006400" w:rsidRPr="00384ADF">
        <w:rPr>
          <w:rStyle w:val="FootnoteReference"/>
          <w:vertAlign w:val="superscript"/>
        </w:rPr>
        <w:footnoteReference w:id="31"/>
      </w:r>
      <w:r w:rsidR="00C41AF4" w:rsidRPr="00384ADF">
        <w:t xml:space="preserve"> </w:t>
      </w:r>
      <w:r w:rsidR="00523DD6" w:rsidRPr="00384ADF">
        <w:t>is</w:t>
      </w:r>
      <w:r w:rsidR="00D73DAE" w:rsidRPr="00384ADF">
        <w:t xml:space="preserve"> used</w:t>
      </w:r>
      <w:r w:rsidRPr="00384ADF">
        <w:t xml:space="preserve">. </w:t>
      </w:r>
      <w:r w:rsidR="00CC36E8" w:rsidRPr="00384ADF">
        <w:t>In the example,</w:t>
      </w:r>
      <w:r w:rsidR="00C35123" w:rsidRPr="00384ADF">
        <w:t xml:space="preserve"> the measurement protocols used in relation </w:t>
      </w:r>
      <w:r w:rsidR="00CB4CF9" w:rsidRPr="00384ADF">
        <w:t>to the</w:t>
      </w:r>
      <w:r w:rsidRPr="00384ADF">
        <w:t xml:space="preserve"> </w:t>
      </w:r>
      <w:r w:rsidR="00C35123" w:rsidRPr="00384ADF">
        <w:t xml:space="preserve">number </w:t>
      </w:r>
      <w:r w:rsidRPr="00384ADF">
        <w:t xml:space="preserve">of customer complaints resolved </w:t>
      </w:r>
      <w:r w:rsidR="00C35123" w:rsidRPr="00384ADF">
        <w:t xml:space="preserve">to the acknowledged satisfaction of the customer </w:t>
      </w:r>
      <w:r w:rsidR="00540CB2" w:rsidRPr="00384ADF">
        <w:t xml:space="preserve">are </w:t>
      </w:r>
      <w:r w:rsidRPr="00384ADF">
        <w:t>the</w:t>
      </w:r>
      <w:r w:rsidR="00294026" w:rsidRPr="00384ADF">
        <w:t xml:space="preserve"> </w:t>
      </w:r>
      <w:r w:rsidR="00294026" w:rsidRPr="00384ADF">
        <w:rPr>
          <w:rFonts w:cs="Arial"/>
        </w:rPr>
        <w:t>measurement or evaluation</w:t>
      </w:r>
      <w:r w:rsidRPr="00384ADF">
        <w:t xml:space="preserve"> </w:t>
      </w:r>
      <w:r w:rsidR="00CC36E8" w:rsidRPr="00384ADF">
        <w:t>criteria</w:t>
      </w:r>
      <w:r w:rsidRPr="00384ADF">
        <w:t xml:space="preserve">, and customer satisfaction </w:t>
      </w:r>
      <w:r w:rsidR="00CC36E8" w:rsidRPr="00384ADF">
        <w:t>is</w:t>
      </w:r>
      <w:r w:rsidRPr="00384ADF">
        <w:t xml:space="preserve"> the underlying subject matter</w:t>
      </w:r>
      <w:r w:rsidR="008C2ACA" w:rsidRPr="00384ADF">
        <w:t>.</w:t>
      </w:r>
    </w:p>
    <w:p w14:paraId="15F6C941" w14:textId="3098F123" w:rsidR="00501922" w:rsidRPr="00384ADF" w:rsidRDefault="00501922" w:rsidP="005279E7">
      <w:pPr>
        <w:pStyle w:val="NumList"/>
        <w:numPr>
          <w:ilvl w:val="1"/>
          <w:numId w:val="2"/>
        </w:numPr>
        <w:spacing w:line="312" w:lineRule="auto"/>
        <w:ind w:hanging="425"/>
        <w:rPr>
          <w:rFonts w:cs="Arial"/>
        </w:rPr>
      </w:pPr>
      <w:r w:rsidRPr="00384ADF">
        <w:rPr>
          <w:rFonts w:cs="Arial"/>
          <w:i/>
        </w:rPr>
        <w:t>Identifiable:</w:t>
      </w:r>
      <w:r w:rsidRPr="00384ADF">
        <w:rPr>
          <w:rFonts w:cs="Arial"/>
        </w:rPr>
        <w:t xml:space="preserve"> For customer satisfaction to be identifiable, it </w:t>
      </w:r>
      <w:r w:rsidR="001F3237" w:rsidRPr="00384ADF">
        <w:rPr>
          <w:rFonts w:cs="Arial"/>
        </w:rPr>
        <w:t xml:space="preserve">should </w:t>
      </w:r>
      <w:r w:rsidRPr="00384ADF">
        <w:rPr>
          <w:rFonts w:cs="Arial"/>
        </w:rPr>
        <w:t xml:space="preserve">be observable </w:t>
      </w:r>
      <w:r w:rsidR="00F36ED3" w:rsidRPr="00384ADF">
        <w:rPr>
          <w:rFonts w:cs="Arial"/>
        </w:rPr>
        <w:t>as existing</w:t>
      </w:r>
      <w:r w:rsidRPr="00384ADF">
        <w:rPr>
          <w:rFonts w:cs="Arial"/>
        </w:rPr>
        <w:t xml:space="preserve"> or </w:t>
      </w:r>
      <w:r w:rsidR="00F36ED3" w:rsidRPr="00384ADF">
        <w:rPr>
          <w:rFonts w:cs="Arial"/>
        </w:rPr>
        <w:t>having</w:t>
      </w:r>
      <w:r w:rsidRPr="00384ADF">
        <w:rPr>
          <w:rFonts w:cs="Arial"/>
        </w:rPr>
        <w:t xml:space="preserve"> </w:t>
      </w:r>
      <w:r w:rsidR="00CC36E8" w:rsidRPr="00384ADF">
        <w:rPr>
          <w:rFonts w:cs="Arial"/>
        </w:rPr>
        <w:t>occurred</w:t>
      </w:r>
      <w:r w:rsidRPr="00384ADF">
        <w:rPr>
          <w:rFonts w:cs="Arial"/>
        </w:rPr>
        <w:t xml:space="preserve">. It </w:t>
      </w:r>
      <w:r w:rsidR="0012195B" w:rsidRPr="00384ADF">
        <w:rPr>
          <w:rFonts w:cs="Arial"/>
        </w:rPr>
        <w:t xml:space="preserve">may </w:t>
      </w:r>
      <w:r w:rsidRPr="00384ADF">
        <w:rPr>
          <w:rFonts w:cs="Arial"/>
        </w:rPr>
        <w:t>be argued that customer satisfaction may take many forms, and its identifiability as a</w:t>
      </w:r>
      <w:r w:rsidR="00796C5F" w:rsidRPr="00384ADF">
        <w:rPr>
          <w:rFonts w:cs="Arial"/>
        </w:rPr>
        <w:t>n</w:t>
      </w:r>
      <w:r w:rsidRPr="00384ADF">
        <w:rPr>
          <w:rFonts w:cs="Arial"/>
        </w:rPr>
        <w:t xml:space="preserve"> </w:t>
      </w:r>
      <w:r w:rsidR="00CC36E8" w:rsidRPr="00384ADF">
        <w:rPr>
          <w:rFonts w:cs="Arial"/>
        </w:rPr>
        <w:t>underlying subject matter</w:t>
      </w:r>
      <w:r w:rsidRPr="00384ADF">
        <w:rPr>
          <w:rFonts w:cs="Arial"/>
        </w:rPr>
        <w:t xml:space="preserve"> may not be immediately apparent. However, if the </w:t>
      </w:r>
      <w:r w:rsidR="00CC36E8" w:rsidRPr="00384ADF">
        <w:rPr>
          <w:rFonts w:cs="Arial"/>
        </w:rPr>
        <w:t>practitioner</w:t>
      </w:r>
      <w:r w:rsidRPr="00384ADF">
        <w:rPr>
          <w:rFonts w:cs="Arial"/>
        </w:rPr>
        <w:t xml:space="preserve"> notes that the </w:t>
      </w:r>
      <w:r w:rsidR="00CC36E8" w:rsidRPr="00384ADF">
        <w:rPr>
          <w:rFonts w:cs="Arial"/>
        </w:rPr>
        <w:t xml:space="preserve">underlying </w:t>
      </w:r>
      <w:r w:rsidRPr="00384ADF">
        <w:rPr>
          <w:rFonts w:cs="Arial"/>
        </w:rPr>
        <w:t>subject matter of customer satisfaction</w:t>
      </w:r>
      <w:r w:rsidR="00C41AF4" w:rsidRPr="00384ADF">
        <w:rPr>
          <w:rFonts w:cs="Arial"/>
        </w:rPr>
        <w:t>,</w:t>
      </w:r>
      <w:r w:rsidRPr="00384ADF">
        <w:rPr>
          <w:rFonts w:cs="Arial"/>
        </w:rPr>
        <w:t xml:space="preserve"> in this case</w:t>
      </w:r>
      <w:r w:rsidR="00C41AF4" w:rsidRPr="00384ADF">
        <w:rPr>
          <w:rFonts w:cs="Arial"/>
        </w:rPr>
        <w:t>,</w:t>
      </w:r>
      <w:r w:rsidRPr="00384ADF">
        <w:rPr>
          <w:rFonts w:cs="Arial"/>
        </w:rPr>
        <w:t xml:space="preserve"> </w:t>
      </w:r>
      <w:r w:rsidR="00932B78" w:rsidRPr="00384ADF">
        <w:rPr>
          <w:rFonts w:cs="Arial"/>
        </w:rPr>
        <w:t>is interpreted</w:t>
      </w:r>
      <w:r w:rsidRPr="00384ADF">
        <w:rPr>
          <w:rFonts w:cs="Arial"/>
        </w:rPr>
        <w:t xml:space="preserve"> as the </w:t>
      </w:r>
      <w:r w:rsidR="00C35123" w:rsidRPr="00384ADF">
        <w:rPr>
          <w:rFonts w:cs="Arial"/>
        </w:rPr>
        <w:t xml:space="preserve">number </w:t>
      </w:r>
      <w:r w:rsidRPr="00384ADF">
        <w:rPr>
          <w:rFonts w:cs="Arial"/>
        </w:rPr>
        <w:t>of customer complaints</w:t>
      </w:r>
      <w:r w:rsidR="00CC36E8" w:rsidRPr="00384ADF">
        <w:rPr>
          <w:rFonts w:cs="Arial"/>
        </w:rPr>
        <w:t xml:space="preserve"> resolved</w:t>
      </w:r>
      <w:r w:rsidR="00C35123" w:rsidRPr="00384ADF">
        <w:rPr>
          <w:rFonts w:cs="Arial"/>
        </w:rPr>
        <w:t xml:space="preserve"> to the acknowledged satisfaction of the customer</w:t>
      </w:r>
      <w:r w:rsidRPr="00384ADF">
        <w:rPr>
          <w:rFonts w:cs="Arial"/>
        </w:rPr>
        <w:t xml:space="preserve">, </w:t>
      </w:r>
      <w:r w:rsidR="00C41AF4" w:rsidRPr="00384ADF">
        <w:rPr>
          <w:rFonts w:cs="Arial"/>
        </w:rPr>
        <w:t>this</w:t>
      </w:r>
      <w:r w:rsidRPr="00384ADF">
        <w:rPr>
          <w:rFonts w:cs="Arial"/>
        </w:rPr>
        <w:t xml:space="preserve"> </w:t>
      </w:r>
      <w:r w:rsidR="00CC36E8" w:rsidRPr="00384ADF">
        <w:rPr>
          <w:rFonts w:cs="Arial"/>
        </w:rPr>
        <w:t xml:space="preserve">assists </w:t>
      </w:r>
      <w:r w:rsidR="00A83F83" w:rsidRPr="00384ADF">
        <w:rPr>
          <w:rFonts w:cs="Arial"/>
        </w:rPr>
        <w:t xml:space="preserve">with </w:t>
      </w:r>
      <w:r w:rsidRPr="00384ADF">
        <w:rPr>
          <w:rFonts w:cs="Arial"/>
        </w:rPr>
        <w:t xml:space="preserve">the identifiability question because customer complaints </w:t>
      </w:r>
      <w:r w:rsidR="0012195B" w:rsidRPr="00384ADF">
        <w:rPr>
          <w:rFonts w:cs="Arial"/>
        </w:rPr>
        <w:t xml:space="preserve">may </w:t>
      </w:r>
      <w:r w:rsidRPr="00384ADF">
        <w:rPr>
          <w:rFonts w:cs="Arial"/>
        </w:rPr>
        <w:t>be identified and observed through</w:t>
      </w:r>
      <w:r w:rsidR="00CC36E8" w:rsidRPr="00384ADF">
        <w:rPr>
          <w:rFonts w:cs="Arial"/>
        </w:rPr>
        <w:t xml:space="preserve"> the</w:t>
      </w:r>
      <w:r w:rsidRPr="00384ADF">
        <w:rPr>
          <w:rFonts w:cs="Arial"/>
        </w:rPr>
        <w:t xml:space="preserve"> records</w:t>
      </w:r>
      <w:r w:rsidR="00CC36E8" w:rsidRPr="00384ADF">
        <w:rPr>
          <w:rFonts w:cs="Arial"/>
        </w:rPr>
        <w:t xml:space="preserve"> of customer complaints</w:t>
      </w:r>
      <w:r w:rsidRPr="00384ADF">
        <w:rPr>
          <w:rFonts w:cs="Arial"/>
        </w:rPr>
        <w:t xml:space="preserve">. However, if the reporting </w:t>
      </w:r>
      <w:r w:rsidR="00CC36E8" w:rsidRPr="00384ADF">
        <w:rPr>
          <w:rFonts w:cs="Arial"/>
        </w:rPr>
        <w:t xml:space="preserve">entity requests </w:t>
      </w:r>
      <w:r w:rsidRPr="00384ADF">
        <w:rPr>
          <w:rFonts w:cs="Arial"/>
        </w:rPr>
        <w:t xml:space="preserve">the </w:t>
      </w:r>
      <w:r w:rsidR="00CC36E8" w:rsidRPr="00384ADF">
        <w:rPr>
          <w:rFonts w:cs="Arial"/>
        </w:rPr>
        <w:t>practitioner</w:t>
      </w:r>
      <w:r w:rsidRPr="00384ADF">
        <w:rPr>
          <w:rFonts w:cs="Arial"/>
        </w:rPr>
        <w:t xml:space="preserve"> to</w:t>
      </w:r>
      <w:r w:rsidR="00E07053" w:rsidRPr="00384ADF">
        <w:rPr>
          <w:rFonts w:cs="Arial"/>
        </w:rPr>
        <w:t>, for example,</w:t>
      </w:r>
      <w:r w:rsidRPr="00384ADF">
        <w:rPr>
          <w:rFonts w:cs="Arial"/>
        </w:rPr>
        <w:t xml:space="preserve"> assure a statement</w:t>
      </w:r>
      <w:r w:rsidR="00E07053" w:rsidRPr="00384ADF">
        <w:rPr>
          <w:rFonts w:cs="Arial"/>
        </w:rPr>
        <w:t xml:space="preserve"> that</w:t>
      </w:r>
      <w:r w:rsidRPr="00384ADF">
        <w:rPr>
          <w:rFonts w:cs="Arial"/>
        </w:rPr>
        <w:t xml:space="preserve"> </w:t>
      </w:r>
      <w:r w:rsidR="00E07053" w:rsidRPr="00384ADF">
        <w:rPr>
          <w:rFonts w:cs="Arial"/>
        </w:rPr>
        <w:t xml:space="preserve">reporting entity </w:t>
      </w:r>
      <w:r w:rsidRPr="00384ADF">
        <w:rPr>
          <w:rFonts w:cs="Arial"/>
        </w:rPr>
        <w:t xml:space="preserve">X has the highest level of customer satisfaction in its industry, the identifiability </w:t>
      </w:r>
      <w:r w:rsidR="00E07053" w:rsidRPr="00384ADF">
        <w:rPr>
          <w:rFonts w:cs="Arial"/>
        </w:rPr>
        <w:t xml:space="preserve">of the underlying subject matter </w:t>
      </w:r>
      <w:r w:rsidR="00AC045A" w:rsidRPr="00384ADF">
        <w:rPr>
          <w:rFonts w:cs="Arial"/>
        </w:rPr>
        <w:t xml:space="preserve">may be </w:t>
      </w:r>
      <w:r w:rsidR="00E07053" w:rsidRPr="00384ADF">
        <w:rPr>
          <w:rFonts w:cs="Arial"/>
        </w:rPr>
        <w:t>challenging</w:t>
      </w:r>
      <w:r w:rsidRPr="00384ADF">
        <w:rPr>
          <w:rFonts w:cs="Arial"/>
        </w:rPr>
        <w:t xml:space="preserve">. In this </w:t>
      </w:r>
      <w:r w:rsidR="00E07053" w:rsidRPr="00384ADF">
        <w:rPr>
          <w:rFonts w:cs="Arial"/>
        </w:rPr>
        <w:t>case</w:t>
      </w:r>
      <w:r w:rsidRPr="00384ADF">
        <w:rPr>
          <w:rFonts w:cs="Arial"/>
        </w:rPr>
        <w:t xml:space="preserve">, the </w:t>
      </w:r>
      <w:r w:rsidR="00E07053" w:rsidRPr="00384ADF">
        <w:rPr>
          <w:rFonts w:cs="Arial"/>
        </w:rPr>
        <w:t>practitioner</w:t>
      </w:r>
      <w:r w:rsidRPr="00384ADF">
        <w:rPr>
          <w:rFonts w:cs="Arial"/>
        </w:rPr>
        <w:t xml:space="preserve"> </w:t>
      </w:r>
      <w:r w:rsidR="00AC045A" w:rsidRPr="00384ADF">
        <w:rPr>
          <w:rFonts w:cs="Arial"/>
        </w:rPr>
        <w:t xml:space="preserve">may </w:t>
      </w:r>
      <w:r w:rsidRPr="00384ADF">
        <w:rPr>
          <w:rFonts w:cs="Arial"/>
        </w:rPr>
        <w:t xml:space="preserve">not have enough information to identify the actual </w:t>
      </w:r>
      <w:r w:rsidR="00E07053" w:rsidRPr="00384ADF">
        <w:rPr>
          <w:rFonts w:cs="Arial"/>
        </w:rPr>
        <w:t xml:space="preserve">underlying </w:t>
      </w:r>
      <w:r w:rsidRPr="00384ADF">
        <w:rPr>
          <w:rFonts w:cs="Arial"/>
        </w:rPr>
        <w:t xml:space="preserve">subject matter. The </w:t>
      </w:r>
      <w:r w:rsidR="00E07053" w:rsidRPr="00384ADF">
        <w:rPr>
          <w:rFonts w:cs="Arial"/>
        </w:rPr>
        <w:t>practitioner</w:t>
      </w:r>
      <w:r w:rsidRPr="00384ADF">
        <w:rPr>
          <w:rFonts w:cs="Arial"/>
        </w:rPr>
        <w:t xml:space="preserve"> </w:t>
      </w:r>
      <w:r w:rsidR="00D4047E" w:rsidRPr="00384ADF">
        <w:rPr>
          <w:rFonts w:cs="Arial"/>
        </w:rPr>
        <w:t>may</w:t>
      </w:r>
      <w:r w:rsidR="00AC045A" w:rsidRPr="00384ADF">
        <w:rPr>
          <w:rFonts w:cs="Arial"/>
        </w:rPr>
        <w:t xml:space="preserve"> </w:t>
      </w:r>
      <w:r w:rsidRPr="00384ADF">
        <w:rPr>
          <w:rFonts w:cs="Arial"/>
        </w:rPr>
        <w:t xml:space="preserve">have </w:t>
      </w:r>
      <w:r w:rsidR="00AC045A" w:rsidRPr="00384ADF">
        <w:rPr>
          <w:rFonts w:cs="Arial"/>
        </w:rPr>
        <w:t xml:space="preserve">difficulty in </w:t>
      </w:r>
      <w:r w:rsidRPr="00384ADF">
        <w:rPr>
          <w:rFonts w:cs="Arial"/>
        </w:rPr>
        <w:t xml:space="preserve">identifying </w:t>
      </w:r>
      <w:r w:rsidR="00796C5F" w:rsidRPr="00384ADF">
        <w:rPr>
          <w:rFonts w:cs="Arial"/>
        </w:rPr>
        <w:t xml:space="preserve">the </w:t>
      </w:r>
      <w:r w:rsidRPr="00384ADF">
        <w:rPr>
          <w:rFonts w:cs="Arial"/>
        </w:rPr>
        <w:t xml:space="preserve">specific aspect of customer satisfaction that </w:t>
      </w:r>
      <w:r w:rsidR="00D4047E" w:rsidRPr="00384ADF">
        <w:rPr>
          <w:rFonts w:cs="Arial"/>
        </w:rPr>
        <w:t>may</w:t>
      </w:r>
      <w:r w:rsidR="00AC045A" w:rsidRPr="00384ADF">
        <w:rPr>
          <w:rFonts w:cs="Arial"/>
        </w:rPr>
        <w:t xml:space="preserve"> </w:t>
      </w:r>
      <w:r w:rsidRPr="00384ADF">
        <w:rPr>
          <w:rFonts w:cs="Arial"/>
        </w:rPr>
        <w:t xml:space="preserve">be said to be better than </w:t>
      </w:r>
      <w:r w:rsidR="00E07053" w:rsidRPr="00384ADF">
        <w:rPr>
          <w:rFonts w:cs="Arial"/>
        </w:rPr>
        <w:t xml:space="preserve">reporting entity X’s </w:t>
      </w:r>
      <w:r w:rsidRPr="00384ADF">
        <w:rPr>
          <w:rFonts w:cs="Arial"/>
        </w:rPr>
        <w:t>competitors</w:t>
      </w:r>
      <w:r w:rsidR="00AC045A" w:rsidRPr="00384ADF">
        <w:rPr>
          <w:rFonts w:cs="Arial"/>
        </w:rPr>
        <w:t>, i.e. one entity’s definition of customer satisfaction compared to that of another entity</w:t>
      </w:r>
      <w:r w:rsidRPr="00384ADF">
        <w:rPr>
          <w:rFonts w:cs="Arial"/>
        </w:rPr>
        <w:t xml:space="preserve">. Customer satisfaction </w:t>
      </w:r>
      <w:r w:rsidR="00D4047E" w:rsidRPr="00384ADF">
        <w:rPr>
          <w:rFonts w:cs="Arial"/>
        </w:rPr>
        <w:t xml:space="preserve">may </w:t>
      </w:r>
      <w:r w:rsidRPr="00384ADF">
        <w:rPr>
          <w:rFonts w:cs="Arial"/>
        </w:rPr>
        <w:t>be</w:t>
      </w:r>
      <w:r w:rsidR="00B2426D" w:rsidRPr="00384ADF">
        <w:rPr>
          <w:rFonts w:cs="Arial"/>
        </w:rPr>
        <w:t xml:space="preserve"> interpreted as</w:t>
      </w:r>
      <w:r w:rsidR="00796C5F" w:rsidRPr="00384ADF">
        <w:rPr>
          <w:rFonts w:cs="Arial"/>
        </w:rPr>
        <w:t xml:space="preserve"> the number of</w:t>
      </w:r>
      <w:r w:rsidRPr="00384ADF">
        <w:rPr>
          <w:rFonts w:cs="Arial"/>
        </w:rPr>
        <w:t xml:space="preserve"> repeat purchases</w:t>
      </w:r>
      <w:r w:rsidR="00796C5F" w:rsidRPr="00384ADF">
        <w:rPr>
          <w:rFonts w:cs="Arial"/>
        </w:rPr>
        <w:t xml:space="preserve"> in the three months following the initial purchase</w:t>
      </w:r>
      <w:r w:rsidRPr="00384ADF">
        <w:rPr>
          <w:rFonts w:cs="Arial"/>
        </w:rPr>
        <w:t xml:space="preserve">, </w:t>
      </w:r>
      <w:r w:rsidR="00E07053" w:rsidRPr="00384ADF">
        <w:rPr>
          <w:rFonts w:cs="Arial"/>
        </w:rPr>
        <w:t xml:space="preserve">customer </w:t>
      </w:r>
      <w:r w:rsidRPr="00384ADF">
        <w:rPr>
          <w:rFonts w:cs="Arial"/>
        </w:rPr>
        <w:t xml:space="preserve">complaints </w:t>
      </w:r>
      <w:r w:rsidR="00E07053" w:rsidRPr="00384ADF">
        <w:rPr>
          <w:rFonts w:cs="Arial"/>
        </w:rPr>
        <w:t>resolved</w:t>
      </w:r>
      <w:r w:rsidR="00796C5F" w:rsidRPr="00384ADF">
        <w:rPr>
          <w:rFonts w:cs="Arial"/>
        </w:rPr>
        <w:t xml:space="preserve"> to the acknowledged satisfaction of the customer</w:t>
      </w:r>
      <w:r w:rsidR="00E07053" w:rsidRPr="00384ADF">
        <w:rPr>
          <w:rFonts w:cs="Arial"/>
        </w:rPr>
        <w:t xml:space="preserve"> </w:t>
      </w:r>
      <w:r w:rsidRPr="00384ADF">
        <w:rPr>
          <w:rFonts w:cs="Arial"/>
        </w:rPr>
        <w:t>or any other measurement. Without the detail of the</w:t>
      </w:r>
      <w:r w:rsidR="00294026" w:rsidRPr="00384ADF">
        <w:rPr>
          <w:rFonts w:cs="Arial"/>
        </w:rPr>
        <w:t xml:space="preserve"> measurement or evaluation</w:t>
      </w:r>
      <w:r w:rsidRPr="00384ADF">
        <w:rPr>
          <w:rFonts w:cs="Arial"/>
        </w:rPr>
        <w:t xml:space="preserve"> </w:t>
      </w:r>
      <w:r w:rsidR="00E07053" w:rsidRPr="00384ADF">
        <w:rPr>
          <w:rFonts w:cs="Arial"/>
        </w:rPr>
        <w:t>criteria</w:t>
      </w:r>
      <w:r w:rsidRPr="00384ADF">
        <w:rPr>
          <w:rFonts w:cs="Arial"/>
        </w:rPr>
        <w:t xml:space="preserve">, the identifiability requirement </w:t>
      </w:r>
      <w:r w:rsidR="0012195B" w:rsidRPr="00384ADF">
        <w:rPr>
          <w:rFonts w:cs="Arial"/>
        </w:rPr>
        <w:t xml:space="preserve">may not </w:t>
      </w:r>
      <w:r w:rsidRPr="00384ADF">
        <w:rPr>
          <w:rFonts w:cs="Arial"/>
        </w:rPr>
        <w:t>be met.</w:t>
      </w:r>
    </w:p>
    <w:p w14:paraId="43E07E5E" w14:textId="0D330C66" w:rsidR="00994EA1" w:rsidRPr="00384ADF" w:rsidRDefault="00CD346C" w:rsidP="005279E7">
      <w:pPr>
        <w:pStyle w:val="NumList"/>
        <w:numPr>
          <w:ilvl w:val="1"/>
          <w:numId w:val="2"/>
        </w:numPr>
        <w:spacing w:line="312" w:lineRule="auto"/>
        <w:ind w:hanging="425"/>
      </w:pPr>
      <w:r w:rsidRPr="00384ADF">
        <w:rPr>
          <w:rFonts w:cs="Arial"/>
          <w:i/>
        </w:rPr>
        <w:t>Capable of c</w:t>
      </w:r>
      <w:r w:rsidR="00501922" w:rsidRPr="00384ADF">
        <w:rPr>
          <w:rFonts w:cs="Arial"/>
          <w:i/>
        </w:rPr>
        <w:t>onsistent measurement or evaluation:</w:t>
      </w:r>
      <w:r w:rsidR="00501922" w:rsidRPr="00384ADF">
        <w:rPr>
          <w:rFonts w:cs="Arial"/>
        </w:rPr>
        <w:t xml:space="preserve"> In the case of</w:t>
      </w:r>
      <w:r w:rsidR="00E07053" w:rsidRPr="00384ADF">
        <w:rPr>
          <w:rFonts w:cs="Arial"/>
        </w:rPr>
        <w:t xml:space="preserve"> the </w:t>
      </w:r>
      <w:r w:rsidR="00C35123" w:rsidRPr="00384ADF">
        <w:rPr>
          <w:rFonts w:cs="Arial"/>
        </w:rPr>
        <w:t xml:space="preserve">number </w:t>
      </w:r>
      <w:r w:rsidR="00E07053" w:rsidRPr="00384ADF">
        <w:rPr>
          <w:rFonts w:cs="Arial"/>
        </w:rPr>
        <w:t>of</w:t>
      </w:r>
      <w:r w:rsidR="00501922" w:rsidRPr="00384ADF">
        <w:rPr>
          <w:rFonts w:cs="Arial"/>
        </w:rPr>
        <w:t xml:space="preserve"> customer complaints</w:t>
      </w:r>
      <w:r w:rsidR="00E07053" w:rsidRPr="00384ADF">
        <w:rPr>
          <w:rFonts w:cs="Arial"/>
        </w:rPr>
        <w:t xml:space="preserve"> resolved</w:t>
      </w:r>
      <w:r w:rsidR="00C35123" w:rsidRPr="00384ADF">
        <w:rPr>
          <w:rFonts w:cs="Arial"/>
        </w:rPr>
        <w:t xml:space="preserve"> to the acknowledged satisfaction of the customer</w:t>
      </w:r>
      <w:r w:rsidR="00501922" w:rsidRPr="00384ADF">
        <w:rPr>
          <w:rFonts w:cs="Arial"/>
        </w:rPr>
        <w:t xml:space="preserve">, it </w:t>
      </w:r>
      <w:r w:rsidR="00D4047E" w:rsidRPr="00384ADF">
        <w:rPr>
          <w:rFonts w:cs="Arial"/>
        </w:rPr>
        <w:t xml:space="preserve">may </w:t>
      </w:r>
      <w:r w:rsidR="00501922" w:rsidRPr="00384ADF">
        <w:rPr>
          <w:rFonts w:cs="Arial"/>
        </w:rPr>
        <w:t xml:space="preserve">be said that </w:t>
      </w:r>
      <w:r w:rsidR="00540CB2" w:rsidRPr="00384ADF">
        <w:rPr>
          <w:rFonts w:cs="Arial"/>
        </w:rPr>
        <w:t xml:space="preserve">this </w:t>
      </w:r>
      <w:r w:rsidR="00796C5F" w:rsidRPr="00384ADF">
        <w:rPr>
          <w:rFonts w:cs="Arial"/>
        </w:rPr>
        <w:t>i</w:t>
      </w:r>
      <w:r w:rsidR="00501922" w:rsidRPr="00384ADF">
        <w:rPr>
          <w:rFonts w:cs="Arial"/>
        </w:rPr>
        <w:t>s capable of consistent measurement or evaluation if a complaint</w:t>
      </w:r>
      <w:r w:rsidR="00501922" w:rsidRPr="00384ADF">
        <w:t xml:space="preserve"> is well defined and understood. The </w:t>
      </w:r>
      <w:r w:rsidR="00E07053" w:rsidRPr="00384ADF">
        <w:t xml:space="preserve">underlying subject matter </w:t>
      </w:r>
      <w:r w:rsidR="001F3237" w:rsidRPr="00384ADF">
        <w:t xml:space="preserve">should </w:t>
      </w:r>
      <w:r w:rsidR="00501922" w:rsidRPr="00384ADF">
        <w:t xml:space="preserve">also be observable to </w:t>
      </w:r>
      <w:r w:rsidR="00454316" w:rsidRPr="00384ADF">
        <w:t xml:space="preserve">the </w:t>
      </w:r>
      <w:r w:rsidR="00501922" w:rsidRPr="00384ADF">
        <w:t>extent that</w:t>
      </w:r>
      <w:r w:rsidR="00810405" w:rsidRPr="00384ADF">
        <w:t xml:space="preserve"> it</w:t>
      </w:r>
      <w:r w:rsidR="00501922" w:rsidRPr="00384ADF">
        <w:t xml:space="preserve"> allows consistent measurement</w:t>
      </w:r>
      <w:r w:rsidR="00B53A95" w:rsidRPr="00384ADF">
        <w:t xml:space="preserve"> or evaluation</w:t>
      </w:r>
      <w:r w:rsidR="00501922" w:rsidRPr="00384ADF">
        <w:t xml:space="preserve">. Considerations </w:t>
      </w:r>
      <w:r w:rsidR="00DA3000">
        <w:t>of</w:t>
      </w:r>
      <w:r w:rsidR="00DA3000" w:rsidRPr="00384ADF">
        <w:t xml:space="preserve"> </w:t>
      </w:r>
      <w:r w:rsidR="00501922" w:rsidRPr="00384ADF">
        <w:t xml:space="preserve">consistent measurement </w:t>
      </w:r>
      <w:r w:rsidR="0014228C" w:rsidRPr="00384ADF">
        <w:t xml:space="preserve">or </w:t>
      </w:r>
      <w:r w:rsidR="00501922" w:rsidRPr="00384ADF">
        <w:t xml:space="preserve">evaluation </w:t>
      </w:r>
      <w:r w:rsidR="0012195B" w:rsidRPr="00384ADF">
        <w:t xml:space="preserve">may </w:t>
      </w:r>
      <w:r w:rsidR="00501922" w:rsidRPr="00384ADF">
        <w:t xml:space="preserve">also </w:t>
      </w:r>
      <w:r w:rsidR="00E07053" w:rsidRPr="00384ADF">
        <w:t xml:space="preserve">assist </w:t>
      </w:r>
      <w:r w:rsidR="00501922" w:rsidRPr="00384ADF">
        <w:t>if consensus exist</w:t>
      </w:r>
      <w:r w:rsidR="00E07053" w:rsidRPr="00384ADF">
        <w:t>s</w:t>
      </w:r>
      <w:r w:rsidR="00501922" w:rsidRPr="00384ADF">
        <w:t xml:space="preserve"> around methodologies to measure </w:t>
      </w:r>
      <w:r w:rsidR="00A62D89" w:rsidRPr="00384ADF">
        <w:t xml:space="preserve">or </w:t>
      </w:r>
      <w:r w:rsidR="00501922" w:rsidRPr="00384ADF">
        <w:t xml:space="preserve">evaluate a specific </w:t>
      </w:r>
      <w:r w:rsidR="00E07053" w:rsidRPr="00384ADF">
        <w:t>underlying subject matter</w:t>
      </w:r>
      <w:r w:rsidR="00501922" w:rsidRPr="00384ADF">
        <w:t xml:space="preserve">. It </w:t>
      </w:r>
      <w:r w:rsidR="003B5F3D" w:rsidRPr="00384ADF">
        <w:t xml:space="preserve">may </w:t>
      </w:r>
      <w:r w:rsidR="0003345B" w:rsidRPr="00384ADF">
        <w:t xml:space="preserve">then </w:t>
      </w:r>
      <w:r w:rsidR="00501922" w:rsidRPr="00384ADF">
        <w:t xml:space="preserve">appear as </w:t>
      </w:r>
      <w:r w:rsidR="0003345B" w:rsidRPr="00384ADF">
        <w:t>if</w:t>
      </w:r>
      <w:r w:rsidR="00501922" w:rsidRPr="00384ADF">
        <w:t xml:space="preserve"> a</w:t>
      </w:r>
      <w:r w:rsidR="00E07053" w:rsidRPr="00384ADF">
        <w:t>n</w:t>
      </w:r>
      <w:r w:rsidR="00501922" w:rsidRPr="00384ADF">
        <w:t xml:space="preserve"> </w:t>
      </w:r>
      <w:r w:rsidR="00E07053" w:rsidRPr="00384ADF">
        <w:t xml:space="preserve">underlying subject matter </w:t>
      </w:r>
      <w:r w:rsidR="00501922" w:rsidRPr="00384ADF">
        <w:t xml:space="preserve">that is identifiable should be capable of consistent measurement </w:t>
      </w:r>
      <w:r w:rsidR="0014228C" w:rsidRPr="00384ADF">
        <w:t xml:space="preserve">or </w:t>
      </w:r>
      <w:r w:rsidR="00501922" w:rsidRPr="00384ADF">
        <w:t>evaluation</w:t>
      </w:r>
      <w:r w:rsidR="00796C5F" w:rsidRPr="00384ADF">
        <w:t>. However</w:t>
      </w:r>
      <w:r w:rsidR="00501922" w:rsidRPr="00384ADF">
        <w:t xml:space="preserve">, even though there might </w:t>
      </w:r>
      <w:r w:rsidR="008B55DE" w:rsidRPr="00384ADF">
        <w:t xml:space="preserve">be </w:t>
      </w:r>
      <w:r w:rsidR="00501922" w:rsidRPr="00384ADF">
        <w:t>no</w:t>
      </w:r>
      <w:r w:rsidR="00CE60BB" w:rsidRPr="00384ADF">
        <w:t xml:space="preserve"> </w:t>
      </w:r>
      <w:r w:rsidR="00501922" w:rsidRPr="00384ADF">
        <w:t>dispute around the identifiability of a</w:t>
      </w:r>
      <w:r w:rsidR="00E07053" w:rsidRPr="00384ADF">
        <w:t>n</w:t>
      </w:r>
      <w:r w:rsidR="00501922" w:rsidRPr="00384ADF">
        <w:t xml:space="preserve"> </w:t>
      </w:r>
      <w:r w:rsidR="00E07053" w:rsidRPr="00384ADF">
        <w:t>underlying subject matter</w:t>
      </w:r>
      <w:r w:rsidR="00501922" w:rsidRPr="00384ADF">
        <w:t xml:space="preserve">, the method to consistently measure </w:t>
      </w:r>
      <w:r w:rsidR="00A62D89" w:rsidRPr="00384ADF">
        <w:t xml:space="preserve">or </w:t>
      </w:r>
      <w:r w:rsidR="00501922" w:rsidRPr="00384ADF">
        <w:t xml:space="preserve">evaluate </w:t>
      </w:r>
      <w:r w:rsidR="00796C5F" w:rsidRPr="00384ADF">
        <w:t xml:space="preserve">the underlying subject matter </w:t>
      </w:r>
      <w:r w:rsidR="00501922" w:rsidRPr="00384ADF">
        <w:t>may be disputed.</w:t>
      </w:r>
    </w:p>
    <w:tbl>
      <w:tblPr>
        <w:tblStyle w:val="TableGrid"/>
        <w:tblW w:w="0" w:type="auto"/>
        <w:tblLook w:val="04A0" w:firstRow="1" w:lastRow="0" w:firstColumn="1" w:lastColumn="0" w:noHBand="0" w:noVBand="1"/>
      </w:tblPr>
      <w:tblGrid>
        <w:gridCol w:w="704"/>
        <w:gridCol w:w="7599"/>
      </w:tblGrid>
      <w:tr w:rsidR="003E0A5D" w:rsidRPr="00384ADF" w14:paraId="21CB3384" w14:textId="77777777" w:rsidTr="00AD21D6">
        <w:trPr>
          <w:cantSplit/>
          <w:trHeight w:val="1134"/>
        </w:trPr>
        <w:tc>
          <w:tcPr>
            <w:tcW w:w="704" w:type="dxa"/>
            <w:shd w:val="clear" w:color="auto" w:fill="A6A6A6" w:themeFill="background1" w:themeFillShade="A6"/>
            <w:textDirection w:val="btLr"/>
          </w:tcPr>
          <w:p w14:paraId="2ED8D6E3" w14:textId="60753C7A" w:rsidR="003E0A5D" w:rsidRPr="00AD21D6" w:rsidRDefault="003E0A5D" w:rsidP="00AD21D6">
            <w:pPr>
              <w:pStyle w:val="NumList"/>
              <w:numPr>
                <w:ilvl w:val="0"/>
                <w:numId w:val="0"/>
              </w:numPr>
              <w:spacing w:line="312" w:lineRule="auto"/>
              <w:ind w:left="113" w:right="113"/>
              <w:jc w:val="center"/>
              <w:rPr>
                <w:b/>
                <w:color w:val="FFFFFF" w:themeColor="background1"/>
              </w:rPr>
            </w:pPr>
            <w:r>
              <w:rPr>
                <w:b/>
                <w:color w:val="FFFFFF" w:themeColor="background1"/>
              </w:rPr>
              <w:t>Considerations for the Practitioner</w:t>
            </w:r>
          </w:p>
        </w:tc>
        <w:tc>
          <w:tcPr>
            <w:tcW w:w="7599" w:type="dxa"/>
            <w:shd w:val="clear" w:color="auto" w:fill="F2F2F2" w:themeFill="background1" w:themeFillShade="F2"/>
          </w:tcPr>
          <w:p w14:paraId="4A3C60CD" w14:textId="77777777" w:rsidR="003E0A5D" w:rsidRDefault="003E0A5D" w:rsidP="001E4F3B">
            <w:pPr>
              <w:spacing w:line="312" w:lineRule="auto"/>
              <w:rPr>
                <w:rFonts w:cs="Arial"/>
              </w:rPr>
            </w:pPr>
            <w:r>
              <w:rPr>
                <w:rFonts w:cs="Arial"/>
              </w:rPr>
              <w:t>The following considerations include questions that are designed to illustrate how the practitioner may determine whether the underlying subject matter is appropriate.</w:t>
            </w:r>
          </w:p>
          <w:p w14:paraId="5BF04C01" w14:textId="38F92CE7" w:rsidR="003E0A5D" w:rsidRPr="00384ADF" w:rsidRDefault="003E0A5D" w:rsidP="001E4F3B">
            <w:pPr>
              <w:spacing w:line="312" w:lineRule="auto"/>
              <w:rPr>
                <w:rFonts w:cs="Arial"/>
              </w:rPr>
            </w:pPr>
            <w:r w:rsidRPr="00384ADF">
              <w:rPr>
                <w:rFonts w:cs="Arial"/>
              </w:rPr>
              <w:t xml:space="preserve">Given the nature of the subject matter information, is the underlying subject matter: </w:t>
            </w:r>
          </w:p>
          <w:p w14:paraId="2CA09B14" w14:textId="3628509F" w:rsidR="003E0A5D" w:rsidRPr="00384ADF" w:rsidRDefault="003E0A5D" w:rsidP="00AD21D6">
            <w:pPr>
              <w:pStyle w:val="ListParagraph"/>
              <w:numPr>
                <w:ilvl w:val="0"/>
                <w:numId w:val="47"/>
              </w:numPr>
              <w:spacing w:line="312" w:lineRule="auto"/>
              <w:rPr>
                <w:rFonts w:cs="Arial"/>
              </w:rPr>
            </w:pPr>
            <w:r w:rsidRPr="00384ADF">
              <w:rPr>
                <w:rFonts w:cs="Arial"/>
              </w:rPr>
              <w:t>Clearly identifiable?</w:t>
            </w:r>
          </w:p>
          <w:p w14:paraId="43A9AA58" w14:textId="04544451" w:rsidR="003E0A5D" w:rsidRPr="00384ADF" w:rsidRDefault="003E0A5D" w:rsidP="00AD21D6">
            <w:pPr>
              <w:pStyle w:val="ListParagraph"/>
              <w:widowControl/>
              <w:numPr>
                <w:ilvl w:val="0"/>
                <w:numId w:val="48"/>
              </w:numPr>
              <w:autoSpaceDE/>
              <w:autoSpaceDN/>
              <w:adjustRightInd/>
              <w:spacing w:line="312" w:lineRule="auto"/>
              <w:ind w:left="1310" w:hanging="425"/>
              <w:rPr>
                <w:rFonts w:cs="Arial"/>
              </w:rPr>
            </w:pPr>
            <w:r w:rsidRPr="00384ADF">
              <w:rPr>
                <w:rFonts w:cs="Arial"/>
              </w:rPr>
              <w:t>Is it observable as existing or having occurred?</w:t>
            </w:r>
          </w:p>
          <w:p w14:paraId="028A746A" w14:textId="312B0408" w:rsidR="003E0A5D" w:rsidRPr="00384ADF" w:rsidRDefault="003E0A5D" w:rsidP="00AD21D6">
            <w:pPr>
              <w:pStyle w:val="ListParagraph"/>
              <w:widowControl/>
              <w:numPr>
                <w:ilvl w:val="0"/>
                <w:numId w:val="48"/>
              </w:numPr>
              <w:autoSpaceDE/>
              <w:autoSpaceDN/>
              <w:adjustRightInd/>
              <w:spacing w:line="312" w:lineRule="auto"/>
              <w:ind w:left="1310" w:hanging="425"/>
              <w:rPr>
                <w:rFonts w:cs="Arial"/>
              </w:rPr>
            </w:pPr>
            <w:r w:rsidRPr="00384ADF">
              <w:rPr>
                <w:rFonts w:cs="Arial"/>
              </w:rPr>
              <w:t>Is it sufficiently specific?</w:t>
            </w:r>
          </w:p>
          <w:p w14:paraId="5A466399" w14:textId="6677B38C" w:rsidR="003E0A5D" w:rsidRPr="00384ADF" w:rsidRDefault="003E0A5D" w:rsidP="001E4F3B">
            <w:pPr>
              <w:widowControl/>
              <w:autoSpaceDE/>
              <w:autoSpaceDN/>
              <w:adjustRightInd/>
              <w:spacing w:line="312" w:lineRule="auto"/>
              <w:ind w:left="774"/>
              <w:rPr>
                <w:rFonts w:cs="Arial"/>
              </w:rPr>
            </w:pPr>
            <w:r w:rsidRPr="00384ADF">
              <w:rPr>
                <w:rFonts w:cs="Arial"/>
              </w:rPr>
              <w:t>AND:</w:t>
            </w:r>
          </w:p>
          <w:p w14:paraId="7F69803D" w14:textId="411CD5FC" w:rsidR="003E0A5D" w:rsidRPr="00384ADF" w:rsidRDefault="003E0A5D" w:rsidP="00AD21D6">
            <w:pPr>
              <w:pStyle w:val="ListParagraph"/>
              <w:numPr>
                <w:ilvl w:val="0"/>
                <w:numId w:val="47"/>
              </w:numPr>
              <w:spacing w:line="312" w:lineRule="auto"/>
            </w:pPr>
            <w:r w:rsidRPr="00384ADF">
              <w:rPr>
                <w:rFonts w:cs="Arial"/>
              </w:rPr>
              <w:t>C</w:t>
            </w:r>
            <w:r w:rsidRPr="00384ADF">
              <w:t>apable of consistent measurement or evaluation?</w:t>
            </w:r>
          </w:p>
          <w:p w14:paraId="1721EC34" w14:textId="66E6B440" w:rsidR="003E0A5D" w:rsidRPr="00647652" w:rsidRDefault="003E0A5D" w:rsidP="00AD21D6">
            <w:pPr>
              <w:pStyle w:val="ListParagraph"/>
              <w:widowControl/>
              <w:numPr>
                <w:ilvl w:val="0"/>
                <w:numId w:val="48"/>
              </w:numPr>
              <w:autoSpaceDE/>
              <w:autoSpaceDN/>
              <w:adjustRightInd/>
              <w:spacing w:line="312" w:lineRule="auto"/>
              <w:ind w:left="1310" w:hanging="425"/>
              <w:rPr>
                <w:rFonts w:cs="Arial"/>
              </w:rPr>
            </w:pPr>
            <w:r w:rsidRPr="00384ADF">
              <w:rPr>
                <w:rFonts w:cs="Arial"/>
              </w:rPr>
              <w:t>Is there a methodology or basis to measure or evaluate the underlying subject matter, resulting in subject matter information that may be subjected to procedures to obtain sufficient appropriate evidence to support the assurance conclusion?</w:t>
            </w:r>
          </w:p>
          <w:p w14:paraId="1B7F6C37" w14:textId="0FE6CE9C" w:rsidR="003E0A5D" w:rsidRPr="00AD21D6" w:rsidRDefault="003E0A5D" w:rsidP="00AD21D6">
            <w:pPr>
              <w:pStyle w:val="ListParagraph"/>
              <w:widowControl/>
              <w:numPr>
                <w:ilvl w:val="0"/>
                <w:numId w:val="48"/>
              </w:numPr>
              <w:autoSpaceDE/>
              <w:autoSpaceDN/>
              <w:adjustRightInd/>
              <w:spacing w:line="312" w:lineRule="auto"/>
              <w:ind w:left="1310" w:hanging="425"/>
              <w:rPr>
                <w:rFonts w:cs="Arial"/>
              </w:rPr>
            </w:pPr>
            <w:r w:rsidRPr="00AD21D6">
              <w:rPr>
                <w:rFonts w:cs="Arial"/>
              </w:rPr>
              <w:t xml:space="preserve">Is the underlying subject matter observable to an extent that allows consistent measurement or evaluation? </w:t>
            </w:r>
          </w:p>
          <w:p w14:paraId="52FA9054" w14:textId="77777777" w:rsidR="003E0A5D" w:rsidRPr="00384ADF" w:rsidRDefault="003E0A5D" w:rsidP="00AD21D6">
            <w:pPr>
              <w:pStyle w:val="ListParagraph"/>
              <w:widowControl/>
              <w:numPr>
                <w:ilvl w:val="0"/>
                <w:numId w:val="48"/>
              </w:numPr>
              <w:autoSpaceDE/>
              <w:autoSpaceDN/>
              <w:adjustRightInd/>
              <w:spacing w:line="312" w:lineRule="auto"/>
              <w:ind w:left="1310" w:hanging="425"/>
            </w:pPr>
            <w:r w:rsidRPr="00AD21D6">
              <w:rPr>
                <w:rFonts w:cs="Arial"/>
              </w:rPr>
              <w:t>Other</w:t>
            </w:r>
            <w:r w:rsidRPr="00384ADF">
              <w:t xml:space="preserve"> considerations may include:</w:t>
            </w:r>
          </w:p>
          <w:p w14:paraId="5570C7AD" w14:textId="77777777" w:rsidR="003E0A5D" w:rsidRPr="00384ADF" w:rsidRDefault="003E0A5D" w:rsidP="001E4F3B">
            <w:pPr>
              <w:pStyle w:val="ListParagraph"/>
              <w:widowControl/>
              <w:numPr>
                <w:ilvl w:val="0"/>
                <w:numId w:val="10"/>
              </w:numPr>
              <w:autoSpaceDE/>
              <w:autoSpaceDN/>
              <w:adjustRightInd/>
              <w:spacing w:line="312" w:lineRule="auto"/>
            </w:pPr>
            <w:r w:rsidRPr="00384ADF">
              <w:t>Are there uncertainties associated with the underlying subject matter?</w:t>
            </w:r>
          </w:p>
          <w:p w14:paraId="14E14971" w14:textId="1BE4F543" w:rsidR="003E0A5D" w:rsidRPr="00384ADF" w:rsidRDefault="003E0A5D" w:rsidP="001E4F3B">
            <w:pPr>
              <w:pStyle w:val="ListParagraph"/>
              <w:widowControl/>
              <w:numPr>
                <w:ilvl w:val="0"/>
                <w:numId w:val="10"/>
              </w:numPr>
              <w:autoSpaceDE/>
              <w:autoSpaceDN/>
              <w:adjustRightInd/>
              <w:spacing w:line="312" w:lineRule="auto"/>
            </w:pPr>
            <w:r w:rsidRPr="00384ADF">
              <w:t>Are there qualitative versus quantitative, objective versus subjective, historical versus prospective aspects to the subject matter information, and do they relate to a point in time or cover a period?</w:t>
            </w:r>
          </w:p>
        </w:tc>
      </w:tr>
    </w:tbl>
    <w:p w14:paraId="20884DDA" w14:textId="77777777" w:rsidR="009926CE" w:rsidRPr="00384ADF" w:rsidRDefault="009926CE" w:rsidP="00743AD0">
      <w:pPr>
        <w:pStyle w:val="NumList"/>
        <w:numPr>
          <w:ilvl w:val="0"/>
          <w:numId w:val="0"/>
        </w:numPr>
        <w:spacing w:after="0" w:line="312" w:lineRule="auto"/>
      </w:pPr>
    </w:p>
    <w:p w14:paraId="54347C60" w14:textId="47C9AC35" w:rsidR="009D3D41" w:rsidRPr="00384ADF" w:rsidRDefault="004B739F" w:rsidP="00155539">
      <w:pPr>
        <w:pStyle w:val="Heading3"/>
        <w:widowControl/>
      </w:pPr>
      <w:bookmarkStart w:id="34" w:name="_Toc43704064"/>
      <w:r w:rsidRPr="00384ADF">
        <w:t xml:space="preserve">Step </w:t>
      </w:r>
      <w:r w:rsidR="00CC5161" w:rsidRPr="00384ADF">
        <w:t>2</w:t>
      </w:r>
      <w:r w:rsidRPr="00384ADF">
        <w:t>: Suitability of</w:t>
      </w:r>
      <w:r w:rsidR="009D3D41" w:rsidRPr="00384ADF">
        <w:t xml:space="preserve"> criteria</w:t>
      </w:r>
      <w:bookmarkEnd w:id="34"/>
      <w:r w:rsidR="009D3D41" w:rsidRPr="00384ADF">
        <w:t xml:space="preserve"> </w:t>
      </w:r>
    </w:p>
    <w:p w14:paraId="6078C1A2" w14:textId="1234A56A" w:rsidR="00B275B5" w:rsidRPr="00384ADF" w:rsidRDefault="00B275B5" w:rsidP="005279E7">
      <w:pPr>
        <w:pStyle w:val="NumList"/>
        <w:spacing w:line="312" w:lineRule="auto"/>
      </w:pPr>
      <w:r w:rsidRPr="00384ADF">
        <w:t>Suitable criteria exhibit the following characteristics</w:t>
      </w:r>
      <w:r w:rsidR="00814C6D" w:rsidRPr="00384ADF">
        <w:t>,</w:t>
      </w:r>
      <w:r w:rsidR="006D750D" w:rsidRPr="00384ADF">
        <w:t xml:space="preserve"> and the suitability of criteria for a particular engagement depends on whether they reflect these characteristics</w:t>
      </w:r>
      <w:r w:rsidRPr="00384ADF">
        <w:t>:</w:t>
      </w:r>
    </w:p>
    <w:p w14:paraId="13A94855" w14:textId="24659FCB" w:rsidR="00B275B5" w:rsidRPr="00384ADF" w:rsidRDefault="00B275B5" w:rsidP="005279E7">
      <w:pPr>
        <w:pStyle w:val="NumList"/>
        <w:numPr>
          <w:ilvl w:val="1"/>
          <w:numId w:val="4"/>
        </w:numPr>
        <w:spacing w:line="312" w:lineRule="auto"/>
        <w:ind w:hanging="425"/>
        <w:rPr>
          <w:rFonts w:cs="Arial"/>
        </w:rPr>
      </w:pPr>
      <w:r w:rsidRPr="00384ADF">
        <w:rPr>
          <w:rFonts w:cs="Arial"/>
          <w:i/>
        </w:rPr>
        <w:t>Relevance:</w:t>
      </w:r>
      <w:r w:rsidRPr="00384ADF">
        <w:rPr>
          <w:rFonts w:cs="Arial"/>
        </w:rPr>
        <w:t xml:space="preserve"> Relevant criteria result in subject matter information that assists decision-making by the intended users</w:t>
      </w:r>
      <w:r w:rsidR="000A2D99" w:rsidRPr="00384ADF">
        <w:rPr>
          <w:rFonts w:cs="Arial"/>
        </w:rPr>
        <w:t xml:space="preserve"> of the subject matter </w:t>
      </w:r>
      <w:r w:rsidR="00F96A56" w:rsidRPr="00384ADF">
        <w:rPr>
          <w:rFonts w:cs="Arial"/>
        </w:rPr>
        <w:t>information</w:t>
      </w:r>
      <w:r w:rsidRPr="00384ADF">
        <w:rPr>
          <w:rFonts w:cs="Arial"/>
        </w:rPr>
        <w:t>.</w:t>
      </w:r>
    </w:p>
    <w:p w14:paraId="6048AE9B" w14:textId="48A5A0AF" w:rsidR="00B275B5" w:rsidRPr="00384ADF" w:rsidRDefault="00B275B5" w:rsidP="005279E7">
      <w:pPr>
        <w:pStyle w:val="NumList"/>
        <w:numPr>
          <w:ilvl w:val="1"/>
          <w:numId w:val="4"/>
        </w:numPr>
        <w:spacing w:line="312" w:lineRule="auto"/>
        <w:ind w:hanging="425"/>
        <w:rPr>
          <w:rFonts w:cs="Arial"/>
        </w:rPr>
      </w:pPr>
      <w:r w:rsidRPr="00384ADF">
        <w:rPr>
          <w:rFonts w:cs="Arial"/>
          <w:i/>
        </w:rPr>
        <w:t>Completeness:</w:t>
      </w:r>
      <w:r w:rsidRPr="00384ADF">
        <w:rPr>
          <w:rFonts w:cs="Arial"/>
        </w:rPr>
        <w:t xml:space="preserve"> Criteria are complete when subject matter information prepared in accordance with them does not omit relevant factors that </w:t>
      </w:r>
      <w:r w:rsidR="00D4047E" w:rsidRPr="00384ADF">
        <w:rPr>
          <w:rFonts w:cs="Arial"/>
        </w:rPr>
        <w:t xml:space="preserve">may </w:t>
      </w:r>
      <w:r w:rsidRPr="00384ADF">
        <w:rPr>
          <w:rFonts w:cs="Arial"/>
        </w:rPr>
        <w:t>reasonably be expected to affect decisions of the intended users</w:t>
      </w:r>
      <w:r w:rsidR="000A2D99" w:rsidRPr="00384ADF">
        <w:rPr>
          <w:rFonts w:cs="Arial"/>
        </w:rPr>
        <w:t xml:space="preserve"> of the subject matter </w:t>
      </w:r>
      <w:r w:rsidR="00550564" w:rsidRPr="00384ADF">
        <w:rPr>
          <w:rFonts w:cs="Arial"/>
        </w:rPr>
        <w:t>information</w:t>
      </w:r>
      <w:r w:rsidRPr="00384ADF">
        <w:rPr>
          <w:rFonts w:cs="Arial"/>
        </w:rPr>
        <w:t xml:space="preserve"> made on the basis of that subject matter information. Complete criteria include, where relevant, benchmarks for presentation and disclosure.</w:t>
      </w:r>
    </w:p>
    <w:p w14:paraId="5F5F6652" w14:textId="7C37F3A3" w:rsidR="00B275B5" w:rsidRPr="00384ADF" w:rsidRDefault="00B275B5" w:rsidP="005279E7">
      <w:pPr>
        <w:pStyle w:val="NumList"/>
        <w:numPr>
          <w:ilvl w:val="1"/>
          <w:numId w:val="4"/>
        </w:numPr>
        <w:spacing w:line="312" w:lineRule="auto"/>
        <w:ind w:hanging="425"/>
        <w:rPr>
          <w:rFonts w:cs="Arial"/>
        </w:rPr>
      </w:pPr>
      <w:r w:rsidRPr="00384ADF">
        <w:rPr>
          <w:rFonts w:cs="Arial"/>
          <w:i/>
        </w:rPr>
        <w:t>Reliability:</w:t>
      </w:r>
      <w:r w:rsidRPr="00384ADF">
        <w:rPr>
          <w:rFonts w:cs="Arial"/>
        </w:rPr>
        <w:t xml:space="preserve"> Reliable criteria allow reasonably consistent measurement or evaluation of the underlying subject matter</w:t>
      </w:r>
      <w:r w:rsidR="00BD38F6" w:rsidRPr="00384ADF">
        <w:rPr>
          <w:rFonts w:cs="Arial"/>
        </w:rPr>
        <w:t>,</w:t>
      </w:r>
      <w:r w:rsidRPr="00384ADF">
        <w:rPr>
          <w:rFonts w:cs="Arial"/>
        </w:rPr>
        <w:t xml:space="preserve"> including, where relevant, presentation and disclosure, when used in similar circumstances by different practitioners.</w:t>
      </w:r>
    </w:p>
    <w:p w14:paraId="69E534D9" w14:textId="38271C87" w:rsidR="00B275B5" w:rsidRPr="00384ADF" w:rsidRDefault="00B275B5" w:rsidP="005279E7">
      <w:pPr>
        <w:pStyle w:val="NumList"/>
        <w:numPr>
          <w:ilvl w:val="1"/>
          <w:numId w:val="4"/>
        </w:numPr>
        <w:spacing w:line="312" w:lineRule="auto"/>
        <w:ind w:hanging="425"/>
        <w:rPr>
          <w:rFonts w:cs="Arial"/>
        </w:rPr>
      </w:pPr>
      <w:r w:rsidRPr="00384ADF">
        <w:rPr>
          <w:rFonts w:cs="Arial"/>
          <w:i/>
        </w:rPr>
        <w:t>Neutrality:</w:t>
      </w:r>
      <w:r w:rsidRPr="00384ADF">
        <w:rPr>
          <w:rFonts w:cs="Arial"/>
        </w:rPr>
        <w:t xml:space="preserve"> Neutral criteria result in subject matter information that is free from bias</w:t>
      </w:r>
      <w:r w:rsidR="00F96A56" w:rsidRPr="00384ADF">
        <w:rPr>
          <w:rFonts w:cs="Arial"/>
        </w:rPr>
        <w:t>,</w:t>
      </w:r>
      <w:r w:rsidRPr="00384ADF">
        <w:rPr>
          <w:rFonts w:cs="Arial"/>
        </w:rPr>
        <w:t xml:space="preserve"> as appropriate</w:t>
      </w:r>
      <w:r w:rsidR="00F96A56" w:rsidRPr="00384ADF">
        <w:rPr>
          <w:rFonts w:cs="Arial"/>
        </w:rPr>
        <w:t>,</w:t>
      </w:r>
      <w:r w:rsidRPr="00384ADF">
        <w:rPr>
          <w:rFonts w:cs="Arial"/>
        </w:rPr>
        <w:t xml:space="preserve"> in the engagement circumstances.</w:t>
      </w:r>
    </w:p>
    <w:p w14:paraId="1929599A" w14:textId="151242B4" w:rsidR="00B275B5" w:rsidRPr="00384ADF" w:rsidRDefault="00B275B5" w:rsidP="005279E7">
      <w:pPr>
        <w:pStyle w:val="NumList"/>
        <w:numPr>
          <w:ilvl w:val="1"/>
          <w:numId w:val="4"/>
        </w:numPr>
        <w:spacing w:line="312" w:lineRule="auto"/>
        <w:ind w:hanging="425"/>
        <w:rPr>
          <w:rFonts w:cs="Arial"/>
        </w:rPr>
      </w:pPr>
      <w:r w:rsidRPr="00384ADF">
        <w:rPr>
          <w:rFonts w:cs="Arial"/>
          <w:i/>
        </w:rPr>
        <w:t>Understandability:</w:t>
      </w:r>
      <w:r w:rsidRPr="00384ADF">
        <w:rPr>
          <w:rFonts w:cs="Arial"/>
        </w:rPr>
        <w:t xml:space="preserve"> Understandable criteria result in subject matter information that </w:t>
      </w:r>
      <w:r w:rsidR="0012195B" w:rsidRPr="00384ADF">
        <w:rPr>
          <w:rFonts w:cs="Arial"/>
        </w:rPr>
        <w:t xml:space="preserve">may </w:t>
      </w:r>
      <w:r w:rsidRPr="00384ADF">
        <w:rPr>
          <w:rFonts w:cs="Arial"/>
        </w:rPr>
        <w:t>be understood by the intended users</w:t>
      </w:r>
      <w:r w:rsidR="000A2D99" w:rsidRPr="00384ADF">
        <w:rPr>
          <w:rFonts w:cs="Arial"/>
        </w:rPr>
        <w:t xml:space="preserve"> of the subject matter information</w:t>
      </w:r>
      <w:r w:rsidRPr="00384ADF">
        <w:rPr>
          <w:rStyle w:val="FootnoteReference"/>
          <w:rFonts w:cs="Arial"/>
          <w:vertAlign w:val="superscript"/>
        </w:rPr>
        <w:footnoteReference w:id="32"/>
      </w:r>
      <w:r w:rsidRPr="00384ADF">
        <w:rPr>
          <w:rFonts w:cs="Arial"/>
        </w:rPr>
        <w:t>.</w:t>
      </w:r>
    </w:p>
    <w:p w14:paraId="7C98602E" w14:textId="7802D932" w:rsidR="00B275B5" w:rsidRPr="00384ADF" w:rsidRDefault="005F27B6" w:rsidP="005279E7">
      <w:pPr>
        <w:pStyle w:val="NumList"/>
        <w:spacing w:line="312" w:lineRule="auto"/>
      </w:pPr>
      <w:r w:rsidRPr="00384ADF">
        <w:t>In some cases, law or regulation prescribes criteria to be used for an engagement. In the absence of indications to the contrary, such criteria are presumed to be suitable, as are criteria issued by authorised or recognised bodies of experts that follow a transparent due process, if they are relevant to the</w:t>
      </w:r>
      <w:r w:rsidR="00294026" w:rsidRPr="00384ADF">
        <w:t xml:space="preserve"> information needs of the</w:t>
      </w:r>
      <w:r w:rsidRPr="00384ADF">
        <w:t xml:space="preserve"> intended users</w:t>
      </w:r>
      <w:r w:rsidR="000A2D99" w:rsidRPr="00384ADF">
        <w:t xml:space="preserve"> of the subject matter information</w:t>
      </w:r>
      <w:r w:rsidRPr="00384ADF">
        <w:t>. Such criteria are known as established criteria</w:t>
      </w:r>
      <w:r w:rsidRPr="00384ADF">
        <w:rPr>
          <w:rStyle w:val="FootnoteReference"/>
          <w:vertAlign w:val="superscript"/>
        </w:rPr>
        <w:footnoteReference w:id="33"/>
      </w:r>
      <w:r w:rsidRPr="00384ADF">
        <w:t>.</w:t>
      </w:r>
    </w:p>
    <w:p w14:paraId="7CAEB759" w14:textId="0D8D6FCF" w:rsidR="00B275B5" w:rsidRPr="00384ADF" w:rsidRDefault="00B275B5" w:rsidP="005279E7">
      <w:pPr>
        <w:pStyle w:val="NumList"/>
        <w:spacing w:line="312" w:lineRule="auto"/>
        <w:rPr>
          <w:rFonts w:cs="Arial"/>
        </w:rPr>
      </w:pPr>
      <w:r w:rsidRPr="00384ADF">
        <w:t xml:space="preserve">Even when established criteria exist for an underlying subject matter, specific users may agree to use other criteria for their specific purposes. For example, various frameworks </w:t>
      </w:r>
      <w:r w:rsidR="0012195B" w:rsidRPr="00384ADF">
        <w:t xml:space="preserve">may </w:t>
      </w:r>
      <w:r w:rsidRPr="00384ADF">
        <w:t>be used as established criteria for evaluating the effectiveness of internal control</w:t>
      </w:r>
      <w:r w:rsidR="00C077CC" w:rsidRPr="00384ADF">
        <w:t>s</w:t>
      </w:r>
      <w:r w:rsidRPr="00384ADF">
        <w:t>. Specific users may, however, develop a more detailed set of criteria that meet their specific information needs</w:t>
      </w:r>
      <w:r w:rsidR="005F27B6" w:rsidRPr="00384ADF">
        <w:rPr>
          <w:rStyle w:val="FootnoteReference"/>
          <w:vertAlign w:val="superscript"/>
        </w:rPr>
        <w:footnoteReference w:id="34"/>
      </w:r>
      <w:r w:rsidRPr="00384ADF">
        <w:t xml:space="preserve">. </w:t>
      </w:r>
    </w:p>
    <w:p w14:paraId="7C94621D" w14:textId="38E709B5" w:rsidR="009D3D41" w:rsidRPr="00384ADF" w:rsidRDefault="009D3D41" w:rsidP="005279E7">
      <w:pPr>
        <w:pStyle w:val="Heading4"/>
      </w:pPr>
      <w:r w:rsidRPr="00384ADF">
        <w:t>General considerations</w:t>
      </w:r>
    </w:p>
    <w:p w14:paraId="5E2293FB" w14:textId="23948189" w:rsidR="009D3D41" w:rsidRPr="00384ADF" w:rsidRDefault="006D750D" w:rsidP="005279E7">
      <w:pPr>
        <w:pStyle w:val="NumList"/>
        <w:spacing w:line="312" w:lineRule="auto"/>
        <w:ind w:left="562" w:hanging="562"/>
      </w:pPr>
      <w:r w:rsidRPr="00384ADF">
        <w:t>Sustainability</w:t>
      </w:r>
      <w:r w:rsidR="009D3D41" w:rsidRPr="00384ADF">
        <w:t xml:space="preserve"> information </w:t>
      </w:r>
      <w:r w:rsidR="0012195B" w:rsidRPr="00384ADF">
        <w:t xml:space="preserve">may </w:t>
      </w:r>
      <w:r w:rsidR="009D3D41" w:rsidRPr="00384ADF">
        <w:t xml:space="preserve">be </w:t>
      </w:r>
      <w:r w:rsidR="00B51BCC" w:rsidRPr="00384ADF">
        <w:t xml:space="preserve">presented </w:t>
      </w:r>
      <w:r w:rsidR="009D3D41" w:rsidRPr="00384ADF">
        <w:t xml:space="preserve">in a variety of reporting </w:t>
      </w:r>
      <w:proofErr w:type="gramStart"/>
      <w:r w:rsidR="004C4C10" w:rsidRPr="00384ADF">
        <w:t>formats</w:t>
      </w:r>
      <w:r w:rsidR="009D3D41" w:rsidRPr="00384ADF">
        <w:t>, and</w:t>
      </w:r>
      <w:proofErr w:type="gramEnd"/>
      <w:r w:rsidR="009D3D41" w:rsidRPr="00384ADF">
        <w:t xml:space="preserve"> may be part of a report that is developed using a specific reporting framework. A reporting framework may contain some level of guidance (or criteria) as to how certain </w:t>
      </w:r>
      <w:r w:rsidR="004C4C10" w:rsidRPr="00384ADF">
        <w:t>underlying subject matter</w:t>
      </w:r>
      <w:r w:rsidR="00C66352" w:rsidRPr="00384ADF">
        <w:t xml:space="preserve"> should</w:t>
      </w:r>
      <w:r w:rsidR="009D3D41" w:rsidRPr="00384ADF">
        <w:t xml:space="preserve"> be interpreted. </w:t>
      </w:r>
    </w:p>
    <w:p w14:paraId="6F93FDB7" w14:textId="2FCD99D0" w:rsidR="009D3D41" w:rsidRPr="00384ADF" w:rsidRDefault="009D3D41" w:rsidP="005279E7">
      <w:pPr>
        <w:pStyle w:val="NumList"/>
        <w:spacing w:line="312" w:lineRule="auto"/>
      </w:pPr>
      <w:r w:rsidRPr="00384ADF">
        <w:t xml:space="preserve">However, many reporting frameworks provide limited (or no) guidance as to how certain </w:t>
      </w:r>
      <w:r w:rsidR="00943FFA" w:rsidRPr="00384ADF">
        <w:t>underlying subject matter</w:t>
      </w:r>
      <w:r w:rsidR="00C66352" w:rsidRPr="00384ADF">
        <w:t xml:space="preserve"> should</w:t>
      </w:r>
      <w:r w:rsidRPr="00384ADF">
        <w:t xml:space="preserve"> be interpreted. The </w:t>
      </w:r>
      <w:r w:rsidR="00943FFA" w:rsidRPr="00384ADF">
        <w:t>reporting entity</w:t>
      </w:r>
      <w:r w:rsidRPr="00384ADF">
        <w:t xml:space="preserve"> then either internally develop</w:t>
      </w:r>
      <w:r w:rsidR="00621855" w:rsidRPr="00384ADF">
        <w:t>s</w:t>
      </w:r>
      <w:r w:rsidRPr="00384ADF">
        <w:t xml:space="preserve"> a way to interpret the </w:t>
      </w:r>
      <w:r w:rsidR="00C67058" w:rsidRPr="00384ADF">
        <w:t xml:space="preserve">underlying subject matter </w:t>
      </w:r>
      <w:r w:rsidRPr="00384ADF">
        <w:t>(internally developed criteria</w:t>
      </w:r>
      <w:proofErr w:type="gramStart"/>
      <w:r w:rsidRPr="00384ADF">
        <w:t>), or</w:t>
      </w:r>
      <w:proofErr w:type="gramEnd"/>
      <w:r w:rsidRPr="00384ADF">
        <w:t xml:space="preserve"> use</w:t>
      </w:r>
      <w:r w:rsidR="00621855" w:rsidRPr="00384ADF">
        <w:t>s</w:t>
      </w:r>
      <w:r w:rsidRPr="00384ADF">
        <w:t xml:space="preserve"> pre-existing criteria from another reporting framework/guidance/standard</w:t>
      </w:r>
      <w:r w:rsidR="00C67058" w:rsidRPr="00384ADF">
        <w:t>/law or regulation</w:t>
      </w:r>
      <w:r w:rsidRPr="00384ADF">
        <w:t>.</w:t>
      </w:r>
    </w:p>
    <w:p w14:paraId="1B794726" w14:textId="3B9DEF17" w:rsidR="009D3D41" w:rsidRPr="00384ADF" w:rsidRDefault="00A45CCD" w:rsidP="005279E7">
      <w:pPr>
        <w:pStyle w:val="NumList"/>
        <w:spacing w:line="312" w:lineRule="auto"/>
      </w:pPr>
      <w:r w:rsidRPr="00384ADF">
        <w:t xml:space="preserve">When </w:t>
      </w:r>
      <w:r w:rsidR="009D3D41" w:rsidRPr="00384ADF">
        <w:t>the report</w:t>
      </w:r>
      <w:r w:rsidR="00943FFA" w:rsidRPr="00384ADF">
        <w:t>ing entity</w:t>
      </w:r>
      <w:r w:rsidR="009D3D41" w:rsidRPr="00384ADF">
        <w:t xml:space="preserve"> </w:t>
      </w:r>
      <w:r w:rsidR="00943FFA" w:rsidRPr="00384ADF">
        <w:t xml:space="preserve">uses </w:t>
      </w:r>
      <w:r w:rsidR="002D3791" w:rsidRPr="00384ADF">
        <w:t xml:space="preserve">pre-existing </w:t>
      </w:r>
      <w:r w:rsidR="009D3D41" w:rsidRPr="00384ADF">
        <w:t>criteria</w:t>
      </w:r>
      <w:r w:rsidR="000D61CA" w:rsidRPr="00384ADF">
        <w:t>,</w:t>
      </w:r>
      <w:r w:rsidR="009D3D41" w:rsidRPr="00384ADF">
        <w:t xml:space="preserve"> the </w:t>
      </w:r>
      <w:r w:rsidR="00943FFA" w:rsidRPr="00384ADF">
        <w:t>practitioner</w:t>
      </w:r>
      <w:r w:rsidR="005028F3" w:rsidRPr="00384ADF">
        <w:t xml:space="preserve"> may</w:t>
      </w:r>
      <w:r w:rsidR="009D3D41" w:rsidRPr="00384ADF">
        <w:t xml:space="preserve"> consider the following to determine its suitability:</w:t>
      </w:r>
    </w:p>
    <w:p w14:paraId="16AB456A" w14:textId="42C04234" w:rsidR="009D3D41" w:rsidRPr="00384ADF" w:rsidRDefault="00943FFA" w:rsidP="005279E7">
      <w:pPr>
        <w:pStyle w:val="NumList"/>
        <w:numPr>
          <w:ilvl w:val="1"/>
          <w:numId w:val="4"/>
        </w:numPr>
        <w:spacing w:line="312" w:lineRule="auto"/>
        <w:ind w:hanging="425"/>
        <w:rPr>
          <w:rFonts w:cs="Arial"/>
        </w:rPr>
      </w:pPr>
      <w:r w:rsidRPr="00384ADF">
        <w:rPr>
          <w:rFonts w:cs="Arial"/>
        </w:rPr>
        <w:t>Are the intended users</w:t>
      </w:r>
      <w:r w:rsidR="00A45CCD" w:rsidRPr="00384ADF">
        <w:rPr>
          <w:rFonts w:cs="Arial"/>
        </w:rPr>
        <w:t xml:space="preserve"> anticipated by the reporting framework</w:t>
      </w:r>
      <w:r w:rsidRPr="00384ADF">
        <w:rPr>
          <w:rFonts w:cs="Arial"/>
        </w:rPr>
        <w:t xml:space="preserve"> similar</w:t>
      </w:r>
      <w:r w:rsidR="00A45CCD" w:rsidRPr="00384ADF">
        <w:rPr>
          <w:rFonts w:cs="Arial"/>
        </w:rPr>
        <w:t xml:space="preserve"> to the intended users of the reporting entity’s sustainability information</w:t>
      </w:r>
      <w:r w:rsidR="009D3D41" w:rsidRPr="00384ADF">
        <w:rPr>
          <w:rFonts w:cs="Arial"/>
        </w:rPr>
        <w:t>?</w:t>
      </w:r>
    </w:p>
    <w:p w14:paraId="4392A75C" w14:textId="2D8DDFF1" w:rsidR="009D3D41" w:rsidRPr="00384ADF" w:rsidRDefault="00C658BC" w:rsidP="001E45B8">
      <w:pPr>
        <w:pStyle w:val="NumList"/>
        <w:numPr>
          <w:ilvl w:val="1"/>
          <w:numId w:val="4"/>
        </w:numPr>
        <w:spacing w:line="312" w:lineRule="auto"/>
        <w:ind w:hanging="425"/>
        <w:rPr>
          <w:rFonts w:cs="Arial"/>
        </w:rPr>
      </w:pPr>
      <w:r w:rsidRPr="00384ADF">
        <w:rPr>
          <w:rFonts w:cs="Arial"/>
          <w:lang w:eastAsia="en-ZA"/>
        </w:rPr>
        <w:t>Is the prescribed format of subject matter information prepared in accordance with the reporting framework similar to the format of the reporting entity’s intended subject matter information</w:t>
      </w:r>
      <w:r w:rsidR="009D3D41" w:rsidRPr="00384ADF">
        <w:rPr>
          <w:rFonts w:cs="Arial"/>
        </w:rPr>
        <w:t>?</w:t>
      </w:r>
    </w:p>
    <w:p w14:paraId="6C2B4292" w14:textId="3B56FFC9" w:rsidR="009D3D41" w:rsidRPr="00384ADF" w:rsidRDefault="00BD38F6" w:rsidP="005279E7">
      <w:pPr>
        <w:pStyle w:val="NumList"/>
        <w:spacing w:line="312" w:lineRule="auto"/>
      </w:pPr>
      <w:r w:rsidRPr="00384ADF">
        <w:t>Based on</w:t>
      </w:r>
      <w:r w:rsidR="009D3D41" w:rsidRPr="00384ADF">
        <w:t xml:space="preserve"> </w:t>
      </w:r>
      <w:r w:rsidR="005028F3" w:rsidRPr="00384ADF">
        <w:t>considering</w:t>
      </w:r>
      <w:r w:rsidR="009D3D41" w:rsidRPr="00384ADF">
        <w:t xml:space="preserve"> the </w:t>
      </w:r>
      <w:r w:rsidRPr="00384ADF">
        <w:t>above</w:t>
      </w:r>
      <w:r w:rsidR="005028F3" w:rsidRPr="00384ADF">
        <w:t xml:space="preserve"> or similar</w:t>
      </w:r>
      <w:r w:rsidRPr="00384ADF">
        <w:t xml:space="preserve"> </w:t>
      </w:r>
      <w:r w:rsidR="009D3D41" w:rsidRPr="00384ADF">
        <w:t xml:space="preserve">questions, the </w:t>
      </w:r>
      <w:r w:rsidR="00943FFA" w:rsidRPr="00384ADF">
        <w:t>practitioner</w:t>
      </w:r>
      <w:r w:rsidR="009D3D41" w:rsidRPr="00384ADF">
        <w:t xml:space="preserve"> assess</w:t>
      </w:r>
      <w:r w:rsidR="00943FFA" w:rsidRPr="00384ADF">
        <w:t>es</w:t>
      </w:r>
      <w:r w:rsidR="009D3D41" w:rsidRPr="00384ADF">
        <w:t xml:space="preserve"> whether the reporting guidance </w:t>
      </w:r>
      <w:r w:rsidR="0012195B" w:rsidRPr="00384ADF">
        <w:t xml:space="preserve">may </w:t>
      </w:r>
      <w:r w:rsidR="009D3D41" w:rsidRPr="00384ADF">
        <w:t xml:space="preserve">be accepted as suitable in its original </w:t>
      </w:r>
      <w:proofErr w:type="gramStart"/>
      <w:r w:rsidR="009D3D41" w:rsidRPr="00384ADF">
        <w:t>form, or</w:t>
      </w:r>
      <w:proofErr w:type="gramEnd"/>
      <w:r w:rsidR="009D3D41" w:rsidRPr="00384ADF">
        <w:t xml:space="preserve"> adapted to cater for different intended users or reporting </w:t>
      </w:r>
      <w:r w:rsidR="00943FFA" w:rsidRPr="00384ADF">
        <w:t>format</w:t>
      </w:r>
      <w:r w:rsidR="002379F3">
        <w:t>s</w:t>
      </w:r>
      <w:r w:rsidR="009D3D41" w:rsidRPr="00384ADF">
        <w:t xml:space="preserve">. </w:t>
      </w:r>
      <w:r w:rsidR="00A45CCD" w:rsidRPr="00384ADF">
        <w:t>T</w:t>
      </w:r>
      <w:r w:rsidR="009D3D41" w:rsidRPr="00384ADF">
        <w:t xml:space="preserve">hese considerations </w:t>
      </w:r>
      <w:r w:rsidR="003B5F3D" w:rsidRPr="00384ADF">
        <w:t xml:space="preserve">may </w:t>
      </w:r>
      <w:r w:rsidR="009D3D41" w:rsidRPr="00384ADF">
        <w:t xml:space="preserve">be included in the reporting </w:t>
      </w:r>
      <w:r w:rsidR="008257F8" w:rsidRPr="00384ADF">
        <w:t>policies and procedures</w:t>
      </w:r>
      <w:r w:rsidR="009D3D41" w:rsidRPr="00384ADF">
        <w:t xml:space="preserve"> of the reporting </w:t>
      </w:r>
      <w:r w:rsidR="008147CC" w:rsidRPr="00384ADF">
        <w:t>entity</w:t>
      </w:r>
      <w:r w:rsidR="009D3D41" w:rsidRPr="00384ADF">
        <w:t>.</w:t>
      </w:r>
    </w:p>
    <w:p w14:paraId="52A5C630" w14:textId="6827398D" w:rsidR="009D3D41" w:rsidRPr="00384ADF" w:rsidRDefault="009D3D41" w:rsidP="005279E7">
      <w:pPr>
        <w:pStyle w:val="NumList"/>
        <w:spacing w:line="312" w:lineRule="auto"/>
      </w:pPr>
      <w:r w:rsidRPr="00384ADF">
        <w:t xml:space="preserve">In many cases the reporting </w:t>
      </w:r>
      <w:r w:rsidR="00B82444" w:rsidRPr="00384ADF">
        <w:t>entity</w:t>
      </w:r>
      <w:r w:rsidRPr="00384ADF">
        <w:t xml:space="preserve"> develop</w:t>
      </w:r>
      <w:r w:rsidR="00EC1A4F" w:rsidRPr="00384ADF">
        <w:t>s</w:t>
      </w:r>
      <w:r w:rsidRPr="00384ADF">
        <w:t xml:space="preserve"> criteria internally to measure or evaluate certain </w:t>
      </w:r>
      <w:r w:rsidR="00B82444" w:rsidRPr="00384ADF">
        <w:t>underlying</w:t>
      </w:r>
      <w:r w:rsidRPr="00384ADF">
        <w:t xml:space="preserve"> subject matter due to pre-existing criteria not being available. Depending on the complexity and nature of the underlying </w:t>
      </w:r>
      <w:r w:rsidR="00B82444" w:rsidRPr="00384ADF">
        <w:t>subject matter</w:t>
      </w:r>
      <w:r w:rsidRPr="00384ADF">
        <w:t>, the risk exist</w:t>
      </w:r>
      <w:r w:rsidR="00B82444" w:rsidRPr="00384ADF">
        <w:t>s</w:t>
      </w:r>
      <w:r w:rsidRPr="00384ADF">
        <w:t xml:space="preserve"> that management bias may result in criteria that produce</w:t>
      </w:r>
      <w:r w:rsidR="00B82444" w:rsidRPr="00384ADF">
        <w:t>s</w:t>
      </w:r>
      <w:r w:rsidRPr="00384ADF">
        <w:t xml:space="preserve"> subject matter information that </w:t>
      </w:r>
      <w:r w:rsidR="00B82444" w:rsidRPr="00384ADF">
        <w:t>does</w:t>
      </w:r>
      <w:r w:rsidRPr="00384ADF">
        <w:t xml:space="preserve"> not meet the information needs of the intended users</w:t>
      </w:r>
      <w:r w:rsidR="002D3791" w:rsidRPr="00384ADF">
        <w:t>, or that does not otherwise exhibit all the characteristics of suitable criteria.</w:t>
      </w:r>
    </w:p>
    <w:p w14:paraId="6AE7FB04" w14:textId="4635CFFB" w:rsidR="009D3D41" w:rsidRPr="00384ADF" w:rsidRDefault="009D3D41" w:rsidP="005279E7">
      <w:pPr>
        <w:pStyle w:val="NumList"/>
        <w:spacing w:line="312" w:lineRule="auto"/>
      </w:pPr>
      <w:r w:rsidRPr="00384ADF">
        <w:t xml:space="preserve">The </w:t>
      </w:r>
      <w:r w:rsidR="00454316" w:rsidRPr="00384ADF">
        <w:t>considerations made</w:t>
      </w:r>
      <w:r w:rsidRPr="00384ADF">
        <w:t xml:space="preserve"> in </w:t>
      </w:r>
      <w:r w:rsidR="005028F3" w:rsidRPr="00384ADF">
        <w:rPr>
          <w:rFonts w:cs="Arial"/>
        </w:rPr>
        <w:t>determining whether the sustainability assurance engagement exhibits a rational purpose may</w:t>
      </w:r>
      <w:r w:rsidRPr="00384ADF">
        <w:t xml:space="preserve"> assist the </w:t>
      </w:r>
      <w:r w:rsidR="00B82444" w:rsidRPr="00384ADF">
        <w:t>practitioner</w:t>
      </w:r>
      <w:r w:rsidRPr="00384ADF">
        <w:t xml:space="preserve"> </w:t>
      </w:r>
      <w:r w:rsidR="00B82444" w:rsidRPr="00384ADF">
        <w:t>in</w:t>
      </w:r>
      <w:r w:rsidRPr="00384ADF">
        <w:t xml:space="preserve"> assess</w:t>
      </w:r>
      <w:r w:rsidR="00B82444" w:rsidRPr="00384ADF">
        <w:t>ing</w:t>
      </w:r>
      <w:r w:rsidRPr="00384ADF">
        <w:t xml:space="preserve"> whether the reporting </w:t>
      </w:r>
      <w:r w:rsidR="0088651A" w:rsidRPr="00384ADF">
        <w:t>policies and procedures are</w:t>
      </w:r>
      <w:r w:rsidRPr="00384ADF">
        <w:t xml:space="preserve"> sufficiently robust to produce suitable internally developed criteria.</w:t>
      </w:r>
    </w:p>
    <w:p w14:paraId="10940A81" w14:textId="7D9297DA" w:rsidR="00CF0F5C" w:rsidRPr="00384ADF" w:rsidRDefault="00CF0F5C" w:rsidP="005279E7">
      <w:pPr>
        <w:pStyle w:val="NumList"/>
        <w:spacing w:line="312" w:lineRule="auto"/>
      </w:pPr>
      <w:r w:rsidRPr="00384ADF">
        <w:t xml:space="preserve">A well-designed due process in developing reporting </w:t>
      </w:r>
      <w:r w:rsidR="00AD182A" w:rsidRPr="00384ADF">
        <w:t>policies and procedures</w:t>
      </w:r>
      <w:r w:rsidR="0003436C" w:rsidRPr="00384ADF">
        <w:t>,</w:t>
      </w:r>
      <w:r w:rsidR="00AD182A" w:rsidRPr="00384ADF">
        <w:t xml:space="preserve"> </w:t>
      </w:r>
      <w:r w:rsidRPr="00384ADF">
        <w:t xml:space="preserve">with </w:t>
      </w:r>
      <w:r w:rsidR="00BD38F6" w:rsidRPr="00384ADF">
        <w:t xml:space="preserve">the </w:t>
      </w:r>
      <w:r w:rsidRPr="00384ADF">
        <w:t>involvement of</w:t>
      </w:r>
      <w:r w:rsidR="0003436C" w:rsidRPr="00384ADF">
        <w:t xml:space="preserve"> the</w:t>
      </w:r>
      <w:r w:rsidRPr="00384ADF">
        <w:t xml:space="preserve"> intended users</w:t>
      </w:r>
      <w:r w:rsidR="0003436C" w:rsidRPr="00384ADF">
        <w:t>,</w:t>
      </w:r>
      <w:r w:rsidRPr="00384ADF">
        <w:t xml:space="preserve"> consider</w:t>
      </w:r>
      <w:r w:rsidR="00621855" w:rsidRPr="00384ADF">
        <w:t>s</w:t>
      </w:r>
      <w:r w:rsidRPr="00384ADF">
        <w:t xml:space="preserve"> the characteristics</w:t>
      </w:r>
      <w:r w:rsidR="00791B6D" w:rsidRPr="00384ADF">
        <w:t xml:space="preserve"> of suitable criteria</w:t>
      </w:r>
      <w:r w:rsidRPr="00384ADF">
        <w:t xml:space="preserve">. Ideally, the reporting </w:t>
      </w:r>
      <w:r w:rsidR="00AD182A" w:rsidRPr="00384ADF">
        <w:t xml:space="preserve">policies and procedures </w:t>
      </w:r>
      <w:r w:rsidRPr="00384ADF">
        <w:t xml:space="preserve">for measurement </w:t>
      </w:r>
      <w:r w:rsidR="0014228C" w:rsidRPr="00384ADF">
        <w:t xml:space="preserve">or </w:t>
      </w:r>
      <w:r w:rsidRPr="00384ADF">
        <w:t>evaluation</w:t>
      </w:r>
      <w:r w:rsidR="002D3791" w:rsidRPr="00384ADF">
        <w:t xml:space="preserve"> of the underlying subject matter</w:t>
      </w:r>
      <w:r w:rsidRPr="00384ADF">
        <w:t xml:space="preserve"> illustrate how each of the characteristics of suitable criteria are satisfied for each </w:t>
      </w:r>
      <w:r w:rsidR="00AD182A" w:rsidRPr="00384ADF">
        <w:t>aspect</w:t>
      </w:r>
      <w:r w:rsidRPr="00384ADF">
        <w:t xml:space="preserve"> of</w:t>
      </w:r>
      <w:r w:rsidR="00AD182A" w:rsidRPr="00384ADF">
        <w:t xml:space="preserve"> the</w:t>
      </w:r>
      <w:r w:rsidRPr="00384ADF">
        <w:t xml:space="preserve"> underlying subject matter</w:t>
      </w:r>
      <w:r w:rsidR="002D3791" w:rsidRPr="00384ADF">
        <w:t xml:space="preserve"> (e.g. related to the selected KPIs)</w:t>
      </w:r>
      <w:r w:rsidRPr="00384ADF">
        <w:t xml:space="preserve"> that contains internally developed (or adapted) criteria. </w:t>
      </w:r>
    </w:p>
    <w:p w14:paraId="1A63A852" w14:textId="31C9047C" w:rsidR="00CF0F5C" w:rsidRPr="00384ADF" w:rsidRDefault="00CF0F5C" w:rsidP="005279E7">
      <w:pPr>
        <w:pStyle w:val="NumList"/>
        <w:spacing w:line="312" w:lineRule="auto"/>
      </w:pPr>
      <w:r w:rsidRPr="00384ADF">
        <w:t>However, the practitioner appl</w:t>
      </w:r>
      <w:r w:rsidR="00661BC6" w:rsidRPr="00384ADF">
        <w:t>ies</w:t>
      </w:r>
      <w:r w:rsidRPr="00384ADF">
        <w:t xml:space="preserve"> professional judgment in </w:t>
      </w:r>
      <w:r w:rsidR="004916BA" w:rsidRPr="00384ADF">
        <w:rPr>
          <w:rFonts w:cs="Arial"/>
        </w:rPr>
        <w:t>determining whether the sustainability assurance engagement exhibits the criteria that the practitioner expects to be applied in the preparation of the subject matter information</w:t>
      </w:r>
      <w:r w:rsidR="00FC32BE" w:rsidRPr="00384ADF">
        <w:rPr>
          <w:rFonts w:cs="Arial"/>
        </w:rPr>
        <w:t xml:space="preserve"> that</w:t>
      </w:r>
      <w:r w:rsidR="004916BA" w:rsidRPr="00384ADF">
        <w:rPr>
          <w:rFonts w:cs="Arial"/>
        </w:rPr>
        <w:t xml:space="preserve"> are suitable for the engagement circumstances</w:t>
      </w:r>
      <w:r w:rsidRPr="00384ADF">
        <w:t xml:space="preserve"> in situations where a well-designed due process is not followed or where the intended users were not involved in the selection or development of the criteria.</w:t>
      </w:r>
    </w:p>
    <w:p w14:paraId="7C3D17C5" w14:textId="029C4C25" w:rsidR="00CF0F5C" w:rsidRPr="00384ADF" w:rsidRDefault="00CF0F5C" w:rsidP="005279E7">
      <w:pPr>
        <w:pStyle w:val="NumList"/>
        <w:spacing w:line="312" w:lineRule="auto"/>
      </w:pPr>
      <w:r w:rsidRPr="00384ADF">
        <w:t xml:space="preserve">Matters that the practitioner </w:t>
      </w:r>
      <w:r w:rsidR="00621855" w:rsidRPr="00384ADF">
        <w:t xml:space="preserve">may </w:t>
      </w:r>
      <w:r w:rsidRPr="00384ADF">
        <w:t>consider when exercising professional judgment are:</w:t>
      </w:r>
    </w:p>
    <w:p w14:paraId="4EC5D36E" w14:textId="77777777" w:rsidR="00CF0F5C" w:rsidRPr="00384ADF" w:rsidRDefault="00CF0F5C" w:rsidP="005279E7">
      <w:pPr>
        <w:pStyle w:val="NumList"/>
        <w:numPr>
          <w:ilvl w:val="1"/>
          <w:numId w:val="4"/>
        </w:numPr>
        <w:spacing w:line="312" w:lineRule="auto"/>
        <w:ind w:hanging="425"/>
        <w:rPr>
          <w:rFonts w:cs="Arial"/>
        </w:rPr>
      </w:pPr>
      <w:r w:rsidRPr="00384ADF">
        <w:rPr>
          <w:rFonts w:cs="Arial"/>
        </w:rPr>
        <w:t>The complexity of the underlying subject matter.</w:t>
      </w:r>
    </w:p>
    <w:p w14:paraId="164D0E56" w14:textId="4121E09D" w:rsidR="00CF0F5C" w:rsidRPr="00384ADF" w:rsidRDefault="00CF0F5C" w:rsidP="005279E7">
      <w:pPr>
        <w:pStyle w:val="NumList"/>
        <w:numPr>
          <w:ilvl w:val="1"/>
          <w:numId w:val="4"/>
        </w:numPr>
        <w:spacing w:line="312" w:lineRule="auto"/>
        <w:ind w:hanging="425"/>
        <w:rPr>
          <w:rFonts w:cs="Arial"/>
        </w:rPr>
      </w:pPr>
      <w:r w:rsidRPr="00384ADF">
        <w:rPr>
          <w:rFonts w:cs="Arial"/>
        </w:rPr>
        <w:t xml:space="preserve">Other potentially more </w:t>
      </w:r>
      <w:r w:rsidR="00024C44" w:rsidRPr="00384ADF">
        <w:rPr>
          <w:rFonts w:cs="Arial"/>
        </w:rPr>
        <w:t xml:space="preserve">suitable </w:t>
      </w:r>
      <w:r w:rsidRPr="00384ADF">
        <w:rPr>
          <w:rFonts w:cs="Arial"/>
        </w:rPr>
        <w:t xml:space="preserve">criteria that </w:t>
      </w:r>
      <w:r w:rsidR="00621855" w:rsidRPr="00384ADF">
        <w:rPr>
          <w:rFonts w:cs="Arial"/>
        </w:rPr>
        <w:t>may be</w:t>
      </w:r>
      <w:r w:rsidRPr="00384ADF">
        <w:rPr>
          <w:rFonts w:cs="Arial"/>
        </w:rPr>
        <w:t xml:space="preserve"> used to interpret the underlying subject matter in a more effective way</w:t>
      </w:r>
      <w:r w:rsidR="00EC0FB7" w:rsidRPr="00384ADF">
        <w:rPr>
          <w:rFonts w:cs="Arial"/>
        </w:rPr>
        <w:t>,</w:t>
      </w:r>
      <w:r w:rsidRPr="00384ADF">
        <w:rPr>
          <w:rFonts w:cs="Arial"/>
        </w:rPr>
        <w:t xml:space="preserve"> and reasons why th</w:t>
      </w:r>
      <w:r w:rsidR="003D013E" w:rsidRPr="00384ADF">
        <w:rPr>
          <w:rFonts w:cs="Arial"/>
        </w:rPr>
        <w:t>ose</w:t>
      </w:r>
      <w:r w:rsidRPr="00384ADF">
        <w:rPr>
          <w:rFonts w:cs="Arial"/>
        </w:rPr>
        <w:t xml:space="preserve"> were not considered.</w:t>
      </w:r>
    </w:p>
    <w:p w14:paraId="252BB7E2" w14:textId="264B03A8" w:rsidR="00CF0F5C" w:rsidRPr="00384ADF" w:rsidRDefault="00CF0F5C" w:rsidP="005279E7">
      <w:pPr>
        <w:pStyle w:val="NumList"/>
        <w:numPr>
          <w:ilvl w:val="1"/>
          <w:numId w:val="4"/>
        </w:numPr>
        <w:spacing w:line="312" w:lineRule="auto"/>
        <w:ind w:hanging="425"/>
        <w:rPr>
          <w:rFonts w:cs="Arial"/>
        </w:rPr>
      </w:pPr>
      <w:r w:rsidRPr="00384ADF">
        <w:rPr>
          <w:rFonts w:cs="Arial"/>
        </w:rPr>
        <w:t>Reasons why the intended users were not involved in the selection/development of the criteria.</w:t>
      </w:r>
    </w:p>
    <w:p w14:paraId="193A2D40" w14:textId="0140C527" w:rsidR="00CF0F5C" w:rsidRPr="00384ADF" w:rsidRDefault="00CF0F5C" w:rsidP="005279E7">
      <w:pPr>
        <w:pStyle w:val="NumList"/>
        <w:numPr>
          <w:ilvl w:val="1"/>
          <w:numId w:val="4"/>
        </w:numPr>
        <w:spacing w:line="312" w:lineRule="auto"/>
        <w:ind w:hanging="425"/>
        <w:rPr>
          <w:rFonts w:cs="Arial"/>
        </w:rPr>
      </w:pPr>
      <w:r w:rsidRPr="00384ADF">
        <w:rPr>
          <w:rFonts w:cs="Arial"/>
        </w:rPr>
        <w:t xml:space="preserve">Potential misunderstanding of the resultant subject matter information by </w:t>
      </w:r>
      <w:r w:rsidR="00783235" w:rsidRPr="00384ADF">
        <w:rPr>
          <w:rFonts w:cs="Arial"/>
        </w:rPr>
        <w:t xml:space="preserve">the </w:t>
      </w:r>
      <w:r w:rsidRPr="00384ADF">
        <w:rPr>
          <w:rFonts w:cs="Arial"/>
        </w:rPr>
        <w:t>intended users.</w:t>
      </w:r>
    </w:p>
    <w:p w14:paraId="67E6A30D" w14:textId="7BD8777C" w:rsidR="00CF0F5C" w:rsidRPr="00384ADF" w:rsidRDefault="00CF0F5C" w:rsidP="005279E7">
      <w:pPr>
        <w:pStyle w:val="NumList"/>
        <w:numPr>
          <w:ilvl w:val="1"/>
          <w:numId w:val="4"/>
        </w:numPr>
        <w:spacing w:line="312" w:lineRule="auto"/>
        <w:ind w:hanging="425"/>
        <w:rPr>
          <w:rFonts w:cs="Arial"/>
        </w:rPr>
      </w:pPr>
      <w:r w:rsidRPr="00384ADF">
        <w:rPr>
          <w:rFonts w:cs="Arial"/>
        </w:rPr>
        <w:t>Other uses of the subject matter information (</w:t>
      </w:r>
      <w:r w:rsidR="002D3791" w:rsidRPr="00384ADF">
        <w:rPr>
          <w:rFonts w:cs="Arial"/>
        </w:rPr>
        <w:t xml:space="preserve">e.g. </w:t>
      </w:r>
      <w:r w:rsidRPr="00384ADF">
        <w:rPr>
          <w:rFonts w:cs="Arial"/>
        </w:rPr>
        <w:t>link to management remuneration) and the financial/reputational/regulatory risk of misinterpretation of the subject matter information.</w:t>
      </w:r>
    </w:p>
    <w:p w14:paraId="4DF18DDA" w14:textId="2D331776" w:rsidR="00CF0F5C" w:rsidRPr="00384ADF" w:rsidRDefault="00CF0F5C" w:rsidP="001E4F3B">
      <w:pPr>
        <w:pStyle w:val="NumList"/>
        <w:numPr>
          <w:ilvl w:val="1"/>
          <w:numId w:val="4"/>
        </w:numPr>
        <w:spacing w:line="312" w:lineRule="auto"/>
        <w:ind w:hanging="425"/>
      </w:pPr>
      <w:r w:rsidRPr="00384ADF">
        <w:rPr>
          <w:rFonts w:cs="Arial"/>
        </w:rPr>
        <w:t>Knowledge of the reporting format, industry</w:t>
      </w:r>
      <w:r w:rsidR="00BD38F6" w:rsidRPr="00384ADF">
        <w:rPr>
          <w:rFonts w:cs="Arial"/>
        </w:rPr>
        <w:t xml:space="preserve"> and</w:t>
      </w:r>
      <w:r w:rsidRPr="00384ADF">
        <w:rPr>
          <w:rFonts w:cs="Arial"/>
        </w:rPr>
        <w:t xml:space="preserve"> reporting entity</w:t>
      </w:r>
      <w:r w:rsidR="00BD38F6" w:rsidRPr="00384ADF">
        <w:rPr>
          <w:rFonts w:cs="Arial"/>
        </w:rPr>
        <w:t>, among others,</w:t>
      </w:r>
      <w:r w:rsidRPr="00384ADF">
        <w:rPr>
          <w:rFonts w:cs="Arial"/>
        </w:rPr>
        <w:t xml:space="preserve"> that may contribute to understanding potential misrepresentation of the underlying subject matter.</w:t>
      </w:r>
    </w:p>
    <w:tbl>
      <w:tblPr>
        <w:tblStyle w:val="TableGrid"/>
        <w:tblW w:w="0" w:type="auto"/>
        <w:tblLook w:val="04A0" w:firstRow="1" w:lastRow="0" w:firstColumn="1" w:lastColumn="0" w:noHBand="0" w:noVBand="1"/>
      </w:tblPr>
      <w:tblGrid>
        <w:gridCol w:w="704"/>
        <w:gridCol w:w="7599"/>
      </w:tblGrid>
      <w:tr w:rsidR="003E0A5D" w:rsidRPr="00384ADF" w14:paraId="3B82737B" w14:textId="77777777" w:rsidTr="00AD21D6">
        <w:trPr>
          <w:cantSplit/>
          <w:trHeight w:val="1134"/>
        </w:trPr>
        <w:tc>
          <w:tcPr>
            <w:tcW w:w="704" w:type="dxa"/>
            <w:shd w:val="clear" w:color="auto" w:fill="A6A6A6" w:themeFill="background1" w:themeFillShade="A6"/>
            <w:textDirection w:val="btLr"/>
          </w:tcPr>
          <w:p w14:paraId="405CC07C" w14:textId="0C27BCB2" w:rsidR="003E0A5D" w:rsidRPr="00AD21D6" w:rsidDel="003E0A5D" w:rsidRDefault="003E0A5D" w:rsidP="00AD21D6">
            <w:pPr>
              <w:pStyle w:val="NumList"/>
              <w:numPr>
                <w:ilvl w:val="0"/>
                <w:numId w:val="0"/>
              </w:numPr>
              <w:spacing w:line="312" w:lineRule="auto"/>
              <w:ind w:left="113" w:right="113"/>
              <w:jc w:val="center"/>
              <w:rPr>
                <w:b/>
                <w:color w:val="FFFFFF" w:themeColor="background1"/>
              </w:rPr>
            </w:pPr>
            <w:r>
              <w:rPr>
                <w:b/>
                <w:color w:val="FFFFFF" w:themeColor="background1"/>
              </w:rPr>
              <w:t>Considerations for the Practitioner</w:t>
            </w:r>
          </w:p>
        </w:tc>
        <w:tc>
          <w:tcPr>
            <w:tcW w:w="7599" w:type="dxa"/>
            <w:shd w:val="clear" w:color="auto" w:fill="F2F2F2" w:themeFill="background1" w:themeFillShade="F2"/>
          </w:tcPr>
          <w:p w14:paraId="76342C06" w14:textId="70163F22" w:rsidR="003E0A5D" w:rsidRPr="00AD21D6" w:rsidRDefault="003E0A5D" w:rsidP="001E4F3B">
            <w:pPr>
              <w:pStyle w:val="NumList"/>
              <w:numPr>
                <w:ilvl w:val="0"/>
                <w:numId w:val="0"/>
              </w:numPr>
              <w:spacing w:line="312" w:lineRule="auto"/>
              <w:rPr>
                <w:bCs/>
              </w:rPr>
            </w:pPr>
            <w:r w:rsidRPr="00AD21D6">
              <w:rPr>
                <w:bCs/>
              </w:rPr>
              <w:t>To</w:t>
            </w:r>
            <w:r>
              <w:rPr>
                <w:bCs/>
              </w:rPr>
              <w:t xml:space="preserve"> obtain an understanding of the suitability of criteria it may be appropriate for the practitioner to consider: </w:t>
            </w:r>
          </w:p>
          <w:p w14:paraId="10486457" w14:textId="2080FAE2" w:rsidR="003E0A5D" w:rsidRPr="00384ADF" w:rsidRDefault="003E0A5D" w:rsidP="00AD21D6">
            <w:pPr>
              <w:pStyle w:val="ListParagraph"/>
              <w:numPr>
                <w:ilvl w:val="0"/>
                <w:numId w:val="47"/>
              </w:numPr>
              <w:spacing w:line="312" w:lineRule="auto"/>
              <w:rPr>
                <w:rFonts w:cs="Arial"/>
              </w:rPr>
            </w:pPr>
            <w:r w:rsidRPr="00384ADF">
              <w:rPr>
                <w:rFonts w:cs="Arial"/>
              </w:rPr>
              <w:t>Concerning the suitability of criteria, consider:</w:t>
            </w:r>
          </w:p>
          <w:p w14:paraId="443E1FD8" w14:textId="294FEC18" w:rsidR="003E0A5D" w:rsidRPr="00384ADF" w:rsidRDefault="00647652" w:rsidP="00AD21D6">
            <w:pPr>
              <w:pStyle w:val="ListParagraph"/>
              <w:widowControl/>
              <w:numPr>
                <w:ilvl w:val="0"/>
                <w:numId w:val="48"/>
              </w:numPr>
              <w:autoSpaceDE/>
              <w:autoSpaceDN/>
              <w:adjustRightInd/>
              <w:spacing w:line="312" w:lineRule="auto"/>
              <w:ind w:left="1310" w:hanging="425"/>
              <w:rPr>
                <w:rFonts w:cs="Arial"/>
              </w:rPr>
            </w:pPr>
            <w:r>
              <w:rPr>
                <w:rFonts w:cs="Arial"/>
              </w:rPr>
              <w:t>T</w:t>
            </w:r>
            <w:r w:rsidR="003E0A5D" w:rsidRPr="00384ADF">
              <w:rPr>
                <w:rFonts w:cs="Arial"/>
              </w:rPr>
              <w:t>he intended users who are interested in the underlying subject matter</w:t>
            </w:r>
            <w:r>
              <w:rPr>
                <w:rFonts w:cs="Arial"/>
              </w:rPr>
              <w:t>.</w:t>
            </w:r>
          </w:p>
          <w:p w14:paraId="4106F3D3" w14:textId="7A211754" w:rsidR="003E0A5D" w:rsidRPr="00384ADF" w:rsidRDefault="00647652" w:rsidP="00AD21D6">
            <w:pPr>
              <w:pStyle w:val="ListParagraph"/>
              <w:widowControl/>
              <w:numPr>
                <w:ilvl w:val="0"/>
                <w:numId w:val="48"/>
              </w:numPr>
              <w:autoSpaceDE/>
              <w:autoSpaceDN/>
              <w:adjustRightInd/>
              <w:spacing w:line="312" w:lineRule="auto"/>
              <w:ind w:left="1310" w:hanging="425"/>
              <w:rPr>
                <w:rFonts w:cs="Arial"/>
              </w:rPr>
            </w:pPr>
            <w:r>
              <w:rPr>
                <w:rFonts w:cs="Arial"/>
              </w:rPr>
              <w:t xml:space="preserve">Whether </w:t>
            </w:r>
            <w:r w:rsidR="003E0A5D" w:rsidRPr="00384ADF">
              <w:rPr>
                <w:rFonts w:cs="Arial"/>
              </w:rPr>
              <w:t>the criteria</w:t>
            </w:r>
            <w:r>
              <w:rPr>
                <w:rFonts w:cs="Arial"/>
              </w:rPr>
              <w:t xml:space="preserve"> were</w:t>
            </w:r>
            <w:r w:rsidR="003E0A5D" w:rsidRPr="00384ADF">
              <w:rPr>
                <w:rFonts w:cs="Arial"/>
              </w:rPr>
              <w:t xml:space="preserve"> specifically designed to address:</w:t>
            </w:r>
          </w:p>
          <w:p w14:paraId="42C4B0F5" w14:textId="6288DDB6" w:rsidR="003E0A5D" w:rsidRPr="00647652" w:rsidRDefault="003E0A5D" w:rsidP="00AD21D6">
            <w:pPr>
              <w:pStyle w:val="ListParagraph"/>
              <w:widowControl/>
              <w:numPr>
                <w:ilvl w:val="0"/>
                <w:numId w:val="10"/>
              </w:numPr>
              <w:autoSpaceDE/>
              <w:autoSpaceDN/>
              <w:adjustRightInd/>
              <w:spacing w:line="312" w:lineRule="auto"/>
            </w:pPr>
            <w:r w:rsidRPr="00647652">
              <w:t>The information needs of the intended users</w:t>
            </w:r>
            <w:r w:rsidR="00647652">
              <w:t>.</w:t>
            </w:r>
          </w:p>
          <w:p w14:paraId="0EC56F8A" w14:textId="37AE740C" w:rsidR="003E0A5D" w:rsidRPr="00384ADF" w:rsidRDefault="003E0A5D" w:rsidP="00AD21D6">
            <w:pPr>
              <w:pStyle w:val="ListParagraph"/>
              <w:widowControl/>
              <w:numPr>
                <w:ilvl w:val="0"/>
                <w:numId w:val="10"/>
              </w:numPr>
              <w:autoSpaceDE/>
              <w:autoSpaceDN/>
              <w:adjustRightInd/>
              <w:spacing w:line="312" w:lineRule="auto"/>
              <w:rPr>
                <w:rFonts w:cs="Arial"/>
              </w:rPr>
            </w:pPr>
            <w:r w:rsidRPr="00AD21D6">
              <w:t>T</w:t>
            </w:r>
            <w:r w:rsidRPr="00384ADF">
              <w:rPr>
                <w:rFonts w:cs="Arial"/>
              </w:rPr>
              <w:t>he relevant reporting context</w:t>
            </w:r>
            <w:r w:rsidR="00647652">
              <w:rPr>
                <w:rFonts w:cs="Arial"/>
              </w:rPr>
              <w:t>.</w:t>
            </w:r>
          </w:p>
          <w:p w14:paraId="4754AE04" w14:textId="29C20E0F" w:rsidR="003E0A5D" w:rsidRPr="00384ADF" w:rsidRDefault="003E0A5D" w:rsidP="00AD21D6">
            <w:pPr>
              <w:pStyle w:val="ListParagraph"/>
              <w:numPr>
                <w:ilvl w:val="0"/>
                <w:numId w:val="47"/>
              </w:numPr>
              <w:spacing w:line="312" w:lineRule="auto"/>
              <w:rPr>
                <w:rFonts w:cs="Arial"/>
              </w:rPr>
            </w:pPr>
            <w:r w:rsidRPr="00384ADF">
              <w:rPr>
                <w:rFonts w:cs="Arial"/>
              </w:rPr>
              <w:t>If the reporting entity uses criteria from an existing framework, consider:</w:t>
            </w:r>
          </w:p>
          <w:p w14:paraId="16A4A1BA" w14:textId="280F1455" w:rsidR="003E0A5D" w:rsidRPr="00384ADF" w:rsidRDefault="00647652" w:rsidP="00AD21D6">
            <w:pPr>
              <w:pStyle w:val="ListParagraph"/>
              <w:widowControl/>
              <w:numPr>
                <w:ilvl w:val="0"/>
                <w:numId w:val="48"/>
              </w:numPr>
              <w:autoSpaceDE/>
              <w:autoSpaceDN/>
              <w:adjustRightInd/>
              <w:spacing w:line="312" w:lineRule="auto"/>
              <w:ind w:left="1310" w:hanging="425"/>
              <w:rPr>
                <w:rFonts w:cs="Arial"/>
              </w:rPr>
            </w:pPr>
            <w:r>
              <w:rPr>
                <w:rFonts w:cs="Arial"/>
              </w:rPr>
              <w:t>Whether</w:t>
            </w:r>
            <w:r w:rsidR="003E0A5D" w:rsidRPr="00384ADF">
              <w:rPr>
                <w:rFonts w:cs="Arial"/>
              </w:rPr>
              <w:t xml:space="preserve"> the intended users anticipated by the reporting framework </w:t>
            </w:r>
            <w:r>
              <w:rPr>
                <w:rFonts w:cs="Arial"/>
              </w:rPr>
              <w:t xml:space="preserve">are </w:t>
            </w:r>
            <w:r w:rsidR="003E0A5D" w:rsidRPr="00384ADF">
              <w:rPr>
                <w:rFonts w:cs="Arial"/>
              </w:rPr>
              <w:t>similar to the intended users of the reporting entity’s sustainability information</w:t>
            </w:r>
            <w:r>
              <w:rPr>
                <w:rFonts w:cs="Arial"/>
              </w:rPr>
              <w:t>.</w:t>
            </w:r>
          </w:p>
          <w:p w14:paraId="44DD20FB" w14:textId="3C6A6F08" w:rsidR="003E0A5D" w:rsidRPr="00384ADF" w:rsidRDefault="00647652" w:rsidP="00AD21D6">
            <w:pPr>
              <w:pStyle w:val="ListParagraph"/>
              <w:widowControl/>
              <w:numPr>
                <w:ilvl w:val="0"/>
                <w:numId w:val="48"/>
              </w:numPr>
              <w:autoSpaceDE/>
              <w:autoSpaceDN/>
              <w:adjustRightInd/>
              <w:spacing w:line="312" w:lineRule="auto"/>
              <w:ind w:left="1310" w:hanging="425"/>
              <w:rPr>
                <w:rFonts w:cs="Arial"/>
              </w:rPr>
            </w:pPr>
            <w:r>
              <w:rPr>
                <w:rFonts w:cs="Arial"/>
              </w:rPr>
              <w:t>Whether</w:t>
            </w:r>
            <w:r w:rsidR="003E0A5D" w:rsidRPr="00384ADF">
              <w:rPr>
                <w:rFonts w:cs="Arial"/>
              </w:rPr>
              <w:t xml:space="preserve"> the existing reporting framework</w:t>
            </w:r>
            <w:r>
              <w:rPr>
                <w:rFonts w:cs="Arial"/>
              </w:rPr>
              <w:t xml:space="preserve"> will</w:t>
            </w:r>
            <w:r w:rsidR="003E0A5D" w:rsidRPr="00384ADF">
              <w:rPr>
                <w:rFonts w:cs="Arial"/>
              </w:rPr>
              <w:t xml:space="preserve"> support the reporting entity’s intended</w:t>
            </w:r>
            <w:r w:rsidR="003E0A5D" w:rsidRPr="00384ADF">
              <w:rPr>
                <w:rFonts w:cs="Arial"/>
                <w:lang w:eastAsia="en-ZA"/>
              </w:rPr>
              <w:t xml:space="preserve"> format of the subject matter information</w:t>
            </w:r>
            <w:r>
              <w:rPr>
                <w:rFonts w:cs="Arial"/>
              </w:rPr>
              <w:t>.</w:t>
            </w:r>
          </w:p>
          <w:p w14:paraId="164AB9BD" w14:textId="5A325D1F" w:rsidR="003E0A5D" w:rsidRPr="00384ADF" w:rsidRDefault="00647652" w:rsidP="00AD21D6">
            <w:pPr>
              <w:pStyle w:val="ListParagraph"/>
              <w:numPr>
                <w:ilvl w:val="0"/>
                <w:numId w:val="47"/>
              </w:numPr>
              <w:spacing w:line="312" w:lineRule="auto"/>
              <w:rPr>
                <w:rFonts w:cs="Arial"/>
              </w:rPr>
            </w:pPr>
            <w:r w:rsidRPr="00384ADF">
              <w:rPr>
                <w:rFonts w:cs="Arial"/>
              </w:rPr>
              <w:t>If the reporting entity uses criteria from an</w:t>
            </w:r>
            <w:r w:rsidR="003E0A5D" w:rsidRPr="00384ADF">
              <w:rPr>
                <w:rFonts w:cs="Arial"/>
              </w:rPr>
              <w:t xml:space="preserve"> internally developed criteria</w:t>
            </w:r>
            <w:r>
              <w:rPr>
                <w:rFonts w:cs="Arial"/>
              </w:rPr>
              <w:t>, consider</w:t>
            </w:r>
            <w:r w:rsidR="003E0A5D" w:rsidRPr="00384ADF">
              <w:rPr>
                <w:rFonts w:cs="Arial"/>
              </w:rPr>
              <w:t>:</w:t>
            </w:r>
          </w:p>
          <w:p w14:paraId="4BC43DC2" w14:textId="6EF242AA" w:rsidR="003E0A5D" w:rsidRPr="00384ADF" w:rsidRDefault="00647652" w:rsidP="00AD21D6">
            <w:pPr>
              <w:pStyle w:val="ListParagraph"/>
              <w:widowControl/>
              <w:numPr>
                <w:ilvl w:val="0"/>
                <w:numId w:val="48"/>
              </w:numPr>
              <w:autoSpaceDE/>
              <w:autoSpaceDN/>
              <w:adjustRightInd/>
              <w:spacing w:line="312" w:lineRule="auto"/>
              <w:ind w:left="1310" w:hanging="425"/>
              <w:rPr>
                <w:rFonts w:cs="Arial"/>
              </w:rPr>
            </w:pPr>
            <w:r>
              <w:rPr>
                <w:rFonts w:cs="Arial"/>
              </w:rPr>
              <w:t>Whether</w:t>
            </w:r>
            <w:r w:rsidR="003E0A5D" w:rsidRPr="00384ADF">
              <w:rPr>
                <w:rFonts w:cs="Arial"/>
              </w:rPr>
              <w:t xml:space="preserve"> the criteria</w:t>
            </w:r>
            <w:r>
              <w:rPr>
                <w:rFonts w:cs="Arial"/>
              </w:rPr>
              <w:t xml:space="preserve"> are</w:t>
            </w:r>
            <w:r w:rsidR="003E0A5D" w:rsidRPr="00384ADF">
              <w:rPr>
                <w:rFonts w:cs="Arial"/>
              </w:rPr>
              <w:t xml:space="preserve"> part of a formal reporting policy on measurement or evaluation</w:t>
            </w:r>
            <w:r>
              <w:rPr>
                <w:rFonts w:cs="Arial"/>
              </w:rPr>
              <w:t>.</w:t>
            </w:r>
          </w:p>
          <w:p w14:paraId="42821ADC" w14:textId="5F5CE0CA" w:rsidR="003E0A5D" w:rsidRPr="00384ADF" w:rsidRDefault="003E0A5D" w:rsidP="00AD21D6">
            <w:pPr>
              <w:pStyle w:val="ListParagraph"/>
              <w:widowControl/>
              <w:numPr>
                <w:ilvl w:val="0"/>
                <w:numId w:val="48"/>
              </w:numPr>
              <w:autoSpaceDE/>
              <w:autoSpaceDN/>
              <w:adjustRightInd/>
              <w:spacing w:line="312" w:lineRule="auto"/>
              <w:ind w:left="1310" w:hanging="425"/>
              <w:rPr>
                <w:rFonts w:cs="Arial"/>
              </w:rPr>
            </w:pPr>
            <w:r w:rsidRPr="00384ADF">
              <w:rPr>
                <w:rFonts w:cs="Arial"/>
              </w:rPr>
              <w:t>To what extent the intended users</w:t>
            </w:r>
            <w:r w:rsidR="00647652">
              <w:rPr>
                <w:rFonts w:cs="Arial"/>
              </w:rPr>
              <w:t xml:space="preserve"> were</w:t>
            </w:r>
            <w:r w:rsidRPr="00384ADF">
              <w:rPr>
                <w:rFonts w:cs="Arial"/>
              </w:rPr>
              <w:t xml:space="preserve"> involved in the development of the policy/criteria</w:t>
            </w:r>
            <w:r w:rsidR="00647652">
              <w:rPr>
                <w:rFonts w:cs="Arial"/>
              </w:rPr>
              <w:t>.</w:t>
            </w:r>
          </w:p>
          <w:p w14:paraId="144D4C88" w14:textId="7534B661" w:rsidR="003E0A5D" w:rsidRPr="00384ADF" w:rsidRDefault="00647652" w:rsidP="00AD21D6">
            <w:pPr>
              <w:pStyle w:val="ListParagraph"/>
              <w:widowControl/>
              <w:numPr>
                <w:ilvl w:val="0"/>
                <w:numId w:val="48"/>
              </w:numPr>
              <w:autoSpaceDE/>
              <w:autoSpaceDN/>
              <w:adjustRightInd/>
              <w:spacing w:line="312" w:lineRule="auto"/>
              <w:ind w:left="1310" w:hanging="425"/>
              <w:rPr>
                <w:rFonts w:cs="Arial"/>
              </w:rPr>
            </w:pPr>
            <w:r>
              <w:rPr>
                <w:rFonts w:cs="Arial"/>
              </w:rPr>
              <w:t>Whether</w:t>
            </w:r>
            <w:r w:rsidRPr="00384ADF">
              <w:rPr>
                <w:rFonts w:cs="Arial"/>
              </w:rPr>
              <w:t xml:space="preserve"> </w:t>
            </w:r>
            <w:r w:rsidR="003E0A5D" w:rsidRPr="00384ADF">
              <w:rPr>
                <w:rFonts w:cs="Arial"/>
              </w:rPr>
              <w:t>an internal transparent due process</w:t>
            </w:r>
            <w:r>
              <w:rPr>
                <w:rFonts w:cs="Arial"/>
              </w:rPr>
              <w:t xml:space="preserve"> was</w:t>
            </w:r>
            <w:r w:rsidR="003E0A5D" w:rsidRPr="00384ADF">
              <w:rPr>
                <w:rFonts w:cs="Arial"/>
              </w:rPr>
              <w:t xml:space="preserve"> followed to develop the policy</w:t>
            </w:r>
            <w:r>
              <w:rPr>
                <w:rFonts w:cs="Arial"/>
              </w:rPr>
              <w:t>.</w:t>
            </w:r>
          </w:p>
          <w:p w14:paraId="747DB261" w14:textId="44D69024" w:rsidR="003E0A5D" w:rsidRPr="00384ADF" w:rsidRDefault="00647652" w:rsidP="00AD21D6">
            <w:pPr>
              <w:pStyle w:val="ListParagraph"/>
              <w:widowControl/>
              <w:numPr>
                <w:ilvl w:val="0"/>
                <w:numId w:val="48"/>
              </w:numPr>
              <w:autoSpaceDE/>
              <w:autoSpaceDN/>
              <w:adjustRightInd/>
              <w:spacing w:line="312" w:lineRule="auto"/>
              <w:ind w:left="1310" w:hanging="425"/>
              <w:rPr>
                <w:rFonts w:cs="Arial"/>
              </w:rPr>
            </w:pPr>
            <w:r>
              <w:rPr>
                <w:rFonts w:cs="Arial"/>
              </w:rPr>
              <w:t>Whether</w:t>
            </w:r>
            <w:r w:rsidRPr="00384ADF">
              <w:rPr>
                <w:rFonts w:cs="Arial"/>
              </w:rPr>
              <w:t xml:space="preserve"> </w:t>
            </w:r>
            <w:r w:rsidR="003E0A5D" w:rsidRPr="00384ADF">
              <w:rPr>
                <w:rFonts w:cs="Arial"/>
              </w:rPr>
              <w:t>the measurement or evaluation criteria</w:t>
            </w:r>
            <w:r>
              <w:rPr>
                <w:rFonts w:cs="Arial"/>
              </w:rPr>
              <w:t xml:space="preserve"> are</w:t>
            </w:r>
            <w:r w:rsidR="003E0A5D" w:rsidRPr="00384ADF">
              <w:rPr>
                <w:rFonts w:cs="Arial"/>
              </w:rPr>
              <w:t xml:space="preserve"> available to the intended user</w:t>
            </w:r>
            <w:r>
              <w:rPr>
                <w:rFonts w:cs="Arial"/>
              </w:rPr>
              <w:t>.</w:t>
            </w:r>
          </w:p>
          <w:p w14:paraId="711B330D" w14:textId="0A335CE7" w:rsidR="003E0A5D" w:rsidRPr="00384ADF" w:rsidRDefault="00647652" w:rsidP="00AD21D6">
            <w:pPr>
              <w:pStyle w:val="ListParagraph"/>
              <w:widowControl/>
              <w:numPr>
                <w:ilvl w:val="0"/>
                <w:numId w:val="48"/>
              </w:numPr>
              <w:autoSpaceDE/>
              <w:autoSpaceDN/>
              <w:adjustRightInd/>
              <w:spacing w:line="312" w:lineRule="auto"/>
              <w:ind w:left="1310" w:hanging="425"/>
            </w:pPr>
            <w:r>
              <w:rPr>
                <w:rFonts w:cs="Arial"/>
              </w:rPr>
              <w:t>Whether</w:t>
            </w:r>
            <w:r w:rsidRPr="00384ADF">
              <w:rPr>
                <w:rFonts w:cs="Arial"/>
              </w:rPr>
              <w:t xml:space="preserve"> </w:t>
            </w:r>
            <w:r w:rsidR="003E0A5D" w:rsidRPr="00384ADF">
              <w:rPr>
                <w:rFonts w:cs="Arial"/>
              </w:rPr>
              <w:t>the design of the measurement or evaluation criteria</w:t>
            </w:r>
            <w:r>
              <w:rPr>
                <w:rFonts w:cs="Arial"/>
              </w:rPr>
              <w:t xml:space="preserve"> is</w:t>
            </w:r>
            <w:r w:rsidR="003E0A5D" w:rsidRPr="00384ADF">
              <w:rPr>
                <w:rFonts w:cs="Arial"/>
              </w:rPr>
              <w:t xml:space="preserve"> described sufficiently to produce relevant and reliable subject matter information</w:t>
            </w:r>
            <w:r>
              <w:rPr>
                <w:rFonts w:cs="Arial"/>
              </w:rPr>
              <w:t>.</w:t>
            </w:r>
          </w:p>
        </w:tc>
      </w:tr>
    </w:tbl>
    <w:p w14:paraId="751F4417" w14:textId="77777777" w:rsidR="008402A2" w:rsidRPr="00384ADF" w:rsidRDefault="008402A2" w:rsidP="00155539">
      <w:pPr>
        <w:pStyle w:val="NumList"/>
        <w:keepNext/>
        <w:widowControl/>
        <w:numPr>
          <w:ilvl w:val="0"/>
          <w:numId w:val="0"/>
        </w:numPr>
        <w:spacing w:after="0" w:line="312" w:lineRule="auto"/>
      </w:pPr>
    </w:p>
    <w:p w14:paraId="6095BE9D" w14:textId="1CD5907B" w:rsidR="009D3D41" w:rsidRPr="00384ADF" w:rsidRDefault="000D3491" w:rsidP="00CC5161">
      <w:pPr>
        <w:pStyle w:val="Heading4"/>
      </w:pPr>
      <w:r w:rsidRPr="00384ADF">
        <w:t>Measurement</w:t>
      </w:r>
      <w:r w:rsidR="006627F5" w:rsidRPr="00384ADF">
        <w:t xml:space="preserve"> or evaluation</w:t>
      </w:r>
      <w:r w:rsidR="008402A2" w:rsidRPr="00384ADF">
        <w:t xml:space="preserve"> criteria</w:t>
      </w:r>
    </w:p>
    <w:p w14:paraId="0512934E" w14:textId="02AB5700" w:rsidR="009D3D41" w:rsidRPr="00384ADF" w:rsidRDefault="000D3491" w:rsidP="005279E7">
      <w:pPr>
        <w:pStyle w:val="NumList"/>
        <w:spacing w:line="312" w:lineRule="auto"/>
      </w:pPr>
      <w:r w:rsidRPr="00384ADF">
        <w:t xml:space="preserve">In </w:t>
      </w:r>
      <w:r w:rsidR="00453140" w:rsidRPr="00384ADF">
        <w:rPr>
          <w:rFonts w:cs="Arial"/>
        </w:rPr>
        <w:t xml:space="preserve">determining whether the sustainability assurance engagement exhibits </w:t>
      </w:r>
      <w:r w:rsidR="00453140" w:rsidRPr="00384ADF">
        <w:t>suitable measurement or evaluation</w:t>
      </w:r>
      <w:r w:rsidR="00453140" w:rsidRPr="00384ADF">
        <w:rPr>
          <w:rFonts w:cs="Arial"/>
        </w:rPr>
        <w:t xml:space="preserve"> criteria for the engagement circumstances</w:t>
      </w:r>
      <w:r w:rsidRPr="00384ADF">
        <w:t>, the characteristics of relevance, completeness, reliability, neutrality and understandability</w:t>
      </w:r>
      <w:r w:rsidR="00AD1A7A" w:rsidRPr="00384ADF">
        <w:rPr>
          <w:rStyle w:val="FootnoteReference"/>
          <w:vertAlign w:val="superscript"/>
        </w:rPr>
        <w:footnoteReference w:id="35"/>
      </w:r>
      <w:r w:rsidRPr="00384ADF">
        <w:t xml:space="preserve"> need to be considered</w:t>
      </w:r>
      <w:r w:rsidR="009D3D41" w:rsidRPr="00384ADF">
        <w:t xml:space="preserve">. In other words, all the relevant </w:t>
      </w:r>
      <w:r w:rsidR="00AD1A7A" w:rsidRPr="00384ADF">
        <w:t xml:space="preserve">characteristics </w:t>
      </w:r>
      <w:r w:rsidR="009D3D41" w:rsidRPr="00384ADF">
        <w:t xml:space="preserve">that </w:t>
      </w:r>
      <w:r w:rsidR="00621855" w:rsidRPr="00384ADF">
        <w:t xml:space="preserve">may </w:t>
      </w:r>
      <w:r w:rsidR="009D3D41" w:rsidRPr="00384ADF">
        <w:t>affect the decisions of the intended users</w:t>
      </w:r>
      <w:r w:rsidR="0003436C" w:rsidRPr="00384ADF">
        <w:t xml:space="preserve"> should</w:t>
      </w:r>
      <w:r w:rsidR="009D3D41" w:rsidRPr="00384ADF">
        <w:t xml:space="preserve"> be included in the</w:t>
      </w:r>
      <w:r w:rsidR="005768E6" w:rsidRPr="00384ADF">
        <w:t xml:space="preserve"> measurement</w:t>
      </w:r>
      <w:r w:rsidR="00FD79C9" w:rsidRPr="00384ADF">
        <w:t xml:space="preserve"> or evaluation</w:t>
      </w:r>
      <w:r w:rsidR="009D3D41" w:rsidRPr="00384ADF">
        <w:t xml:space="preserve"> criteria. </w:t>
      </w:r>
      <w:r w:rsidR="00EC0FB7" w:rsidRPr="00384ADF">
        <w:t>Suitable measurement or evaluation</w:t>
      </w:r>
      <w:r w:rsidR="00EC0FB7" w:rsidRPr="00384ADF">
        <w:rPr>
          <w:rFonts w:cs="Arial"/>
        </w:rPr>
        <w:t xml:space="preserve"> criteria</w:t>
      </w:r>
      <w:r w:rsidR="00EC0FB7" w:rsidRPr="00384ADF" w:rsidDel="00EC0FB7">
        <w:t xml:space="preserve"> </w:t>
      </w:r>
      <w:r w:rsidR="009D3D41" w:rsidRPr="00384ADF">
        <w:t>also yield</w:t>
      </w:r>
      <w:r w:rsidR="00F714A7" w:rsidRPr="00384ADF">
        <w:t>s</w:t>
      </w:r>
      <w:r w:rsidR="009D3D41" w:rsidRPr="00384ADF">
        <w:t xml:space="preserve"> consistent </w:t>
      </w:r>
      <w:r w:rsidR="002D3791" w:rsidRPr="00384ADF">
        <w:t xml:space="preserve">measurement or evaluation </w:t>
      </w:r>
      <w:r w:rsidR="009D3D41" w:rsidRPr="00384ADF">
        <w:t xml:space="preserve">from </w:t>
      </w:r>
      <w:r w:rsidR="002D3791" w:rsidRPr="00384ADF">
        <w:t xml:space="preserve">period </w:t>
      </w:r>
      <w:r w:rsidR="009D3D41" w:rsidRPr="00384ADF">
        <w:t xml:space="preserve">to </w:t>
      </w:r>
      <w:r w:rsidR="002D3791" w:rsidRPr="00384ADF">
        <w:t>period</w:t>
      </w:r>
      <w:r w:rsidR="009D3D41" w:rsidRPr="00384ADF">
        <w:t xml:space="preserve">, </w:t>
      </w:r>
      <w:r w:rsidR="0003436C" w:rsidRPr="00384ADF">
        <w:t xml:space="preserve">have </w:t>
      </w:r>
      <w:r w:rsidR="009D3D41" w:rsidRPr="00384ADF">
        <w:t>minimal susceptibility to management bias and</w:t>
      </w:r>
      <w:r w:rsidR="00625574" w:rsidRPr="00384ADF">
        <w:t xml:space="preserve"> </w:t>
      </w:r>
      <w:r w:rsidR="00EC0FB7" w:rsidRPr="00384ADF">
        <w:t>are</w:t>
      </w:r>
      <w:r w:rsidR="009D3D41" w:rsidRPr="00384ADF">
        <w:t xml:space="preserve"> easily understandable.</w:t>
      </w:r>
    </w:p>
    <w:p w14:paraId="587B4FFF" w14:textId="34C7BE6C" w:rsidR="00754FC3" w:rsidRPr="00384ADF" w:rsidRDefault="00754FC3" w:rsidP="005279E7">
      <w:pPr>
        <w:pStyle w:val="NumList"/>
        <w:spacing w:line="312" w:lineRule="auto"/>
      </w:pPr>
      <w:r w:rsidRPr="00384ADF">
        <w:t xml:space="preserve">The example of customer satisfaction </w:t>
      </w:r>
      <w:r w:rsidR="00527981" w:rsidRPr="00384ADF">
        <w:t>is</w:t>
      </w:r>
      <w:r w:rsidRPr="00384ADF">
        <w:t xml:space="preserve"> used to illustrate </w:t>
      </w:r>
      <w:r w:rsidR="00453140" w:rsidRPr="00384ADF">
        <w:t xml:space="preserve">what </w:t>
      </w:r>
      <w:r w:rsidRPr="00384ADF">
        <w:t xml:space="preserve">a </w:t>
      </w:r>
      <w:r w:rsidR="00405780" w:rsidRPr="00384ADF">
        <w:t>practitioner</w:t>
      </w:r>
      <w:r w:rsidRPr="00384ADF">
        <w:t xml:space="preserve"> may encounter in </w:t>
      </w:r>
      <w:r w:rsidR="00EC0FB7" w:rsidRPr="00384ADF">
        <w:t xml:space="preserve">a sustainability </w:t>
      </w:r>
      <w:r w:rsidRPr="00384ADF">
        <w:t>assurance engagement. In this example</w:t>
      </w:r>
      <w:r w:rsidR="00BD38F6" w:rsidRPr="00384ADF">
        <w:t>,</w:t>
      </w:r>
      <w:r w:rsidRPr="00384ADF">
        <w:t xml:space="preserve"> the </w:t>
      </w:r>
      <w:r w:rsidR="00405780" w:rsidRPr="00384ADF">
        <w:t>underlying subject matter</w:t>
      </w:r>
      <w:r w:rsidRPr="00384ADF">
        <w:t xml:space="preserve"> is customer satisfaction and the subject matter information is </w:t>
      </w:r>
      <w:r w:rsidR="000D61CA" w:rsidRPr="00384ADF">
        <w:t>the actual number of complaints resolved to the acknowledged satisfaction</w:t>
      </w:r>
      <w:r w:rsidRPr="00384ADF">
        <w:t xml:space="preserve"> of</w:t>
      </w:r>
      <w:r w:rsidR="000D61CA" w:rsidRPr="00384ADF">
        <w:t xml:space="preserve"> the</w:t>
      </w:r>
      <w:r w:rsidRPr="00384ADF">
        <w:t xml:space="preserve"> customer. In this case, the </w:t>
      </w:r>
      <w:r w:rsidR="005768E6" w:rsidRPr="00384ADF">
        <w:t>measurement</w:t>
      </w:r>
      <w:r w:rsidR="00FD79C9" w:rsidRPr="00384ADF">
        <w:t xml:space="preserve"> or evaluation</w:t>
      </w:r>
      <w:r w:rsidR="005768E6" w:rsidRPr="00384ADF">
        <w:t xml:space="preserve"> </w:t>
      </w:r>
      <w:r w:rsidRPr="00384ADF">
        <w:t xml:space="preserve">criteria </w:t>
      </w:r>
      <w:r w:rsidR="003B5F3D" w:rsidRPr="00384ADF">
        <w:t xml:space="preserve">may </w:t>
      </w:r>
      <w:r w:rsidRPr="00384ADF">
        <w:t>be the benchmarks (or measurement</w:t>
      </w:r>
      <w:r w:rsidR="007447E3" w:rsidRPr="00384ADF">
        <w:t xml:space="preserve"> or evaluation</w:t>
      </w:r>
      <w:r w:rsidRPr="00384ADF">
        <w:t xml:space="preserve"> protocols) used to arrive at the</w:t>
      </w:r>
      <w:r w:rsidR="000D61CA" w:rsidRPr="00384ADF">
        <w:t xml:space="preserve"> actual</w:t>
      </w:r>
      <w:r w:rsidRPr="00384ADF">
        <w:t xml:space="preserve"> number </w:t>
      </w:r>
      <w:r w:rsidR="000D61CA" w:rsidRPr="00384ADF">
        <w:t>of complaints resolved to the acknowledged satisfaction of the customer</w:t>
      </w:r>
      <w:r w:rsidRPr="00384ADF">
        <w:t xml:space="preserve">. The following considerations may be </w:t>
      </w:r>
      <w:r w:rsidR="00B43AFD" w:rsidRPr="00384ADF">
        <w:t>found in the reporting entity’s</w:t>
      </w:r>
      <w:r w:rsidR="00B841AB" w:rsidRPr="00384ADF">
        <w:t xml:space="preserve"> reporting policies (or equivalent)</w:t>
      </w:r>
      <w:r w:rsidRPr="00384ADF">
        <w:t>:</w:t>
      </w:r>
    </w:p>
    <w:p w14:paraId="06B6B3E6" w14:textId="023554A0" w:rsidR="00754FC3" w:rsidRPr="00384ADF" w:rsidRDefault="00754FC3" w:rsidP="001E45B8">
      <w:pPr>
        <w:pStyle w:val="NumList"/>
        <w:numPr>
          <w:ilvl w:val="1"/>
          <w:numId w:val="4"/>
        </w:numPr>
        <w:spacing w:line="312" w:lineRule="auto"/>
        <w:ind w:hanging="425"/>
      </w:pPr>
      <w:r w:rsidRPr="00384ADF">
        <w:rPr>
          <w:i/>
        </w:rPr>
        <w:t>Relevance:</w:t>
      </w:r>
      <w:r w:rsidRPr="00384ADF">
        <w:t xml:space="preserve"> Is </w:t>
      </w:r>
      <w:r w:rsidR="000D61CA" w:rsidRPr="00384ADF">
        <w:t xml:space="preserve">the way that the </w:t>
      </w:r>
      <w:r w:rsidRPr="00384ADF">
        <w:t>measurement</w:t>
      </w:r>
      <w:r w:rsidR="00FD79C9" w:rsidRPr="00384ADF">
        <w:t xml:space="preserve"> or evaluation</w:t>
      </w:r>
      <w:r w:rsidR="000D61CA" w:rsidRPr="00384ADF">
        <w:t xml:space="preserve"> is defined</w:t>
      </w:r>
      <w:r w:rsidRPr="00384ADF">
        <w:t xml:space="preserve"> relevant to</w:t>
      </w:r>
      <w:r w:rsidR="000D61CA" w:rsidRPr="00384ADF">
        <w:t xml:space="preserve"> assist the decision-making of</w:t>
      </w:r>
      <w:r w:rsidRPr="00384ADF">
        <w:t xml:space="preserve"> the intended users? </w:t>
      </w:r>
      <w:r w:rsidR="006517B4" w:rsidRPr="00384ADF">
        <w:rPr>
          <w:rFonts w:cs="Arial"/>
          <w:lang w:eastAsia="en-ZA"/>
        </w:rPr>
        <w:t xml:space="preserve">In this example, it </w:t>
      </w:r>
      <w:r w:rsidR="003B5F3D" w:rsidRPr="00384ADF">
        <w:rPr>
          <w:rFonts w:cs="Arial"/>
          <w:lang w:eastAsia="en-ZA"/>
        </w:rPr>
        <w:t>may</w:t>
      </w:r>
      <w:r w:rsidR="006517B4" w:rsidRPr="00384ADF">
        <w:rPr>
          <w:rFonts w:cs="Arial"/>
          <w:lang w:eastAsia="en-ZA"/>
        </w:rPr>
        <w:t xml:space="preserve"> be relevant to measure or evaluate customer satisfaction by way of the resolution of complaints to the acknowledged satisfaction of the customer, since </w:t>
      </w:r>
      <w:r w:rsidR="0003436C" w:rsidRPr="00384ADF">
        <w:rPr>
          <w:rFonts w:cs="Arial"/>
          <w:lang w:eastAsia="en-ZA"/>
        </w:rPr>
        <w:t xml:space="preserve">that </w:t>
      </w:r>
      <w:r w:rsidR="006517B4" w:rsidRPr="00384ADF">
        <w:rPr>
          <w:rFonts w:cs="Arial"/>
          <w:lang w:eastAsia="en-ZA"/>
        </w:rPr>
        <w:t>provides decision-useful information about customer satisfaction</w:t>
      </w:r>
      <w:r w:rsidR="009C78BF" w:rsidRPr="00384ADF">
        <w:t>. However, if the measure</w:t>
      </w:r>
      <w:r w:rsidR="00FD79C9" w:rsidRPr="00384ADF">
        <w:t xml:space="preserve"> or </w:t>
      </w:r>
      <w:r w:rsidR="009D3065" w:rsidRPr="00384ADF">
        <w:t xml:space="preserve">evaluation </w:t>
      </w:r>
      <w:r w:rsidR="009C78BF" w:rsidRPr="00384ADF">
        <w:t xml:space="preserve">was the number of returned calls to aggrieved customers, this </w:t>
      </w:r>
      <w:r w:rsidR="00524570" w:rsidRPr="00384ADF">
        <w:t>is</w:t>
      </w:r>
      <w:r w:rsidR="009C78BF" w:rsidRPr="00384ADF">
        <w:t xml:space="preserve"> unlikely </w:t>
      </w:r>
      <w:r w:rsidR="00524570" w:rsidRPr="00384ADF">
        <w:t xml:space="preserve">to </w:t>
      </w:r>
      <w:r w:rsidR="005768E6" w:rsidRPr="00384ADF">
        <w:t>be</w:t>
      </w:r>
      <w:r w:rsidR="009C78BF" w:rsidRPr="00384ADF">
        <w:t xml:space="preserve"> a relevant measure</w:t>
      </w:r>
      <w:r w:rsidR="00FD79C9" w:rsidRPr="00384ADF">
        <w:t xml:space="preserve"> or </w:t>
      </w:r>
      <w:r w:rsidR="009D3065" w:rsidRPr="00384ADF">
        <w:t xml:space="preserve">evaluation </w:t>
      </w:r>
      <w:r w:rsidR="002D3791" w:rsidRPr="00384ADF">
        <w:t xml:space="preserve">because </w:t>
      </w:r>
      <w:r w:rsidR="00C11BE5" w:rsidRPr="00384ADF">
        <w:t>a return call may not have completely resolved the complaint</w:t>
      </w:r>
      <w:r w:rsidR="00E51EF7" w:rsidRPr="00384ADF">
        <w:t xml:space="preserve"> and </w:t>
      </w:r>
      <w:r w:rsidR="003B5F3D" w:rsidRPr="00384ADF">
        <w:t>may</w:t>
      </w:r>
      <w:r w:rsidR="00E51EF7" w:rsidRPr="00384ADF">
        <w:t xml:space="preserve"> therefore not provide decision-useful information about customer satisfaction</w:t>
      </w:r>
      <w:r w:rsidR="00405780" w:rsidRPr="00384ADF">
        <w:t>.</w:t>
      </w:r>
    </w:p>
    <w:p w14:paraId="2F20DA9B" w14:textId="2E333EB2" w:rsidR="00754FC3" w:rsidRPr="00384ADF" w:rsidRDefault="00754FC3" w:rsidP="00BE573F">
      <w:pPr>
        <w:pStyle w:val="NumList"/>
        <w:numPr>
          <w:ilvl w:val="1"/>
          <w:numId w:val="4"/>
        </w:numPr>
        <w:spacing w:line="312" w:lineRule="auto"/>
        <w:ind w:hanging="425"/>
      </w:pPr>
      <w:r w:rsidRPr="00384ADF">
        <w:rPr>
          <w:i/>
        </w:rPr>
        <w:t>Completeness:</w:t>
      </w:r>
      <w:r w:rsidRPr="00384ADF">
        <w:t xml:space="preserve"> </w:t>
      </w:r>
      <w:r w:rsidR="005768E6" w:rsidRPr="00384ADF">
        <w:t>Do</w:t>
      </w:r>
      <w:r w:rsidR="009C78BF" w:rsidRPr="00384ADF">
        <w:t xml:space="preserve"> the measurement</w:t>
      </w:r>
      <w:r w:rsidR="00FD79C9" w:rsidRPr="00384ADF">
        <w:t xml:space="preserve"> or evaluation</w:t>
      </w:r>
      <w:r w:rsidR="009C78BF" w:rsidRPr="00384ADF">
        <w:t xml:space="preserve"> criteria omit any relevant factors</w:t>
      </w:r>
      <w:r w:rsidR="002524E2" w:rsidRPr="00384ADF">
        <w:t xml:space="preserve"> that </w:t>
      </w:r>
      <w:r w:rsidR="00D4047E" w:rsidRPr="00384ADF">
        <w:t xml:space="preserve">may </w:t>
      </w:r>
      <w:r w:rsidR="002524E2" w:rsidRPr="00384ADF">
        <w:t>reasonably be expected to affect</w:t>
      </w:r>
      <w:r w:rsidR="0003436C" w:rsidRPr="00384ADF">
        <w:t xml:space="preserve"> the</w:t>
      </w:r>
      <w:r w:rsidR="002524E2" w:rsidRPr="00384ADF">
        <w:t xml:space="preserve"> decisions the intended users made on the basis of that subject matter information</w:t>
      </w:r>
      <w:r w:rsidR="009C78BF" w:rsidRPr="00384ADF">
        <w:t>? For example, the measurement</w:t>
      </w:r>
      <w:r w:rsidR="00FD79C9" w:rsidRPr="00384ADF">
        <w:t xml:space="preserve"> or evaluation</w:t>
      </w:r>
      <w:r w:rsidR="009C78BF" w:rsidRPr="00384ADF">
        <w:t xml:space="preserve"> of the number of complaints resolved to the acknowledged satisfaction of the customer may rely on information from a variety of sources. </w:t>
      </w:r>
      <w:r w:rsidR="007447E3" w:rsidRPr="00384ADF">
        <w:t>Complete criteria include a</w:t>
      </w:r>
      <w:r w:rsidR="00FD5F08" w:rsidRPr="00384ADF">
        <w:t>n</w:t>
      </w:r>
      <w:r w:rsidR="007447E3" w:rsidRPr="00384ADF">
        <w:t xml:space="preserve"> </w:t>
      </w:r>
      <w:r w:rsidR="00FD5F08" w:rsidRPr="00384ADF">
        <w:t>appropriate</w:t>
      </w:r>
      <w:r w:rsidR="007447E3" w:rsidRPr="00384ADF">
        <w:t xml:space="preserve"> description of all the sources that are to be included as part of the measurement or evaluation. </w:t>
      </w:r>
      <w:r w:rsidR="009C78BF" w:rsidRPr="00384ADF">
        <w:t>Complete measurement</w:t>
      </w:r>
      <w:r w:rsidR="00FD79C9" w:rsidRPr="00384ADF">
        <w:t xml:space="preserve"> or evaluation</w:t>
      </w:r>
      <w:r w:rsidR="009C78BF" w:rsidRPr="00384ADF">
        <w:t xml:space="preserve"> thereof would not omit information from any of the relevant sources</w:t>
      </w:r>
      <w:r w:rsidRPr="00384ADF">
        <w:t>.</w:t>
      </w:r>
    </w:p>
    <w:p w14:paraId="155021EA" w14:textId="1E5077D0" w:rsidR="00754FC3" w:rsidRPr="00384ADF" w:rsidRDefault="00754FC3" w:rsidP="00BE573F">
      <w:pPr>
        <w:pStyle w:val="NumList"/>
        <w:numPr>
          <w:ilvl w:val="1"/>
          <w:numId w:val="4"/>
        </w:numPr>
        <w:spacing w:line="312" w:lineRule="auto"/>
        <w:ind w:hanging="425"/>
      </w:pPr>
      <w:r w:rsidRPr="00384ADF">
        <w:rPr>
          <w:i/>
        </w:rPr>
        <w:t>Reliability:</w:t>
      </w:r>
      <w:r w:rsidRPr="00384ADF">
        <w:t xml:space="preserve"> This </w:t>
      </w:r>
      <w:r w:rsidR="00405780" w:rsidRPr="00384ADF">
        <w:t>characteristic</w:t>
      </w:r>
      <w:r w:rsidRPr="00384ADF">
        <w:t xml:space="preserve"> </w:t>
      </w:r>
      <w:r w:rsidR="00D81EA9" w:rsidRPr="00384ADF">
        <w:t xml:space="preserve">applies </w:t>
      </w:r>
      <w:r w:rsidRPr="00384ADF">
        <w:t>more to the robustness of the actual measurement</w:t>
      </w:r>
      <w:r w:rsidR="00FD79C9" w:rsidRPr="00384ADF">
        <w:t xml:space="preserve"> or evaluation</w:t>
      </w:r>
      <w:r w:rsidRPr="00384ADF">
        <w:t xml:space="preserve"> protocol. The practitioner assess</w:t>
      </w:r>
      <w:r w:rsidR="005768E6" w:rsidRPr="00384ADF">
        <w:t>es</w:t>
      </w:r>
      <w:r w:rsidRPr="00384ADF">
        <w:t xml:space="preserve"> whether the measurement </w:t>
      </w:r>
      <w:r w:rsidR="00FD79C9" w:rsidRPr="00384ADF">
        <w:t xml:space="preserve">or evaluation </w:t>
      </w:r>
      <w:r w:rsidRPr="00384ADF">
        <w:t>effectively describe</w:t>
      </w:r>
      <w:r w:rsidR="005768E6" w:rsidRPr="00384ADF">
        <w:t>s</w:t>
      </w:r>
      <w:r w:rsidRPr="00384ADF">
        <w:t xml:space="preserve"> the sources of information and how the calculation should be performed to ensure that results are consistent and not dependent on prior knowledge </w:t>
      </w:r>
      <w:r w:rsidR="00092BEC" w:rsidRPr="00384ADF">
        <w:t xml:space="preserve">of </w:t>
      </w:r>
      <w:r w:rsidRPr="00384ADF">
        <w:t>the topic by the prepare</w:t>
      </w:r>
      <w:r w:rsidR="003A4AE1" w:rsidRPr="00384ADF">
        <w:t>r</w:t>
      </w:r>
      <w:r w:rsidRPr="00384ADF">
        <w:t xml:space="preserve"> or </w:t>
      </w:r>
      <w:r w:rsidR="00405780" w:rsidRPr="00384ADF">
        <w:t>practitioner</w:t>
      </w:r>
      <w:r w:rsidRPr="00384ADF">
        <w:t>. In the example above, the way that</w:t>
      </w:r>
      <w:r w:rsidR="009C78BF" w:rsidRPr="00384ADF">
        <w:t xml:space="preserve"> the</w:t>
      </w:r>
      <w:r w:rsidRPr="00384ADF">
        <w:t xml:space="preserve"> </w:t>
      </w:r>
      <w:r w:rsidR="009C78BF" w:rsidRPr="00384ADF">
        <w:t>number of complaints resolved to the acknowledged satisfaction of the customer</w:t>
      </w:r>
      <w:r w:rsidRPr="00384ADF">
        <w:t xml:space="preserve"> is defined may determine whether the </w:t>
      </w:r>
      <w:r w:rsidR="00405780" w:rsidRPr="00384ADF">
        <w:t>practitioner</w:t>
      </w:r>
      <w:r w:rsidRPr="00384ADF">
        <w:t xml:space="preserve"> is satisfied </w:t>
      </w:r>
      <w:r w:rsidR="00092BEC" w:rsidRPr="00384ADF">
        <w:t xml:space="preserve">that </w:t>
      </w:r>
      <w:r w:rsidRPr="00384ADF">
        <w:t xml:space="preserve">the reliability </w:t>
      </w:r>
      <w:r w:rsidR="00405780" w:rsidRPr="00384ADF">
        <w:t>characteristic</w:t>
      </w:r>
      <w:r w:rsidRPr="00384ADF">
        <w:t xml:space="preserve"> is met.</w:t>
      </w:r>
    </w:p>
    <w:p w14:paraId="3E31D81D" w14:textId="2EAA0B41" w:rsidR="00754FC3" w:rsidRPr="00384ADF" w:rsidRDefault="00754FC3" w:rsidP="00BE573F">
      <w:pPr>
        <w:pStyle w:val="NumList"/>
        <w:numPr>
          <w:ilvl w:val="1"/>
          <w:numId w:val="4"/>
        </w:numPr>
        <w:spacing w:line="312" w:lineRule="auto"/>
        <w:ind w:hanging="425"/>
      </w:pPr>
      <w:r w:rsidRPr="00384ADF">
        <w:rPr>
          <w:i/>
        </w:rPr>
        <w:t>Neutrality:</w:t>
      </w:r>
      <w:r w:rsidRPr="00384ADF">
        <w:t xml:space="preserve"> Management may define a specific measurement</w:t>
      </w:r>
      <w:r w:rsidR="00D2199F" w:rsidRPr="00384ADF">
        <w:t xml:space="preserve"> or evaluation</w:t>
      </w:r>
      <w:r w:rsidRPr="00384ADF">
        <w:t xml:space="preserve"> in such a way that it slants the result </w:t>
      </w:r>
      <w:r w:rsidR="00A83F83" w:rsidRPr="00384ADF">
        <w:t>and</w:t>
      </w:r>
      <w:r w:rsidRPr="00384ADF">
        <w:t xml:space="preserve"> shed</w:t>
      </w:r>
      <w:r w:rsidR="00524570" w:rsidRPr="00384ADF">
        <w:t>s</w:t>
      </w:r>
      <w:r w:rsidRPr="00384ADF">
        <w:t xml:space="preserve"> a favourable light on a specific area of performance. </w:t>
      </w:r>
      <w:r w:rsidR="009C78BF" w:rsidRPr="00384ADF">
        <w:t>For example, m</w:t>
      </w:r>
      <w:r w:rsidRPr="00384ADF">
        <w:t xml:space="preserve">anagement may define the </w:t>
      </w:r>
      <w:r w:rsidR="009C78BF" w:rsidRPr="00384ADF">
        <w:t>number of complaints resolved to the acknowledged satisfaction of the customer</w:t>
      </w:r>
      <w:r w:rsidRPr="00384ADF">
        <w:t xml:space="preserve"> as a return call to a customer. However, a return call may not have completely resolved the complaint. Even though this definition may be reliable, it </w:t>
      </w:r>
      <w:r w:rsidR="00527981" w:rsidRPr="00384ADF">
        <w:t xml:space="preserve">may </w:t>
      </w:r>
      <w:r w:rsidRPr="00384ADF">
        <w:t xml:space="preserve">not be free from bias and </w:t>
      </w:r>
      <w:r w:rsidR="00527981" w:rsidRPr="00384ADF">
        <w:t xml:space="preserve">may not </w:t>
      </w:r>
      <w:r w:rsidRPr="00384ADF">
        <w:t>be said to be neutral.</w:t>
      </w:r>
      <w:r w:rsidR="00C11BE5" w:rsidRPr="00384ADF">
        <w:t xml:space="preserve"> Neutrality speaks to how information is identified, collated, summarised, adjusted and presented (quantitatively and qualitatively)</w:t>
      </w:r>
      <w:r w:rsidR="00524570" w:rsidRPr="00384ADF">
        <w:t>,</w:t>
      </w:r>
      <w:r w:rsidR="00C11BE5" w:rsidRPr="00384ADF">
        <w:t xml:space="preserve"> and how any bias in this is recognised and managed.</w:t>
      </w:r>
      <w:r w:rsidRPr="00384ADF">
        <w:t xml:space="preserve"> Once again, a</w:t>
      </w:r>
      <w:r w:rsidR="004916BA" w:rsidRPr="00384ADF">
        <w:t>n</w:t>
      </w:r>
      <w:r w:rsidRPr="00384ADF">
        <w:t xml:space="preserve"> understanding of the information needs of</w:t>
      </w:r>
      <w:r w:rsidR="0003436C" w:rsidRPr="00384ADF">
        <w:t xml:space="preserve"> the</w:t>
      </w:r>
      <w:r w:rsidR="008F54EB" w:rsidRPr="00384ADF">
        <w:t xml:space="preserve"> intended</w:t>
      </w:r>
      <w:r w:rsidRPr="00384ADF">
        <w:t xml:space="preserve"> users may assist the practitioner in this assessment.</w:t>
      </w:r>
    </w:p>
    <w:p w14:paraId="168DAE91" w14:textId="7EF90EE6" w:rsidR="007A2EE9" w:rsidRPr="00384ADF" w:rsidRDefault="00754FC3" w:rsidP="001E45B8">
      <w:pPr>
        <w:pStyle w:val="NumList"/>
        <w:numPr>
          <w:ilvl w:val="1"/>
          <w:numId w:val="4"/>
        </w:numPr>
        <w:spacing w:line="312" w:lineRule="auto"/>
        <w:ind w:hanging="425"/>
        <w:rPr>
          <w:rFonts w:cs="Arial"/>
        </w:rPr>
      </w:pPr>
      <w:r w:rsidRPr="00384ADF">
        <w:rPr>
          <w:i/>
        </w:rPr>
        <w:t>Understandability:</w:t>
      </w:r>
      <w:r w:rsidRPr="00384ADF">
        <w:t xml:space="preserve"> To reach a conclusion on the understandability </w:t>
      </w:r>
      <w:r w:rsidR="00405780" w:rsidRPr="00384ADF">
        <w:t>characteristic</w:t>
      </w:r>
      <w:r w:rsidRPr="00384ADF">
        <w:t xml:space="preserve">, the </w:t>
      </w:r>
      <w:r w:rsidR="00405780" w:rsidRPr="00384ADF">
        <w:t>practitioner</w:t>
      </w:r>
      <w:r w:rsidRPr="00384ADF">
        <w:t xml:space="preserve"> match</w:t>
      </w:r>
      <w:r w:rsidR="00527981" w:rsidRPr="00384ADF">
        <w:t>es</w:t>
      </w:r>
      <w:r w:rsidRPr="00384ADF">
        <w:t xml:space="preserve"> the information needs of</w:t>
      </w:r>
      <w:r w:rsidR="0003436C" w:rsidRPr="00384ADF">
        <w:t xml:space="preserve"> the</w:t>
      </w:r>
      <w:r w:rsidR="00361828" w:rsidRPr="00384ADF">
        <w:t xml:space="preserve"> intended</w:t>
      </w:r>
      <w:r w:rsidRPr="00384ADF">
        <w:t xml:space="preserve"> users to the complexity of the </w:t>
      </w:r>
      <w:r w:rsidR="007447E3" w:rsidRPr="00384ADF">
        <w:t>measurement or evaluation</w:t>
      </w:r>
      <w:r w:rsidR="00D10579" w:rsidRPr="00384ADF">
        <w:t xml:space="preserve">, i.e. </w:t>
      </w:r>
      <w:r w:rsidR="00D10579" w:rsidRPr="00384ADF">
        <w:rPr>
          <w:rFonts w:cs="Arial"/>
        </w:rPr>
        <w:t xml:space="preserve">whether the resulting subject matter information </w:t>
      </w:r>
      <w:r w:rsidR="00527981" w:rsidRPr="00384ADF">
        <w:rPr>
          <w:rFonts w:cs="Arial"/>
        </w:rPr>
        <w:t>may</w:t>
      </w:r>
      <w:r w:rsidR="00D10579" w:rsidRPr="00384ADF">
        <w:rPr>
          <w:rFonts w:cs="Arial"/>
        </w:rPr>
        <w:t xml:space="preserve"> be understood by</w:t>
      </w:r>
      <w:r w:rsidR="0003436C" w:rsidRPr="00384ADF">
        <w:rPr>
          <w:rFonts w:cs="Arial"/>
        </w:rPr>
        <w:t xml:space="preserve"> the</w:t>
      </w:r>
      <w:r w:rsidR="008F54EB" w:rsidRPr="00384ADF">
        <w:rPr>
          <w:rFonts w:cs="Arial"/>
        </w:rPr>
        <w:t xml:space="preserve"> intended</w:t>
      </w:r>
      <w:r w:rsidR="00D10579" w:rsidRPr="00384ADF">
        <w:rPr>
          <w:rFonts w:cs="Arial"/>
        </w:rPr>
        <w:t xml:space="preserve"> users, including that it is not presented and disclosed in such a way that it </w:t>
      </w:r>
      <w:r w:rsidR="00527981" w:rsidRPr="00384ADF">
        <w:rPr>
          <w:rFonts w:cs="Arial"/>
        </w:rPr>
        <w:t>may</w:t>
      </w:r>
      <w:r w:rsidR="00D10579" w:rsidRPr="00384ADF">
        <w:rPr>
          <w:rFonts w:cs="Arial"/>
        </w:rPr>
        <w:t xml:space="preserve"> adversely affect the user’s interpretation and understanding of the message being communicated</w:t>
      </w:r>
      <w:r w:rsidRPr="00384ADF">
        <w:t xml:space="preserve">. This judgment </w:t>
      </w:r>
      <w:r w:rsidR="00527981" w:rsidRPr="00384ADF">
        <w:t>may</w:t>
      </w:r>
      <w:r w:rsidRPr="00384ADF">
        <w:t xml:space="preserve"> largely</w:t>
      </w:r>
      <w:r w:rsidR="00B61D4F" w:rsidRPr="00384ADF">
        <w:t xml:space="preserve"> be</w:t>
      </w:r>
      <w:r w:rsidRPr="00384ADF">
        <w:t xml:space="preserve"> based on the knowledge of</w:t>
      </w:r>
      <w:r w:rsidR="0003436C" w:rsidRPr="00384ADF">
        <w:t xml:space="preserve"> the</w:t>
      </w:r>
      <w:r w:rsidRPr="00384ADF">
        <w:t xml:space="preserve"> </w:t>
      </w:r>
      <w:r w:rsidR="008F54EB" w:rsidRPr="00384ADF">
        <w:t xml:space="preserve">intended </w:t>
      </w:r>
      <w:r w:rsidRPr="00384ADF">
        <w:t>users and the industry of the report</w:t>
      </w:r>
      <w:r w:rsidR="00092BEC" w:rsidRPr="00384ADF">
        <w:t>ing entity</w:t>
      </w:r>
      <w:r w:rsidRPr="00384ADF">
        <w:t>.</w:t>
      </w:r>
    </w:p>
    <w:tbl>
      <w:tblPr>
        <w:tblStyle w:val="TableGrid"/>
        <w:tblW w:w="0" w:type="auto"/>
        <w:tblInd w:w="-5" w:type="dxa"/>
        <w:tblLook w:val="04A0" w:firstRow="1" w:lastRow="0" w:firstColumn="1" w:lastColumn="0" w:noHBand="0" w:noVBand="1"/>
      </w:tblPr>
      <w:tblGrid>
        <w:gridCol w:w="709"/>
        <w:gridCol w:w="7599"/>
      </w:tblGrid>
      <w:tr w:rsidR="008619F7" w:rsidRPr="00384ADF" w14:paraId="51044370" w14:textId="77777777" w:rsidTr="00AD21D6">
        <w:trPr>
          <w:cantSplit/>
          <w:trHeight w:val="1134"/>
        </w:trPr>
        <w:tc>
          <w:tcPr>
            <w:tcW w:w="709" w:type="dxa"/>
            <w:shd w:val="clear" w:color="auto" w:fill="A6A6A6" w:themeFill="background1" w:themeFillShade="A6"/>
            <w:textDirection w:val="btLr"/>
          </w:tcPr>
          <w:p w14:paraId="59B2BCA2" w14:textId="203C6578" w:rsidR="008619F7" w:rsidRPr="00AD21D6" w:rsidDel="00647652" w:rsidRDefault="008619F7" w:rsidP="00AD21D6">
            <w:pPr>
              <w:pStyle w:val="NumList"/>
              <w:keepNext/>
              <w:widowControl/>
              <w:numPr>
                <w:ilvl w:val="0"/>
                <w:numId w:val="0"/>
              </w:numPr>
              <w:spacing w:line="312" w:lineRule="auto"/>
              <w:ind w:left="113" w:right="113"/>
              <w:jc w:val="center"/>
              <w:rPr>
                <w:rFonts w:cs="Arial"/>
                <w:b/>
                <w:color w:val="FFFFFF" w:themeColor="background1"/>
              </w:rPr>
            </w:pPr>
            <w:r>
              <w:rPr>
                <w:rFonts w:cs="Arial"/>
                <w:b/>
                <w:color w:val="FFFFFF" w:themeColor="background1"/>
              </w:rPr>
              <w:t>Considerations for the Practitioner</w:t>
            </w:r>
          </w:p>
        </w:tc>
        <w:tc>
          <w:tcPr>
            <w:tcW w:w="7599" w:type="dxa"/>
            <w:shd w:val="clear" w:color="auto" w:fill="F2F2F2" w:themeFill="background1" w:themeFillShade="F2"/>
          </w:tcPr>
          <w:p w14:paraId="646A7E94" w14:textId="2E052166" w:rsidR="008619F7" w:rsidRPr="00384ADF" w:rsidRDefault="008619F7" w:rsidP="00AD21D6">
            <w:pPr>
              <w:pStyle w:val="NumList"/>
              <w:keepNext/>
              <w:widowControl/>
              <w:numPr>
                <w:ilvl w:val="0"/>
                <w:numId w:val="0"/>
              </w:numPr>
              <w:spacing w:line="312" w:lineRule="auto"/>
              <w:rPr>
                <w:rFonts w:cs="Arial"/>
                <w:b/>
              </w:rPr>
            </w:pPr>
            <w:r w:rsidRPr="00384ADF">
              <w:t xml:space="preserve">In </w:t>
            </w:r>
            <w:r w:rsidRPr="00384ADF">
              <w:rPr>
                <w:rFonts w:cs="Arial"/>
              </w:rPr>
              <w:t xml:space="preserve">determining whether the sustainability assurance engagement exhibits </w:t>
            </w:r>
            <w:r w:rsidRPr="00384ADF">
              <w:t>suitable measurement or evaluation</w:t>
            </w:r>
            <w:r w:rsidRPr="00384ADF">
              <w:rPr>
                <w:rFonts w:cs="Arial"/>
              </w:rPr>
              <w:t xml:space="preserve"> criteria for the engagement circumstances</w:t>
            </w:r>
            <w:r>
              <w:rPr>
                <w:rFonts w:cs="Arial"/>
              </w:rPr>
              <w:t xml:space="preserve"> it may be appropriate for the practitioner to consider:</w:t>
            </w:r>
          </w:p>
          <w:p w14:paraId="30175CB4" w14:textId="11314329" w:rsidR="008619F7" w:rsidRPr="00384ADF" w:rsidRDefault="008619F7" w:rsidP="00AD21D6">
            <w:pPr>
              <w:pStyle w:val="ListParagraph"/>
              <w:keepNext/>
              <w:widowControl/>
              <w:numPr>
                <w:ilvl w:val="0"/>
                <w:numId w:val="47"/>
              </w:numPr>
              <w:spacing w:line="312" w:lineRule="auto"/>
              <w:rPr>
                <w:rFonts w:cs="Arial"/>
              </w:rPr>
            </w:pPr>
            <w:r>
              <w:rPr>
                <w:rFonts w:cs="Arial"/>
              </w:rPr>
              <w:t>Whether</w:t>
            </w:r>
            <w:r w:rsidRPr="00384ADF">
              <w:rPr>
                <w:rFonts w:cs="Arial"/>
              </w:rPr>
              <w:t xml:space="preserve"> the criteria</w:t>
            </w:r>
            <w:r>
              <w:rPr>
                <w:rFonts w:cs="Arial"/>
              </w:rPr>
              <w:t xml:space="preserve"> are</w:t>
            </w:r>
            <w:r w:rsidRPr="00384ADF">
              <w:rPr>
                <w:rFonts w:cs="Arial"/>
              </w:rPr>
              <w:t xml:space="preserve"> relevant in relation to the underlying subject matter in providing subject matter information that assists decision-making by the intended users</w:t>
            </w:r>
            <w:r>
              <w:rPr>
                <w:rFonts w:cs="Arial"/>
              </w:rPr>
              <w:t xml:space="preserve"> (relevance).</w:t>
            </w:r>
          </w:p>
          <w:p w14:paraId="6B123DB6" w14:textId="0770673D" w:rsidR="008619F7" w:rsidRPr="00384ADF" w:rsidRDefault="008619F7" w:rsidP="00AD21D6">
            <w:pPr>
              <w:pStyle w:val="ListParagraph"/>
              <w:keepNext/>
              <w:widowControl/>
              <w:numPr>
                <w:ilvl w:val="0"/>
                <w:numId w:val="47"/>
              </w:numPr>
              <w:spacing w:line="312" w:lineRule="auto"/>
              <w:rPr>
                <w:rFonts w:cs="Arial"/>
              </w:rPr>
            </w:pPr>
            <w:r>
              <w:rPr>
                <w:rFonts w:cs="Arial"/>
              </w:rPr>
              <w:t>Whether</w:t>
            </w:r>
            <w:r w:rsidRPr="00384ADF">
              <w:rPr>
                <w:rFonts w:cs="Arial"/>
              </w:rPr>
              <w:t xml:space="preserve"> the criteria</w:t>
            </w:r>
            <w:r>
              <w:rPr>
                <w:rFonts w:cs="Arial"/>
              </w:rPr>
              <w:t xml:space="preserve"> are</w:t>
            </w:r>
            <w:r w:rsidRPr="00384ADF">
              <w:rPr>
                <w:rFonts w:cs="Arial"/>
              </w:rPr>
              <w:t xml:space="preserve"> complete so that all factors that may affect the intended users/practitioners’ conclusions about the underlying subject matter are identified</w:t>
            </w:r>
            <w:r>
              <w:rPr>
                <w:rFonts w:cs="Arial"/>
              </w:rPr>
              <w:t xml:space="preserve"> (completeness).</w:t>
            </w:r>
          </w:p>
          <w:p w14:paraId="76B54B58" w14:textId="339857F9" w:rsidR="008619F7" w:rsidRPr="00384ADF" w:rsidRDefault="008619F7" w:rsidP="00AD21D6">
            <w:pPr>
              <w:pStyle w:val="ListParagraph"/>
              <w:keepNext/>
              <w:widowControl/>
              <w:numPr>
                <w:ilvl w:val="0"/>
                <w:numId w:val="47"/>
              </w:numPr>
              <w:spacing w:line="312" w:lineRule="auto"/>
              <w:rPr>
                <w:rFonts w:cs="Arial"/>
              </w:rPr>
            </w:pPr>
            <w:r>
              <w:rPr>
                <w:rFonts w:cs="Arial"/>
                <w:iCs/>
              </w:rPr>
              <w:t xml:space="preserve">Whether </w:t>
            </w:r>
            <w:r w:rsidRPr="00384ADF">
              <w:rPr>
                <w:rFonts w:cs="Arial"/>
              </w:rPr>
              <w:t>the design of the criteria</w:t>
            </w:r>
            <w:r>
              <w:rPr>
                <w:rFonts w:cs="Arial"/>
              </w:rPr>
              <w:t xml:space="preserve"> is</w:t>
            </w:r>
            <w:r w:rsidRPr="00384ADF">
              <w:rPr>
                <w:rFonts w:cs="Arial"/>
              </w:rPr>
              <w:t xml:space="preserve"> highly likely to result in a consistent measurement or evaluation of the underlying subject matter</w:t>
            </w:r>
            <w:r>
              <w:rPr>
                <w:rFonts w:cs="Arial"/>
              </w:rPr>
              <w:t xml:space="preserve"> (reliability).</w:t>
            </w:r>
          </w:p>
          <w:p w14:paraId="68FACFD4" w14:textId="3310ACA6" w:rsidR="008619F7" w:rsidRPr="00384ADF" w:rsidRDefault="008619F7" w:rsidP="00AD21D6">
            <w:pPr>
              <w:pStyle w:val="ListParagraph"/>
              <w:keepNext/>
              <w:widowControl/>
              <w:numPr>
                <w:ilvl w:val="0"/>
                <w:numId w:val="47"/>
              </w:numPr>
              <w:spacing w:line="312" w:lineRule="auto"/>
              <w:rPr>
                <w:rFonts w:cs="Arial"/>
              </w:rPr>
            </w:pPr>
            <w:r>
              <w:rPr>
                <w:rFonts w:cs="Arial"/>
              </w:rPr>
              <w:t>Whether</w:t>
            </w:r>
            <w:r w:rsidRPr="00384ADF">
              <w:rPr>
                <w:rFonts w:cs="Arial"/>
              </w:rPr>
              <w:t xml:space="preserve"> the risk of management bias</w:t>
            </w:r>
            <w:r>
              <w:rPr>
                <w:rFonts w:cs="Arial"/>
              </w:rPr>
              <w:t xml:space="preserve"> is</w:t>
            </w:r>
            <w:r w:rsidRPr="00384ADF">
              <w:rPr>
                <w:rFonts w:cs="Arial"/>
              </w:rPr>
              <w:t xml:space="preserve"> known and can be managed</w:t>
            </w:r>
            <w:r>
              <w:rPr>
                <w:rFonts w:cs="Arial"/>
              </w:rPr>
              <w:t xml:space="preserve"> (neutrality).</w:t>
            </w:r>
          </w:p>
          <w:p w14:paraId="54836D48" w14:textId="7581BA02" w:rsidR="008619F7" w:rsidRPr="00384ADF" w:rsidRDefault="008619F7" w:rsidP="00AD21D6">
            <w:pPr>
              <w:pStyle w:val="ListParagraph"/>
              <w:keepNext/>
              <w:widowControl/>
              <w:numPr>
                <w:ilvl w:val="0"/>
                <w:numId w:val="47"/>
              </w:numPr>
              <w:spacing w:line="312" w:lineRule="auto"/>
              <w:rPr>
                <w:rFonts w:cs="Arial"/>
              </w:rPr>
            </w:pPr>
            <w:r>
              <w:rPr>
                <w:rFonts w:cs="Arial"/>
              </w:rPr>
              <w:t>Whether</w:t>
            </w:r>
            <w:r w:rsidRPr="00384ADF">
              <w:rPr>
                <w:rFonts w:cs="Arial"/>
              </w:rPr>
              <w:t xml:space="preserve"> the criteria</w:t>
            </w:r>
            <w:r>
              <w:rPr>
                <w:rFonts w:cs="Arial"/>
              </w:rPr>
              <w:t xml:space="preserve"> are</w:t>
            </w:r>
            <w:r w:rsidRPr="00384ADF">
              <w:rPr>
                <w:rFonts w:cs="Arial"/>
              </w:rPr>
              <w:t xml:space="preserve"> communicated clearly and not subject to significantly different interpretations by the intended users and </w:t>
            </w:r>
            <w:r>
              <w:rPr>
                <w:rFonts w:cs="Arial"/>
              </w:rPr>
              <w:t>whether</w:t>
            </w:r>
            <w:r w:rsidRPr="00384ADF">
              <w:rPr>
                <w:rFonts w:cs="Arial"/>
              </w:rPr>
              <w:t xml:space="preserve"> the criteria result in subject matter information that </w:t>
            </w:r>
            <w:r>
              <w:rPr>
                <w:rFonts w:cs="Arial"/>
              </w:rPr>
              <w:t>is</w:t>
            </w:r>
            <w:r w:rsidRPr="00384ADF">
              <w:rPr>
                <w:rFonts w:cs="Arial"/>
              </w:rPr>
              <w:t xml:space="preserve"> understood by the intended users</w:t>
            </w:r>
            <w:r>
              <w:rPr>
                <w:rFonts w:cs="Arial"/>
              </w:rPr>
              <w:t xml:space="preserve"> (understandability).</w:t>
            </w:r>
          </w:p>
        </w:tc>
      </w:tr>
    </w:tbl>
    <w:p w14:paraId="54CE6F6B" w14:textId="77777777" w:rsidR="00C768C1" w:rsidRPr="00384ADF" w:rsidRDefault="00C768C1" w:rsidP="00AD21D6">
      <w:pPr>
        <w:pStyle w:val="NumList"/>
        <w:keepNext/>
        <w:widowControl/>
        <w:numPr>
          <w:ilvl w:val="0"/>
          <w:numId w:val="0"/>
        </w:numPr>
        <w:spacing w:after="0" w:line="312" w:lineRule="auto"/>
        <w:ind w:left="567" w:hanging="567"/>
        <w:rPr>
          <w:rFonts w:cs="Arial"/>
        </w:rPr>
      </w:pPr>
    </w:p>
    <w:p w14:paraId="50A7D958" w14:textId="6EB2D612" w:rsidR="009D3D41" w:rsidRPr="00384ADF" w:rsidRDefault="009D3D41" w:rsidP="001C6F7A">
      <w:pPr>
        <w:pStyle w:val="Heading3"/>
        <w:widowControl/>
      </w:pPr>
      <w:bookmarkStart w:id="35" w:name="_Toc43704065"/>
      <w:r w:rsidRPr="00384ADF">
        <w:t xml:space="preserve">Conclusion on </w:t>
      </w:r>
      <w:r w:rsidR="002236B6" w:rsidRPr="00384ADF">
        <w:t>the appropriateness of underlying subject matter and suitability of criteria</w:t>
      </w:r>
      <w:bookmarkEnd w:id="35"/>
    </w:p>
    <w:p w14:paraId="39A01EAB" w14:textId="7B7C2656" w:rsidR="008147D2" w:rsidRPr="00384ADF" w:rsidRDefault="008147D2" w:rsidP="001C6F7A">
      <w:pPr>
        <w:pStyle w:val="NumList"/>
        <w:keepNext/>
        <w:widowControl/>
        <w:spacing w:line="312" w:lineRule="auto"/>
        <w:ind w:left="562" w:hanging="562"/>
      </w:pPr>
      <w:r w:rsidRPr="00384ADF">
        <w:t>Based on the practitioner’s understanding obtained</w:t>
      </w:r>
      <w:r w:rsidR="00D10579" w:rsidRPr="00384ADF">
        <w:t xml:space="preserve"> during step 1</w:t>
      </w:r>
      <w:r w:rsidRPr="00384ADF">
        <w:t xml:space="preserve"> </w:t>
      </w:r>
      <w:r w:rsidR="007338E4" w:rsidRPr="00384ADF">
        <w:t>(</w:t>
      </w:r>
      <w:r w:rsidRPr="00384ADF">
        <w:rPr>
          <w:rFonts w:cs="Arial"/>
        </w:rPr>
        <w:t>appropriateness of underlying subject matter</w:t>
      </w:r>
      <w:r w:rsidR="007338E4" w:rsidRPr="00384ADF">
        <w:rPr>
          <w:rFonts w:cs="Arial"/>
        </w:rPr>
        <w:t>)</w:t>
      </w:r>
      <w:r w:rsidR="00843135" w:rsidRPr="00384ADF">
        <w:rPr>
          <w:rFonts w:cs="Arial"/>
        </w:rPr>
        <w:t xml:space="preserve"> </w:t>
      </w:r>
      <w:r w:rsidRPr="00384ADF">
        <w:rPr>
          <w:rFonts w:cs="Arial"/>
        </w:rPr>
        <w:t>and</w:t>
      </w:r>
      <w:r w:rsidR="00D10579" w:rsidRPr="00384ADF">
        <w:rPr>
          <w:rFonts w:cs="Arial"/>
        </w:rPr>
        <w:t xml:space="preserve"> step 2</w:t>
      </w:r>
      <w:r w:rsidRPr="00384ADF">
        <w:rPr>
          <w:rFonts w:cs="Arial"/>
        </w:rPr>
        <w:t xml:space="preserve"> </w:t>
      </w:r>
      <w:r w:rsidR="007338E4" w:rsidRPr="00384ADF">
        <w:rPr>
          <w:rFonts w:cs="Arial"/>
        </w:rPr>
        <w:t>(</w:t>
      </w:r>
      <w:r w:rsidRPr="00384ADF">
        <w:rPr>
          <w:rFonts w:cs="Arial"/>
        </w:rPr>
        <w:t>suitability of criteria</w:t>
      </w:r>
      <w:r w:rsidR="007338E4" w:rsidRPr="00384ADF">
        <w:rPr>
          <w:rFonts w:cs="Arial"/>
        </w:rPr>
        <w:t>)</w:t>
      </w:r>
      <w:r w:rsidR="007338E4" w:rsidRPr="00384ADF">
        <w:t xml:space="preserve">, </w:t>
      </w:r>
      <w:r w:rsidRPr="00384ADF">
        <w:t>the practitioner conclude</w:t>
      </w:r>
      <w:r w:rsidR="00661BC6" w:rsidRPr="00384ADF">
        <w:t>s</w:t>
      </w:r>
      <w:r w:rsidRPr="00384ADF">
        <w:t xml:space="preserve"> on </w:t>
      </w:r>
      <w:r w:rsidR="00B61D4F" w:rsidRPr="00384ADF">
        <w:rPr>
          <w:rFonts w:cs="Arial"/>
        </w:rPr>
        <w:t>determining whether the sustainability assurance engagement exhibits</w:t>
      </w:r>
      <w:r w:rsidR="007338E4" w:rsidRPr="00384ADF">
        <w:rPr>
          <w:rFonts w:cs="Arial"/>
        </w:rPr>
        <w:t xml:space="preserve"> that</w:t>
      </w:r>
      <w:r w:rsidR="00B61D4F"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Pr="00384ADF">
        <w:t>.</w:t>
      </w:r>
    </w:p>
    <w:p w14:paraId="1F7E4D52" w14:textId="09F9CAF5" w:rsidR="008147D2" w:rsidRPr="00384ADF" w:rsidRDefault="00580ADD" w:rsidP="005279E7">
      <w:pPr>
        <w:pStyle w:val="NumList"/>
        <w:spacing w:line="312" w:lineRule="auto"/>
        <w:ind w:left="562" w:hanging="562"/>
      </w:pPr>
      <w:r w:rsidRPr="00384ADF">
        <w:t>The practitioner applie</w:t>
      </w:r>
      <w:r w:rsidR="003A4AE1" w:rsidRPr="00384ADF">
        <w:t>s</w:t>
      </w:r>
      <w:r w:rsidRPr="00384ADF">
        <w:t xml:space="preserve"> professional judgment in determining </w:t>
      </w:r>
      <w:r w:rsidR="003A4AE1" w:rsidRPr="00384ADF">
        <w:t>whether</w:t>
      </w:r>
      <w:r w:rsidR="0002244B" w:rsidRPr="00384ADF">
        <w:t xml:space="preserve"> these preconditions are present</w:t>
      </w:r>
      <w:r w:rsidR="008147D2" w:rsidRPr="00384ADF">
        <w:t>.</w:t>
      </w:r>
    </w:p>
    <w:p w14:paraId="1A0F9783" w14:textId="29C03DC8" w:rsidR="009D3D41" w:rsidRPr="00384ADF" w:rsidRDefault="009D3D41" w:rsidP="00242C02">
      <w:pPr>
        <w:pStyle w:val="Heading2"/>
        <w:widowControl/>
      </w:pPr>
      <w:bookmarkStart w:id="36" w:name="_Toc43704066"/>
      <w:r w:rsidRPr="00384ADF">
        <w:t>Overall conclusion</w:t>
      </w:r>
      <w:r w:rsidR="003A4AE1" w:rsidRPr="00384ADF">
        <w:t>s</w:t>
      </w:r>
      <w:r w:rsidRPr="00384ADF">
        <w:t xml:space="preserve"> </w:t>
      </w:r>
      <w:r w:rsidR="007A7C56" w:rsidRPr="00384ADF">
        <w:t xml:space="preserve">on rational purpose and </w:t>
      </w:r>
      <w:r w:rsidR="007A7C56" w:rsidRPr="00384ADF">
        <w:rPr>
          <w:rFonts w:cs="Arial"/>
        </w:rPr>
        <w:t>appropriateness of underlying subject matter and suitability of criteria</w:t>
      </w:r>
      <w:bookmarkEnd w:id="36"/>
    </w:p>
    <w:p w14:paraId="1791C7E8" w14:textId="7B09C456" w:rsidR="0040584F" w:rsidRPr="00384ADF" w:rsidRDefault="0098018B" w:rsidP="00242C02">
      <w:pPr>
        <w:pStyle w:val="NumList"/>
        <w:keepNext/>
        <w:widowControl/>
        <w:spacing w:line="312" w:lineRule="auto"/>
      </w:pPr>
      <w:r w:rsidRPr="00384ADF">
        <w:t>After completing the process</w:t>
      </w:r>
      <w:r w:rsidR="0040584F" w:rsidRPr="00384ADF">
        <w:t xml:space="preserve"> </w:t>
      </w:r>
      <w:r w:rsidR="00843135" w:rsidRPr="00384ADF">
        <w:t>of</w:t>
      </w:r>
      <w:r w:rsidR="0040584F" w:rsidRPr="00384ADF">
        <w:t xml:space="preserve"> </w:t>
      </w:r>
      <w:r w:rsidR="00843135" w:rsidRPr="00384ADF">
        <w:rPr>
          <w:rFonts w:cs="Arial"/>
        </w:rPr>
        <w:t>determining whether the sustainability assurance engagement exhibits a rational purpose</w:t>
      </w:r>
      <w:r w:rsidR="00AC1EAB" w:rsidRPr="00384ADF">
        <w:t>,</w:t>
      </w:r>
      <w:r w:rsidR="007A7C56" w:rsidRPr="00384ADF">
        <w:t xml:space="preserve"> </w:t>
      </w:r>
      <w:r w:rsidR="007338E4" w:rsidRPr="00384ADF">
        <w:rPr>
          <w:rFonts w:cs="Arial"/>
        </w:rPr>
        <w:t>that</w:t>
      </w:r>
      <w:r w:rsidR="00843135"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009D3D41" w:rsidRPr="00384ADF">
        <w:t xml:space="preserve">, the </w:t>
      </w:r>
      <w:r w:rsidR="0040584F" w:rsidRPr="00384ADF">
        <w:t>practitioner</w:t>
      </w:r>
      <w:r w:rsidR="009D3D41" w:rsidRPr="00384ADF">
        <w:t xml:space="preserve"> </w:t>
      </w:r>
      <w:r w:rsidR="00580ADD" w:rsidRPr="00384ADF">
        <w:t>determines whether the</w:t>
      </w:r>
      <w:r w:rsidR="004069AA" w:rsidRPr="00384ADF">
        <w:t>se</w:t>
      </w:r>
      <w:r w:rsidR="00580ADD" w:rsidRPr="00384ADF">
        <w:t xml:space="preserve"> preconditions for a sustainability assurance engagement</w:t>
      </w:r>
      <w:r w:rsidRPr="00384ADF">
        <w:t xml:space="preserve"> </w:t>
      </w:r>
      <w:r w:rsidR="00753406" w:rsidRPr="00384ADF">
        <w:t>are present</w:t>
      </w:r>
      <w:r w:rsidRPr="00384ADF">
        <w:t>.</w:t>
      </w:r>
      <w:r w:rsidR="009D3D41" w:rsidRPr="00384ADF">
        <w:t xml:space="preserve"> </w:t>
      </w:r>
    </w:p>
    <w:p w14:paraId="38DD65A8" w14:textId="0795D21A" w:rsidR="00731D8D" w:rsidRPr="00384ADF" w:rsidRDefault="00731D8D" w:rsidP="001E45B8">
      <w:pPr>
        <w:pStyle w:val="NumList"/>
        <w:spacing w:line="312" w:lineRule="auto"/>
      </w:pPr>
      <w:r w:rsidRPr="00384ADF">
        <w:t>If</w:t>
      </w:r>
      <w:r w:rsidR="00776142" w:rsidRPr="00384ADF">
        <w:t>,</w:t>
      </w:r>
      <w:r w:rsidRPr="00384ADF">
        <w:t xml:space="preserve"> in the practitioner</w:t>
      </w:r>
      <w:r w:rsidR="00592BCA" w:rsidRPr="00384ADF">
        <w:t>’</w:t>
      </w:r>
      <w:r w:rsidRPr="00384ADF">
        <w:t>s</w:t>
      </w:r>
      <w:r w:rsidR="00776142" w:rsidRPr="00384ADF">
        <w:t xml:space="preserve"> professional judgment,</w:t>
      </w:r>
      <w:r w:rsidRPr="00384ADF">
        <w:t xml:space="preserve"> the preconditions for </w:t>
      </w:r>
      <w:r w:rsidR="00843135" w:rsidRPr="00384ADF">
        <w:t xml:space="preserve">a sustainability </w:t>
      </w:r>
      <w:r w:rsidRPr="00384ADF">
        <w:t xml:space="preserve">assurance engagement are present (those </w:t>
      </w:r>
      <w:r w:rsidR="00592BCA" w:rsidRPr="00384ADF">
        <w:t>considered</w:t>
      </w:r>
      <w:r w:rsidRPr="00384ADF">
        <w:t xml:space="preserve"> in terms of this SAAEPS and </w:t>
      </w:r>
      <w:r w:rsidRPr="00384ADF">
        <w:rPr>
          <w:rFonts w:cs="Arial"/>
        </w:rPr>
        <w:t xml:space="preserve">all other aspects </w:t>
      </w:r>
      <w:r w:rsidR="00592BCA" w:rsidRPr="00384ADF">
        <w:rPr>
          <w:rFonts w:cs="Arial"/>
        </w:rPr>
        <w:t>considered</w:t>
      </w:r>
      <w:r w:rsidRPr="00384ADF">
        <w:rPr>
          <w:rFonts w:cs="Arial"/>
        </w:rPr>
        <w:t xml:space="preserve"> that are beyond the scope of this SAAEPS),</w:t>
      </w:r>
      <w:r w:rsidR="00592BCA" w:rsidRPr="00384ADF">
        <w:rPr>
          <w:rFonts w:cs="Arial"/>
        </w:rPr>
        <w:t xml:space="preserve"> the practitioner </w:t>
      </w:r>
      <w:r w:rsidR="006F75AA" w:rsidRPr="00384ADF">
        <w:rPr>
          <w:rFonts w:cs="Arial"/>
        </w:rPr>
        <w:t xml:space="preserve">may </w:t>
      </w:r>
      <w:r w:rsidR="00592BCA" w:rsidRPr="00384ADF">
        <w:rPr>
          <w:rFonts w:cs="Arial"/>
        </w:rPr>
        <w:t>accept or continue the sustainability assurance engagement</w:t>
      </w:r>
      <w:r w:rsidR="00AF1C83" w:rsidRPr="00384ADF">
        <w:rPr>
          <w:rFonts w:cs="Arial"/>
        </w:rPr>
        <w:t xml:space="preserve"> subject to any other acceptance and continuance considerations applied in accordance with the practitioner’s or firm’s quality </w:t>
      </w:r>
      <w:r w:rsidR="00586C56">
        <w:rPr>
          <w:rFonts w:cs="Arial"/>
        </w:rPr>
        <w:t>management</w:t>
      </w:r>
      <w:r w:rsidR="00586C56" w:rsidRPr="00384ADF">
        <w:rPr>
          <w:rFonts w:cs="Arial"/>
        </w:rPr>
        <w:t xml:space="preserve"> </w:t>
      </w:r>
      <w:r w:rsidR="00AF1C83" w:rsidRPr="00384ADF">
        <w:rPr>
          <w:rFonts w:cs="Arial"/>
        </w:rPr>
        <w:t xml:space="preserve">policies </w:t>
      </w:r>
      <w:r w:rsidR="00586C56">
        <w:rPr>
          <w:rFonts w:cs="Arial"/>
        </w:rPr>
        <w:t>or</w:t>
      </w:r>
      <w:r w:rsidR="00586C56" w:rsidRPr="00384ADF">
        <w:rPr>
          <w:rFonts w:cs="Arial"/>
        </w:rPr>
        <w:t xml:space="preserve"> </w:t>
      </w:r>
      <w:r w:rsidR="00AF1C83" w:rsidRPr="00384ADF">
        <w:rPr>
          <w:rFonts w:cs="Arial"/>
        </w:rPr>
        <w:t>procedures, and as required in terms of ISAE 3000 (Revised)</w:t>
      </w:r>
      <w:r w:rsidR="00527981" w:rsidRPr="00384ADF">
        <w:rPr>
          <w:rFonts w:cs="Arial"/>
        </w:rPr>
        <w:t>, paragraphs 21</w:t>
      </w:r>
      <w:r w:rsidR="007338E4" w:rsidRPr="00384ADF">
        <w:rPr>
          <w:rFonts w:cs="Arial"/>
        </w:rPr>
        <w:t>-</w:t>
      </w:r>
      <w:r w:rsidR="00527981" w:rsidRPr="00384ADF">
        <w:rPr>
          <w:rFonts w:cs="Arial"/>
        </w:rPr>
        <w:t>30</w:t>
      </w:r>
      <w:r w:rsidR="00592BCA" w:rsidRPr="00384ADF">
        <w:rPr>
          <w:rFonts w:cs="Arial"/>
        </w:rPr>
        <w:t>.</w:t>
      </w:r>
    </w:p>
    <w:p w14:paraId="0F73ED78" w14:textId="76EB4F6C" w:rsidR="00731D8D" w:rsidRPr="00384ADF" w:rsidRDefault="00D54711" w:rsidP="005279E7">
      <w:pPr>
        <w:pStyle w:val="NumList"/>
        <w:spacing w:line="312" w:lineRule="auto"/>
        <w:ind w:left="562" w:hanging="562"/>
      </w:pPr>
      <w:r w:rsidRPr="00384ADF">
        <w:t>I</w:t>
      </w:r>
      <w:r w:rsidR="00731D8D" w:rsidRPr="00384ADF">
        <w:t xml:space="preserve">f the practitioner has concluded that the </w:t>
      </w:r>
      <w:r w:rsidR="00592BCA" w:rsidRPr="00384ADF">
        <w:t xml:space="preserve">preconditions for </w:t>
      </w:r>
      <w:r w:rsidR="00843135" w:rsidRPr="00384ADF">
        <w:t xml:space="preserve">a sustainability </w:t>
      </w:r>
      <w:r w:rsidR="00592BCA" w:rsidRPr="00384ADF">
        <w:t>assurance engagement are not present</w:t>
      </w:r>
      <w:r w:rsidR="00703233" w:rsidRPr="00384ADF">
        <w:t xml:space="preserve"> (those considered in terms of this SAAEPS and </w:t>
      </w:r>
      <w:r w:rsidR="00703233" w:rsidRPr="00384ADF">
        <w:rPr>
          <w:rFonts w:cs="Arial"/>
        </w:rPr>
        <w:t>all other aspects considered that are beyond the scope of this SAAEPS)</w:t>
      </w:r>
      <w:r w:rsidR="00731D8D" w:rsidRPr="00384ADF">
        <w:t xml:space="preserve">, </w:t>
      </w:r>
      <w:r w:rsidR="00592BCA" w:rsidRPr="00384ADF">
        <w:t>the practitioner discuss</w:t>
      </w:r>
      <w:r w:rsidR="00F134CD" w:rsidRPr="00384ADF">
        <w:t>es</w:t>
      </w:r>
      <w:r w:rsidR="00592BCA" w:rsidRPr="00384ADF">
        <w:t xml:space="preserve"> the matter with the reporting entity. If changes cannot be made to meet the preconditions, the practitioner </w:t>
      </w:r>
      <w:r w:rsidR="00F20EC0" w:rsidRPr="00384ADF">
        <w:t xml:space="preserve">does </w:t>
      </w:r>
      <w:r w:rsidR="00592BCA" w:rsidRPr="00384ADF">
        <w:t>not accept</w:t>
      </w:r>
      <w:r w:rsidR="004069AA" w:rsidRPr="00384ADF">
        <w:t xml:space="preserve"> or continue</w:t>
      </w:r>
      <w:r w:rsidR="00592BCA" w:rsidRPr="00384ADF">
        <w:t xml:space="preserve"> the engagement as </w:t>
      </w:r>
      <w:r w:rsidR="00843135" w:rsidRPr="00384ADF">
        <w:t xml:space="preserve">a sustainability </w:t>
      </w:r>
      <w:r w:rsidR="00592BCA" w:rsidRPr="00384ADF">
        <w:t>assurance engagement</w:t>
      </w:r>
      <w:r w:rsidR="00592BCA" w:rsidRPr="00384ADF">
        <w:rPr>
          <w:rStyle w:val="FootnoteReference"/>
          <w:vertAlign w:val="superscript"/>
        </w:rPr>
        <w:footnoteReference w:id="36"/>
      </w:r>
      <w:r w:rsidR="00592BCA" w:rsidRPr="00384ADF">
        <w:t>.</w:t>
      </w:r>
    </w:p>
    <w:p w14:paraId="6D69BEB3" w14:textId="416CB21E" w:rsidR="00731D8D" w:rsidRPr="00384ADF" w:rsidRDefault="00EC79A4" w:rsidP="005279E7">
      <w:pPr>
        <w:pStyle w:val="NumList"/>
        <w:spacing w:line="312" w:lineRule="auto"/>
      </w:pPr>
      <w:r w:rsidRPr="00384ADF">
        <w:t xml:space="preserve">However, the practitioner </w:t>
      </w:r>
      <w:r w:rsidR="00527981" w:rsidRPr="00384ADF">
        <w:t xml:space="preserve">may </w:t>
      </w:r>
      <w:r w:rsidR="00AF1C83" w:rsidRPr="00384ADF">
        <w:t xml:space="preserve">consider accepting </w:t>
      </w:r>
      <w:r w:rsidRPr="00384ADF">
        <w:t xml:space="preserve">a new assurance </w:t>
      </w:r>
      <w:r w:rsidR="00AF1C83" w:rsidRPr="00384ADF">
        <w:t xml:space="preserve">engagement (with a new scope) </w:t>
      </w:r>
      <w:r w:rsidRPr="00384ADF">
        <w:t xml:space="preserve">to address the concerns raised </w:t>
      </w:r>
      <w:r w:rsidR="00843135" w:rsidRPr="00384ADF">
        <w:t xml:space="preserve">in </w:t>
      </w:r>
      <w:r w:rsidR="00843135" w:rsidRPr="00384ADF">
        <w:rPr>
          <w:rFonts w:cs="Arial"/>
        </w:rPr>
        <w:t>determining whether the sustainability assurance engagement exhibits a rational purpose</w:t>
      </w:r>
      <w:r w:rsidR="00843135" w:rsidRPr="00384ADF">
        <w:t>,</w:t>
      </w:r>
      <w:r w:rsidR="007338E4" w:rsidRPr="00384ADF">
        <w:rPr>
          <w:rFonts w:cs="Arial"/>
        </w:rPr>
        <w:t xml:space="preserve"> that</w:t>
      </w:r>
      <w:r w:rsidR="00843135"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00527981" w:rsidRPr="00384ADF">
        <w:rPr>
          <w:rFonts w:cs="Arial"/>
        </w:rPr>
        <w:t xml:space="preserve"> (and other concerns raised in all other aspects considered that are beyond the scope of this SAAEPS)</w:t>
      </w:r>
      <w:r w:rsidRPr="00384ADF">
        <w:t>. In addition, t</w:t>
      </w:r>
      <w:r w:rsidR="00731D8D" w:rsidRPr="00384ADF">
        <w:t xml:space="preserve">he fact that </w:t>
      </w:r>
      <w:r w:rsidR="00843135" w:rsidRPr="00384ADF">
        <w:t>these preconditions</w:t>
      </w:r>
      <w:r w:rsidR="00527981" w:rsidRPr="00384ADF">
        <w:t xml:space="preserve"> </w:t>
      </w:r>
      <w:r w:rsidR="00527981" w:rsidRPr="00384ADF">
        <w:rPr>
          <w:rFonts w:cs="Arial"/>
        </w:rPr>
        <w:t xml:space="preserve">(and other </w:t>
      </w:r>
      <w:r w:rsidR="00D4047E" w:rsidRPr="00384ADF">
        <w:rPr>
          <w:rFonts w:cs="Arial"/>
        </w:rPr>
        <w:t>preconditions</w:t>
      </w:r>
      <w:r w:rsidR="00527981" w:rsidRPr="00384ADF">
        <w:rPr>
          <w:rFonts w:cs="Arial"/>
        </w:rPr>
        <w:t xml:space="preserve"> considered that are beyond the scope of this SAAEPS)</w:t>
      </w:r>
      <w:r w:rsidR="00527981" w:rsidRPr="00384ADF">
        <w:t xml:space="preserve"> </w:t>
      </w:r>
      <w:r w:rsidR="00524570" w:rsidRPr="00384ADF">
        <w:t>were</w:t>
      </w:r>
      <w:r w:rsidR="00731D8D" w:rsidRPr="00384ADF">
        <w:t xml:space="preserve"> not </w:t>
      </w:r>
      <w:r w:rsidR="00527981" w:rsidRPr="00384ADF">
        <w:t xml:space="preserve">present </w:t>
      </w:r>
      <w:r w:rsidR="00731D8D" w:rsidRPr="00384ADF">
        <w:t>does not preclude the reporting entity from considering alternative forms of engagement types, for example, an agreed-upon procedures engagement</w:t>
      </w:r>
      <w:r w:rsidR="00FD5F08" w:rsidRPr="00384ADF">
        <w:rPr>
          <w:rStyle w:val="FootnoteReference"/>
          <w:vertAlign w:val="superscript"/>
        </w:rPr>
        <w:footnoteReference w:id="37"/>
      </w:r>
      <w:r w:rsidR="002B7CAD">
        <w:t xml:space="preserve"> or an engagement to assess assurance readiness</w:t>
      </w:r>
      <w:r w:rsidR="00731D8D" w:rsidRPr="00384ADF">
        <w:t>.</w:t>
      </w:r>
      <w:r w:rsidR="00215750" w:rsidRPr="00384ADF">
        <w:t xml:space="preserve"> The alternative forms of engagement types are generally performed to support the reporting entity in its journey to obtaining assurance over its sustainability report.</w:t>
      </w:r>
    </w:p>
    <w:p w14:paraId="71E8DAFC" w14:textId="5A3E551D" w:rsidR="00905E3F" w:rsidRPr="00384ADF" w:rsidRDefault="00A33A47" w:rsidP="00CD4843">
      <w:pPr>
        <w:pStyle w:val="Heading1"/>
        <w:rPr>
          <w:rFonts w:hint="eastAsia"/>
        </w:rPr>
      </w:pPr>
      <w:bookmarkStart w:id="37" w:name="_Toc43704067"/>
      <w:r w:rsidRPr="00384ADF">
        <w:t>Documentation</w:t>
      </w:r>
      <w:bookmarkEnd w:id="37"/>
    </w:p>
    <w:p w14:paraId="252CA59B" w14:textId="77777777" w:rsidR="00A441CF" w:rsidRPr="00384ADF" w:rsidRDefault="00A441CF" w:rsidP="00A441CF">
      <w:pPr>
        <w:pStyle w:val="NumList"/>
        <w:spacing w:line="312" w:lineRule="auto"/>
        <w:ind w:left="562" w:hanging="562"/>
      </w:pPr>
      <w:r w:rsidRPr="00384ADF">
        <w:t xml:space="preserve">The engagement partner shall be satisfied that appropriate procedures regarding the acceptance and continuance of client relationships and assurance engagements have been followed by the </w:t>
      </w:r>
      <w:proofErr w:type="gramStart"/>
      <w:r w:rsidRPr="00384ADF">
        <w:t>firm, and</w:t>
      </w:r>
      <w:proofErr w:type="gramEnd"/>
      <w:r w:rsidRPr="00384ADF">
        <w:t xml:space="preserve"> shall determine that conclusions reached in this regard are appropriate</w:t>
      </w:r>
      <w:r w:rsidRPr="00384ADF">
        <w:rPr>
          <w:rStyle w:val="FootnoteReference"/>
          <w:vertAlign w:val="superscript"/>
        </w:rPr>
        <w:footnoteReference w:id="38"/>
      </w:r>
      <w:r w:rsidRPr="00384ADF">
        <w:t>.</w:t>
      </w:r>
    </w:p>
    <w:p w14:paraId="56BE35A4" w14:textId="3132A4D6" w:rsidR="00905E3F" w:rsidRPr="00384ADF" w:rsidRDefault="00F264F9" w:rsidP="005279E7">
      <w:pPr>
        <w:pStyle w:val="NumList"/>
        <w:spacing w:line="312" w:lineRule="auto"/>
        <w:ind w:left="562" w:hanging="562"/>
      </w:pPr>
      <w:r w:rsidRPr="00384ADF">
        <w:t>The practitioner shall prepare on a timely basis engagement documentation that provides a record of the basis for the assurance report that is sufficient and appropriate to enable an experienced practitioner, having no previous connection with the engagement</w:t>
      </w:r>
      <w:r w:rsidR="00FE6FB0" w:rsidRPr="00384ADF">
        <w:t xml:space="preserve">, to understand the nature, timing and extent of procedures performed to comply with </w:t>
      </w:r>
      <w:r w:rsidRPr="00384ADF">
        <w:t>relevant ISAE</w:t>
      </w:r>
      <w:r w:rsidR="0076504B" w:rsidRPr="00384ADF">
        <w:t xml:space="preserve"> and applicable legal and regulatory requirements</w:t>
      </w:r>
      <w:r w:rsidR="00FE6FB0" w:rsidRPr="00384ADF">
        <w:rPr>
          <w:rStyle w:val="FootnoteReference"/>
          <w:vertAlign w:val="superscript"/>
        </w:rPr>
        <w:footnoteReference w:id="39"/>
      </w:r>
      <w:r w:rsidR="00FE6FB0" w:rsidRPr="00384ADF">
        <w:t>.</w:t>
      </w:r>
    </w:p>
    <w:p w14:paraId="3EDB47CB" w14:textId="2B1381C2" w:rsidR="00D93B75" w:rsidRPr="00384ADF" w:rsidRDefault="00D93B75" w:rsidP="005279E7">
      <w:pPr>
        <w:pStyle w:val="NumList"/>
        <w:spacing w:line="312" w:lineRule="auto"/>
        <w:ind w:left="562" w:hanging="562"/>
      </w:pPr>
      <w:r w:rsidRPr="00384ADF">
        <w:t>Documentation includes a record of the consideration</w:t>
      </w:r>
      <w:r w:rsidR="005102F7" w:rsidRPr="00384ADF">
        <w:t>s</w:t>
      </w:r>
      <w:r w:rsidR="00DA5A0C" w:rsidRPr="00384ADF">
        <w:t xml:space="preserve"> and conclusions</w:t>
      </w:r>
      <w:r w:rsidRPr="00384ADF">
        <w:t xml:space="preserve"> made by the practitioner</w:t>
      </w:r>
      <w:r w:rsidR="00DA5A0C" w:rsidRPr="00384ADF">
        <w:t xml:space="preserve"> to determine whether the engagement exhibits the characteristics </w:t>
      </w:r>
      <w:r w:rsidRPr="00384ADF">
        <w:t xml:space="preserve">to establish whether the preconditions </w:t>
      </w:r>
      <w:r w:rsidR="00DA5A0C" w:rsidRPr="00384ADF">
        <w:t>for an assurance engagement are present</w:t>
      </w:r>
      <w:r w:rsidRPr="00384ADF">
        <w:t xml:space="preserve"> </w:t>
      </w:r>
      <w:r w:rsidR="00DA5A0C" w:rsidRPr="00384ADF">
        <w:t xml:space="preserve">(those considered in terms of this SAAEPS and </w:t>
      </w:r>
      <w:r w:rsidR="00DA5A0C" w:rsidRPr="00384ADF">
        <w:rPr>
          <w:rFonts w:cs="Arial"/>
        </w:rPr>
        <w:t>all other aspects considered that are beyond the scope of this SAAEPS).</w:t>
      </w:r>
      <w:r w:rsidR="00DA5A0C" w:rsidRPr="00384ADF">
        <w:t xml:space="preserve"> </w:t>
      </w:r>
    </w:p>
    <w:p w14:paraId="27604221" w14:textId="6F1A5E37" w:rsidR="00054E3A" w:rsidRPr="00384ADF" w:rsidRDefault="00FE6FB0" w:rsidP="005279E7">
      <w:pPr>
        <w:pStyle w:val="NumList"/>
        <w:spacing w:line="312" w:lineRule="auto"/>
        <w:ind w:left="562" w:hanging="562"/>
      </w:pPr>
      <w:r w:rsidRPr="00384ADF">
        <w:t xml:space="preserve">Documentation includes </w:t>
      </w:r>
      <w:r w:rsidR="00054E3A" w:rsidRPr="00384ADF">
        <w:t>a record of the practitioner’s reasoning on all significant matters that require the exercise of professional judgment, and related conclusions. When difficult questions of principle or professional judgment exist, documentation that includes the relevant facts that were known by the practitioner at the time the conclusion was reached may assist in demonstrating the practitioner’s knowledge</w:t>
      </w:r>
      <w:r w:rsidR="00D93B75" w:rsidRPr="00384ADF">
        <w:rPr>
          <w:rStyle w:val="FootnoteReference"/>
          <w:vertAlign w:val="superscript"/>
        </w:rPr>
        <w:footnoteReference w:id="40"/>
      </w:r>
      <w:r w:rsidR="00054E3A" w:rsidRPr="00384ADF">
        <w:t>.</w:t>
      </w:r>
      <w:r w:rsidR="00F2339A" w:rsidRPr="00384ADF">
        <w:t xml:space="preserve"> Such documentation may include conclusions reached regarding the acceptance and continuance of client relationships and assurance engagements.</w:t>
      </w:r>
    </w:p>
    <w:p w14:paraId="4AEB6C07" w14:textId="63D3653F" w:rsidR="00054E3A" w:rsidRPr="00384ADF" w:rsidRDefault="00054E3A" w:rsidP="005279E7">
      <w:pPr>
        <w:pStyle w:val="NumList"/>
        <w:spacing w:line="312" w:lineRule="auto"/>
        <w:ind w:left="562" w:hanging="562"/>
        <w:rPr>
          <w:rFonts w:cs="Arial"/>
        </w:rPr>
      </w:pPr>
      <w:r w:rsidRPr="00384ADF">
        <w:t>In</w:t>
      </w:r>
      <w:r w:rsidRPr="00384ADF">
        <w:rPr>
          <w:rFonts w:cs="Arial"/>
        </w:rPr>
        <w:t xml:space="preserve"> applying professional judgment to assessing the extent of documentation to be prepared and retained, the practitioner may consider what is necessary to provide an understanding of the work performed and the basis of the principal decisions taken (but not the detailed aspects of the engagement) to another practitioner who has no previous experience with the engagement. That other practitioner may only be able to obtain an understanding of detailed aspects of the engagement by discussing them with the practitioner who prepared the documentation</w:t>
      </w:r>
      <w:r w:rsidR="00D93B75" w:rsidRPr="00384ADF">
        <w:rPr>
          <w:rStyle w:val="FootnoteReference"/>
          <w:rFonts w:cs="Arial"/>
          <w:vertAlign w:val="superscript"/>
        </w:rPr>
        <w:footnoteReference w:id="41"/>
      </w:r>
      <w:r w:rsidRPr="00384ADF">
        <w:rPr>
          <w:rFonts w:cs="Arial"/>
        </w:rPr>
        <w:t>.</w:t>
      </w:r>
    </w:p>
    <w:p w14:paraId="50BDE881" w14:textId="77777777" w:rsidR="009E5FB7" w:rsidRPr="00384ADF" w:rsidRDefault="009E5FB7" w:rsidP="007E0241">
      <w:pPr>
        <w:pStyle w:val="NumList"/>
        <w:numPr>
          <w:ilvl w:val="0"/>
          <w:numId w:val="0"/>
        </w:numPr>
        <w:spacing w:line="312" w:lineRule="auto"/>
        <w:rPr>
          <w:rFonts w:cs="Arial"/>
        </w:rPr>
      </w:pPr>
    </w:p>
    <w:p w14:paraId="208D6F23" w14:textId="77777777" w:rsidR="008D775A" w:rsidRPr="00384ADF" w:rsidRDefault="008D775A" w:rsidP="007E0241">
      <w:pPr>
        <w:pStyle w:val="BodyText"/>
        <w:spacing w:line="312" w:lineRule="auto"/>
        <w:jc w:val="center"/>
        <w:rPr>
          <w:rFonts w:asciiTheme="minorHAnsi" w:hAnsiTheme="minorHAnsi" w:cstheme="minorHAnsi"/>
          <w:szCs w:val="22"/>
          <w:lang w:val="en-ZA"/>
        </w:rPr>
      </w:pPr>
      <w:r w:rsidRPr="00384ADF">
        <w:rPr>
          <w:rFonts w:asciiTheme="minorHAnsi" w:hAnsiTheme="minorHAnsi" w:cstheme="minorHAnsi"/>
          <w:b/>
          <w:sz w:val="24"/>
          <w:szCs w:val="24"/>
          <w:lang w:val="en-ZA"/>
        </w:rPr>
        <w:t>**********</w:t>
      </w:r>
    </w:p>
    <w:p w14:paraId="6CED561F" w14:textId="77777777" w:rsidR="008D775A" w:rsidRPr="00384ADF" w:rsidRDefault="008D775A" w:rsidP="009E5FB7">
      <w:pPr>
        <w:pStyle w:val="NumList"/>
        <w:numPr>
          <w:ilvl w:val="0"/>
          <w:numId w:val="0"/>
        </w:numPr>
        <w:rPr>
          <w:rFonts w:cs="Arial"/>
        </w:rPr>
        <w:sectPr w:rsidR="008D775A" w:rsidRPr="00384ADF" w:rsidSect="00726778">
          <w:footerReference w:type="default" r:id="rId17"/>
          <w:pgSz w:w="11907" w:h="16840" w:code="9"/>
          <w:pgMar w:top="1440" w:right="1797" w:bottom="1440" w:left="1797" w:header="907" w:footer="907" w:gutter="0"/>
          <w:cols w:space="720"/>
          <w:noEndnote/>
          <w:docGrid w:linePitch="326"/>
        </w:sectPr>
      </w:pPr>
    </w:p>
    <w:p w14:paraId="19E5FFA1" w14:textId="33557201" w:rsidR="00A73B3A" w:rsidRPr="00384ADF" w:rsidRDefault="00A73B3A" w:rsidP="00CD4843">
      <w:pPr>
        <w:pStyle w:val="Heading1"/>
        <w:rPr>
          <w:rFonts w:hint="eastAsia"/>
        </w:rPr>
      </w:pPr>
      <w:bookmarkStart w:id="38" w:name="_Toc43704068"/>
      <w:r w:rsidRPr="00384ADF">
        <w:t>APPENDIX A</w:t>
      </w:r>
      <w:r w:rsidR="00436A04" w:rsidRPr="00384ADF">
        <w:t xml:space="preserve">: </w:t>
      </w:r>
      <w:r w:rsidR="002B7CAD">
        <w:t>Considerations</w:t>
      </w:r>
      <w:bookmarkEnd w:id="38"/>
    </w:p>
    <w:p w14:paraId="2F50F4DA" w14:textId="3BD16309" w:rsidR="005102F7" w:rsidRPr="00384ADF" w:rsidRDefault="00A73B3A" w:rsidP="005279E7">
      <w:pPr>
        <w:spacing w:line="312" w:lineRule="auto"/>
      </w:pPr>
      <w:r w:rsidRPr="00384ADF">
        <w:t xml:space="preserve">The guidance </w:t>
      </w:r>
      <w:r w:rsidR="005102F7" w:rsidRPr="00384ADF">
        <w:rPr>
          <w:rFonts w:cs="Arial"/>
        </w:rPr>
        <w:t>on determining whether the sustainability assurance engagement exhibits a rational purpose,</w:t>
      </w:r>
      <w:r w:rsidR="00B912BC" w:rsidRPr="00384ADF">
        <w:rPr>
          <w:rFonts w:cs="Arial"/>
        </w:rPr>
        <w:t xml:space="preserve"> that</w:t>
      </w:r>
      <w:r w:rsidR="005102F7"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005102F7" w:rsidRPr="00384ADF" w:rsidDel="005102F7">
        <w:t xml:space="preserve"> </w:t>
      </w:r>
      <w:r w:rsidRPr="00384ADF">
        <w:t>is</w:t>
      </w:r>
      <w:r w:rsidR="00133652">
        <w:t xml:space="preserve"> supported</w:t>
      </w:r>
      <w:r w:rsidR="00133652" w:rsidRPr="00384ADF">
        <w:t xml:space="preserve"> by </w:t>
      </w:r>
      <w:r w:rsidR="00133652">
        <w:t xml:space="preserve">considerations </w:t>
      </w:r>
      <w:r w:rsidR="00133652" w:rsidRPr="00384ADF">
        <w:t>that</w:t>
      </w:r>
      <w:r w:rsidR="00133652">
        <w:t xml:space="preserve"> may assist</w:t>
      </w:r>
      <w:r w:rsidR="00133652" w:rsidRPr="00384ADF">
        <w:t xml:space="preserve"> the practitioner</w:t>
      </w:r>
      <w:r w:rsidR="00133652">
        <w:t xml:space="preserve"> in making professional judgments in</w:t>
      </w:r>
      <w:r w:rsidR="00133652" w:rsidRPr="00384ADF">
        <w:t xml:space="preserve"> determin</w:t>
      </w:r>
      <w:r w:rsidR="00133652">
        <w:t>ing</w:t>
      </w:r>
      <w:r w:rsidR="00133652" w:rsidRPr="00384ADF">
        <w:t xml:space="preserve"> whether the sustainability assurance engagement exhibits the characteristics set out in paragraph</w:t>
      </w:r>
      <w:r w:rsidR="00133652">
        <w:t xml:space="preserve"> 16</w:t>
      </w:r>
      <w:r w:rsidR="00133652" w:rsidRPr="00384ADF">
        <w:t xml:space="preserve"> of this SAAEPS. These </w:t>
      </w:r>
      <w:r w:rsidR="00133652">
        <w:t>considerations</w:t>
      </w:r>
      <w:r w:rsidR="00133652" w:rsidRPr="00384ADF">
        <w:t xml:space="preserve"> are included as part of the guidance under each respective heading. </w:t>
      </w:r>
      <w:r w:rsidR="00133652">
        <w:t>T</w:t>
      </w:r>
      <w:r w:rsidR="00133652" w:rsidRPr="00384ADF">
        <w:t xml:space="preserve">he </w:t>
      </w:r>
      <w:r w:rsidR="00133652">
        <w:t>considerations</w:t>
      </w:r>
      <w:r w:rsidR="00133652" w:rsidRPr="00384ADF">
        <w:t xml:space="preserve"> included in this SAAEPS </w:t>
      </w:r>
      <w:r w:rsidR="00133652">
        <w:t>are</w:t>
      </w:r>
      <w:r w:rsidR="00133652" w:rsidRPr="00384ADF">
        <w:t xml:space="preserve"> not exhaustive and other </w:t>
      </w:r>
      <w:r w:rsidR="00133652">
        <w:t>considerations</w:t>
      </w:r>
      <w:r w:rsidR="00133652" w:rsidRPr="00384ADF">
        <w:t xml:space="preserve"> may be more appropriate in the circumstance of a particular sustainability assurance engagement.</w:t>
      </w:r>
    </w:p>
    <w:p w14:paraId="3B161614" w14:textId="6AD130B3" w:rsidR="000B4B84" w:rsidRPr="00384ADF" w:rsidRDefault="005102F7" w:rsidP="005279E7">
      <w:pPr>
        <w:spacing w:line="312" w:lineRule="auto"/>
      </w:pPr>
      <w:r w:rsidRPr="00384ADF">
        <w:t xml:space="preserve">Appendix A represents an accumulation of the </w:t>
      </w:r>
      <w:r w:rsidR="00133652">
        <w:t>considerations</w:t>
      </w:r>
      <w:r w:rsidRPr="00384ADF">
        <w:t xml:space="preserve"> contained under each of the headings within the body of this SAAEPS and is merely replicated here.</w:t>
      </w:r>
      <w:r w:rsidR="00A73B3A" w:rsidRPr="00384ADF">
        <w:t xml:space="preserve"> </w:t>
      </w:r>
    </w:p>
    <w:tbl>
      <w:tblPr>
        <w:tblStyle w:val="TableGrid"/>
        <w:tblW w:w="0" w:type="auto"/>
        <w:tblLook w:val="04A0" w:firstRow="1" w:lastRow="0" w:firstColumn="1" w:lastColumn="0" w:noHBand="0" w:noVBand="1"/>
      </w:tblPr>
      <w:tblGrid>
        <w:gridCol w:w="704"/>
        <w:gridCol w:w="8312"/>
      </w:tblGrid>
      <w:tr w:rsidR="00133652" w:rsidRPr="00384ADF" w14:paraId="62CE12DC" w14:textId="77777777" w:rsidTr="00AD21D6">
        <w:trPr>
          <w:cantSplit/>
          <w:trHeight w:val="1134"/>
        </w:trPr>
        <w:tc>
          <w:tcPr>
            <w:tcW w:w="704" w:type="dxa"/>
            <w:shd w:val="clear" w:color="auto" w:fill="A6A6A6" w:themeFill="background1" w:themeFillShade="A6"/>
            <w:textDirection w:val="btLr"/>
          </w:tcPr>
          <w:p w14:paraId="0D7797CC" w14:textId="39A8361B" w:rsidR="00133652" w:rsidRPr="00AD21D6" w:rsidDel="00133652" w:rsidRDefault="00133652" w:rsidP="00AD21D6">
            <w:pPr>
              <w:spacing w:line="312" w:lineRule="auto"/>
              <w:ind w:left="113" w:right="113"/>
              <w:jc w:val="center"/>
              <w:rPr>
                <w:b/>
                <w:color w:val="FFFFFF" w:themeColor="background1"/>
              </w:rPr>
            </w:pPr>
            <w:r>
              <w:rPr>
                <w:b/>
                <w:color w:val="FFFFFF" w:themeColor="background1"/>
              </w:rPr>
              <w:t>Considerations by the Practitioner</w:t>
            </w:r>
          </w:p>
        </w:tc>
        <w:tc>
          <w:tcPr>
            <w:tcW w:w="8312" w:type="dxa"/>
            <w:shd w:val="clear" w:color="auto" w:fill="F2F2F2" w:themeFill="background1" w:themeFillShade="F2"/>
          </w:tcPr>
          <w:p w14:paraId="32A60240" w14:textId="4E78B2BD" w:rsidR="00133652" w:rsidRPr="00384ADF" w:rsidRDefault="00133652" w:rsidP="001E4F3B">
            <w:pPr>
              <w:spacing w:line="312" w:lineRule="auto"/>
              <w:rPr>
                <w:b/>
              </w:rPr>
            </w:pPr>
            <w:r w:rsidRPr="00384ADF">
              <w:rPr>
                <w:b/>
              </w:rPr>
              <w:t>Rational purpose</w:t>
            </w:r>
          </w:p>
          <w:p w14:paraId="158B7D95" w14:textId="641ACF55" w:rsidR="00133652" w:rsidRPr="00384ADF" w:rsidRDefault="00133652" w:rsidP="001E4F3B">
            <w:pPr>
              <w:spacing w:line="312" w:lineRule="auto"/>
              <w:rPr>
                <w:i/>
              </w:rPr>
            </w:pPr>
            <w:r w:rsidRPr="00384ADF">
              <w:rPr>
                <w:i/>
              </w:rPr>
              <w:t>Underlying subject matter</w:t>
            </w:r>
          </w:p>
          <w:p w14:paraId="05E2D8FC" w14:textId="77777777" w:rsidR="00984625" w:rsidRPr="00CB3A75" w:rsidRDefault="00984625" w:rsidP="00984625">
            <w:pPr>
              <w:pStyle w:val="NumList"/>
              <w:numPr>
                <w:ilvl w:val="0"/>
                <w:numId w:val="0"/>
              </w:numPr>
              <w:spacing w:line="312" w:lineRule="auto"/>
              <w:rPr>
                <w:bCs/>
              </w:rPr>
            </w:pPr>
            <w:r>
              <w:rPr>
                <w:bCs/>
              </w:rPr>
              <w:t>To obtain an understanding of the underlying subject matter it may be appropriate for the practitioner to consider:</w:t>
            </w:r>
          </w:p>
          <w:p w14:paraId="6AAADF49" w14:textId="77777777" w:rsidR="00984625" w:rsidRPr="00384ADF" w:rsidRDefault="00984625" w:rsidP="00AD21D6">
            <w:pPr>
              <w:pStyle w:val="ListParagraph"/>
              <w:numPr>
                <w:ilvl w:val="0"/>
                <w:numId w:val="45"/>
              </w:numPr>
              <w:spacing w:line="312" w:lineRule="auto"/>
              <w:rPr>
                <w:rFonts w:cs="Arial"/>
              </w:rPr>
            </w:pPr>
            <w:r>
              <w:rPr>
                <w:rFonts w:cs="Arial"/>
              </w:rPr>
              <w:t>T</w:t>
            </w:r>
            <w:r w:rsidRPr="00384ADF">
              <w:rPr>
                <w:rFonts w:cs="Arial"/>
              </w:rPr>
              <w:t>he underlying subject matter (phenomenon) to be reported on</w:t>
            </w:r>
            <w:r>
              <w:rPr>
                <w:rFonts w:cs="Arial"/>
              </w:rPr>
              <w:t>.</w:t>
            </w:r>
          </w:p>
          <w:p w14:paraId="3844E603" w14:textId="77777777" w:rsidR="00984625" w:rsidRPr="00AD21D6" w:rsidRDefault="00984625" w:rsidP="00AD21D6">
            <w:pPr>
              <w:pStyle w:val="ListParagraph"/>
              <w:numPr>
                <w:ilvl w:val="0"/>
                <w:numId w:val="45"/>
              </w:numPr>
              <w:spacing w:line="312" w:lineRule="auto"/>
              <w:rPr>
                <w:rFonts w:cs="Arial"/>
              </w:rPr>
            </w:pPr>
            <w:r>
              <w:rPr>
                <w:rFonts w:cs="Arial"/>
              </w:rPr>
              <w:t>T</w:t>
            </w:r>
            <w:r w:rsidRPr="00384ADF">
              <w:rPr>
                <w:rFonts w:cs="Arial"/>
              </w:rPr>
              <w:t>he reporting entity</w:t>
            </w:r>
            <w:r>
              <w:rPr>
                <w:rFonts w:cs="Arial"/>
              </w:rPr>
              <w:t>’s</w:t>
            </w:r>
            <w:r w:rsidRPr="00384ADF">
              <w:rPr>
                <w:rFonts w:cs="Arial"/>
              </w:rPr>
              <w:t xml:space="preserve"> understanding of the underlying subject matter and how </w:t>
            </w:r>
            <w:r>
              <w:rPr>
                <w:rFonts w:cs="Arial"/>
              </w:rPr>
              <w:t>that</w:t>
            </w:r>
            <w:r w:rsidRPr="00384ADF">
              <w:rPr>
                <w:rFonts w:cs="Arial"/>
              </w:rPr>
              <w:t xml:space="preserve"> relates to the information needs of the intended users</w:t>
            </w:r>
            <w:r>
              <w:rPr>
                <w:rFonts w:cs="Arial"/>
              </w:rPr>
              <w:t>.</w:t>
            </w:r>
          </w:p>
          <w:p w14:paraId="4638C98C" w14:textId="69C6F0EB" w:rsidR="00984625" w:rsidRDefault="00984625" w:rsidP="00984625">
            <w:pPr>
              <w:pStyle w:val="ListParagraph"/>
              <w:numPr>
                <w:ilvl w:val="0"/>
                <w:numId w:val="45"/>
              </w:numPr>
              <w:spacing w:line="312" w:lineRule="auto"/>
              <w:rPr>
                <w:rFonts w:cs="Arial"/>
              </w:rPr>
            </w:pPr>
            <w:r w:rsidRPr="00AD21D6">
              <w:rPr>
                <w:rFonts w:cs="Arial"/>
              </w:rPr>
              <w:t>Whether the underlying subject matter has been formally adopted and documented by the entity.</w:t>
            </w:r>
          </w:p>
          <w:p w14:paraId="36FA9E83" w14:textId="261938BC" w:rsidR="00984625" w:rsidRPr="00AD21D6" w:rsidRDefault="00984625" w:rsidP="00AD21D6">
            <w:pPr>
              <w:pStyle w:val="ListParagraph"/>
              <w:numPr>
                <w:ilvl w:val="0"/>
                <w:numId w:val="45"/>
              </w:numPr>
              <w:spacing w:line="312" w:lineRule="auto"/>
              <w:rPr>
                <w:rFonts w:cs="Arial"/>
              </w:rPr>
            </w:pPr>
            <w:r>
              <w:rPr>
                <w:rFonts w:cs="Arial"/>
              </w:rPr>
              <w:t>Whether there is an indication of consistent interpretation and understanding of the underlying subject matter.</w:t>
            </w:r>
          </w:p>
          <w:p w14:paraId="55DD189C" w14:textId="5C6845F9" w:rsidR="00133652" w:rsidRPr="00AD21D6" w:rsidRDefault="00133652" w:rsidP="00AD21D6">
            <w:pPr>
              <w:spacing w:line="312" w:lineRule="auto"/>
              <w:rPr>
                <w:rFonts w:cs="Arial"/>
                <w:i/>
              </w:rPr>
            </w:pPr>
            <w:r w:rsidRPr="00AD21D6">
              <w:rPr>
                <w:rFonts w:cs="Arial"/>
                <w:i/>
              </w:rPr>
              <w:t>Entity context</w:t>
            </w:r>
          </w:p>
          <w:p w14:paraId="0F0C4397" w14:textId="77777777" w:rsidR="00984625" w:rsidRPr="00384ADF" w:rsidRDefault="00984625" w:rsidP="00984625">
            <w:pPr>
              <w:pStyle w:val="NumList"/>
              <w:numPr>
                <w:ilvl w:val="0"/>
                <w:numId w:val="0"/>
              </w:numPr>
              <w:spacing w:line="312" w:lineRule="auto"/>
              <w:rPr>
                <w:b/>
              </w:rPr>
            </w:pPr>
            <w:r>
              <w:rPr>
                <w:bCs/>
              </w:rPr>
              <w:t>To obtain an understanding of the entity context it may be appropriate for the practitioner to consider:</w:t>
            </w:r>
          </w:p>
          <w:p w14:paraId="6489B718" w14:textId="77777777" w:rsidR="00984625" w:rsidRPr="00384ADF" w:rsidRDefault="00984625" w:rsidP="00984625">
            <w:pPr>
              <w:pStyle w:val="ListParagraph"/>
              <w:numPr>
                <w:ilvl w:val="0"/>
                <w:numId w:val="46"/>
              </w:numPr>
              <w:spacing w:line="312" w:lineRule="auto"/>
              <w:rPr>
                <w:rFonts w:cs="Arial"/>
              </w:rPr>
            </w:pPr>
            <w:r>
              <w:rPr>
                <w:rFonts w:cs="Arial"/>
              </w:rPr>
              <w:t>T</w:t>
            </w:r>
            <w:r w:rsidRPr="00384ADF">
              <w:rPr>
                <w:rFonts w:cs="Arial"/>
              </w:rPr>
              <w:t>he relevant contextual issues that may impact considerations around the reporting content</w:t>
            </w:r>
            <w:r>
              <w:rPr>
                <w:rFonts w:cs="Arial"/>
              </w:rPr>
              <w:t>.</w:t>
            </w:r>
          </w:p>
          <w:p w14:paraId="1241F940" w14:textId="65378374" w:rsidR="00984625" w:rsidRDefault="00984625" w:rsidP="00984625">
            <w:pPr>
              <w:pStyle w:val="ListParagraph"/>
              <w:numPr>
                <w:ilvl w:val="0"/>
                <w:numId w:val="46"/>
              </w:numPr>
              <w:spacing w:line="312" w:lineRule="auto"/>
              <w:rPr>
                <w:rFonts w:cs="Arial"/>
              </w:rPr>
            </w:pPr>
            <w:r>
              <w:rPr>
                <w:rFonts w:cs="Arial"/>
              </w:rPr>
              <w:t>T</w:t>
            </w:r>
            <w:r w:rsidRPr="00384ADF">
              <w:rPr>
                <w:rFonts w:cs="Arial"/>
              </w:rPr>
              <w:t>he issues to be considered when assessing the scope of what may be reported on and how that relate</w:t>
            </w:r>
            <w:r>
              <w:rPr>
                <w:rFonts w:cs="Arial"/>
              </w:rPr>
              <w:t>s</w:t>
            </w:r>
            <w:r w:rsidRPr="00384ADF">
              <w:rPr>
                <w:rFonts w:cs="Arial"/>
              </w:rPr>
              <w:t xml:space="preserve"> to the information needs of the intended users</w:t>
            </w:r>
            <w:r>
              <w:rPr>
                <w:rFonts w:cs="Arial"/>
              </w:rPr>
              <w:t>.</w:t>
            </w:r>
          </w:p>
          <w:p w14:paraId="1DBAEAE2" w14:textId="63611FD6" w:rsidR="00984625" w:rsidRPr="00384ADF" w:rsidRDefault="00984625" w:rsidP="00984625">
            <w:pPr>
              <w:pStyle w:val="ListParagraph"/>
              <w:numPr>
                <w:ilvl w:val="0"/>
                <w:numId w:val="46"/>
              </w:numPr>
              <w:spacing w:line="312" w:lineRule="auto"/>
              <w:rPr>
                <w:rFonts w:cs="Arial"/>
              </w:rPr>
            </w:pPr>
            <w:r>
              <w:rPr>
                <w:rFonts w:cs="Arial"/>
              </w:rPr>
              <w:t>Given the current understanding of the operations of the reporting entity, the stakeholders that the reporting entity impacts by these operations.</w:t>
            </w:r>
          </w:p>
          <w:p w14:paraId="54956305" w14:textId="13942C19" w:rsidR="00133652" w:rsidRPr="00384ADF" w:rsidRDefault="00133652" w:rsidP="00AD21D6">
            <w:pPr>
              <w:spacing w:line="312" w:lineRule="auto"/>
              <w:rPr>
                <w:rFonts w:cs="Arial"/>
                <w:i/>
              </w:rPr>
            </w:pPr>
            <w:r w:rsidRPr="00384ADF">
              <w:rPr>
                <w:rFonts w:cs="Arial"/>
                <w:i/>
              </w:rPr>
              <w:t>Reporting infrastructure</w:t>
            </w:r>
          </w:p>
          <w:p w14:paraId="04DF0306" w14:textId="1353304A" w:rsidR="00133652" w:rsidRPr="00384ADF" w:rsidRDefault="00133652" w:rsidP="00AD21D6">
            <w:pPr>
              <w:spacing w:line="312" w:lineRule="auto"/>
              <w:rPr>
                <w:rFonts w:cs="Arial"/>
                <w:u w:val="single"/>
              </w:rPr>
            </w:pPr>
            <w:r w:rsidRPr="00384ADF">
              <w:rPr>
                <w:rFonts w:cs="Arial"/>
                <w:u w:val="single"/>
              </w:rPr>
              <w:t>Relevant reporting frameworks</w:t>
            </w:r>
          </w:p>
          <w:p w14:paraId="04D0FA42" w14:textId="77777777" w:rsidR="00000E68" w:rsidRPr="00384ADF" w:rsidRDefault="00000E68" w:rsidP="00000E68">
            <w:pPr>
              <w:pStyle w:val="NumList"/>
              <w:numPr>
                <w:ilvl w:val="0"/>
                <w:numId w:val="0"/>
              </w:numPr>
              <w:spacing w:line="312" w:lineRule="auto"/>
              <w:rPr>
                <w:b/>
              </w:rPr>
            </w:pPr>
            <w:r>
              <w:rPr>
                <w:bCs/>
              </w:rPr>
              <w:t>To obtain an understanding of the relevant reporting framework it may be appropriate for the practitioner to consider:</w:t>
            </w:r>
          </w:p>
          <w:p w14:paraId="601D6807" w14:textId="77777777" w:rsidR="00000E68" w:rsidRPr="00384ADF" w:rsidRDefault="00000E68" w:rsidP="00000E68">
            <w:pPr>
              <w:pStyle w:val="ListParagraph"/>
              <w:numPr>
                <w:ilvl w:val="0"/>
                <w:numId w:val="47"/>
              </w:numPr>
              <w:spacing w:line="312" w:lineRule="auto"/>
              <w:rPr>
                <w:rFonts w:cs="Arial"/>
              </w:rPr>
            </w:pPr>
            <w:r>
              <w:rPr>
                <w:rFonts w:cs="Arial"/>
              </w:rPr>
              <w:t>T</w:t>
            </w:r>
            <w:r w:rsidRPr="00384ADF">
              <w:rPr>
                <w:rFonts w:cs="Arial"/>
              </w:rPr>
              <w:t>he reporting framework(s) that the reporting entity is utilising in reporting on the subject matter information</w:t>
            </w:r>
            <w:r>
              <w:rPr>
                <w:rFonts w:cs="Arial"/>
              </w:rPr>
              <w:t>.</w:t>
            </w:r>
          </w:p>
          <w:p w14:paraId="632CBB45" w14:textId="77777777" w:rsidR="00000E68" w:rsidRPr="00384ADF" w:rsidRDefault="00000E68" w:rsidP="00000E68">
            <w:pPr>
              <w:pStyle w:val="ListParagraph"/>
              <w:numPr>
                <w:ilvl w:val="0"/>
                <w:numId w:val="47"/>
              </w:numPr>
              <w:spacing w:line="312" w:lineRule="auto"/>
              <w:rPr>
                <w:rFonts w:cs="Arial"/>
              </w:rPr>
            </w:pPr>
            <w:r>
              <w:rPr>
                <w:rFonts w:cs="Arial"/>
              </w:rPr>
              <w:t>T</w:t>
            </w:r>
            <w:r w:rsidRPr="00384ADF">
              <w:rPr>
                <w:rFonts w:cs="Arial"/>
              </w:rPr>
              <w:t>he process the entity has followed to adopt the reporting framework(s)</w:t>
            </w:r>
            <w:r>
              <w:rPr>
                <w:rFonts w:cs="Arial"/>
              </w:rPr>
              <w:t>.</w:t>
            </w:r>
          </w:p>
          <w:p w14:paraId="46192108" w14:textId="77777777" w:rsidR="00000E68" w:rsidRPr="00384ADF" w:rsidRDefault="00000E68" w:rsidP="00000E68">
            <w:pPr>
              <w:pStyle w:val="ListParagraph"/>
              <w:numPr>
                <w:ilvl w:val="0"/>
                <w:numId w:val="47"/>
              </w:numPr>
              <w:spacing w:line="312" w:lineRule="auto"/>
              <w:rPr>
                <w:rFonts w:cs="Arial"/>
              </w:rPr>
            </w:pPr>
            <w:r>
              <w:rPr>
                <w:rFonts w:cs="Arial"/>
              </w:rPr>
              <w:t>T</w:t>
            </w:r>
            <w:r w:rsidRPr="00384ADF">
              <w:rPr>
                <w:rFonts w:cs="Arial"/>
              </w:rPr>
              <w:t>he process the entity has followed to engage the intended users and other stakeholders to determine their information needs</w:t>
            </w:r>
            <w:r>
              <w:rPr>
                <w:rFonts w:cs="Arial"/>
              </w:rPr>
              <w:t>.</w:t>
            </w:r>
          </w:p>
          <w:p w14:paraId="4D14F703" w14:textId="77777777" w:rsidR="00000E68" w:rsidRPr="00384ADF" w:rsidRDefault="00000E68" w:rsidP="00000E68">
            <w:pPr>
              <w:pStyle w:val="ListParagraph"/>
              <w:numPr>
                <w:ilvl w:val="0"/>
                <w:numId w:val="47"/>
              </w:numPr>
              <w:spacing w:line="312" w:lineRule="auto"/>
              <w:rPr>
                <w:rFonts w:cs="Arial"/>
              </w:rPr>
            </w:pPr>
            <w:r>
              <w:rPr>
                <w:rFonts w:cs="Arial"/>
              </w:rPr>
              <w:t>The</w:t>
            </w:r>
            <w:r w:rsidRPr="00384ADF">
              <w:rPr>
                <w:rFonts w:cs="Arial"/>
              </w:rPr>
              <w:t xml:space="preserve"> level of management bias</w:t>
            </w:r>
            <w:r>
              <w:rPr>
                <w:rFonts w:cs="Arial"/>
              </w:rPr>
              <w:t xml:space="preserve"> that</w:t>
            </w:r>
            <w:r w:rsidRPr="00384ADF">
              <w:rPr>
                <w:rFonts w:cs="Arial"/>
              </w:rPr>
              <w:t xml:space="preserve"> exists in the reporting framework(s) used by management in the selection of reporting content</w:t>
            </w:r>
            <w:r>
              <w:rPr>
                <w:rFonts w:cs="Arial"/>
              </w:rPr>
              <w:t>.</w:t>
            </w:r>
          </w:p>
          <w:p w14:paraId="38551664" w14:textId="77777777" w:rsidR="00000E68" w:rsidRPr="00384ADF" w:rsidRDefault="00000E68" w:rsidP="00000E68">
            <w:pPr>
              <w:pStyle w:val="ListParagraph"/>
              <w:numPr>
                <w:ilvl w:val="0"/>
                <w:numId w:val="47"/>
              </w:numPr>
              <w:spacing w:line="312" w:lineRule="auto"/>
              <w:rPr>
                <w:rFonts w:cs="Arial"/>
              </w:rPr>
            </w:pPr>
            <w:r>
              <w:rPr>
                <w:rFonts w:cs="Arial"/>
              </w:rPr>
              <w:t>Whether</w:t>
            </w:r>
            <w:r w:rsidRPr="00384ADF">
              <w:rPr>
                <w:rFonts w:cs="Arial"/>
              </w:rPr>
              <w:t xml:space="preserve"> the following areas</w:t>
            </w:r>
            <w:r>
              <w:rPr>
                <w:rFonts w:cs="Arial"/>
              </w:rPr>
              <w:t xml:space="preserve"> are</w:t>
            </w:r>
            <w:r w:rsidRPr="00384ADF">
              <w:rPr>
                <w:rFonts w:cs="Arial"/>
              </w:rPr>
              <w:t xml:space="preserve"> included in the reporting framework(s):</w:t>
            </w:r>
          </w:p>
          <w:p w14:paraId="3348CE2D" w14:textId="77777777" w:rsidR="00000E68" w:rsidRPr="00384ADF" w:rsidRDefault="00000E68" w:rsidP="00000E68">
            <w:pPr>
              <w:pStyle w:val="ListParagraph"/>
              <w:widowControl/>
              <w:numPr>
                <w:ilvl w:val="0"/>
                <w:numId w:val="48"/>
              </w:numPr>
              <w:autoSpaceDE/>
              <w:autoSpaceDN/>
              <w:adjustRightInd/>
              <w:spacing w:line="312" w:lineRule="auto"/>
              <w:ind w:left="1310" w:hanging="425"/>
              <w:rPr>
                <w:rFonts w:cs="Arial"/>
              </w:rPr>
            </w:pPr>
            <w:r w:rsidRPr="00384ADF">
              <w:rPr>
                <w:rFonts w:cs="Arial"/>
              </w:rPr>
              <w:t>Determination of the scope of what may be reported on</w:t>
            </w:r>
            <w:r>
              <w:rPr>
                <w:rFonts w:cs="Arial"/>
              </w:rPr>
              <w:t>.</w:t>
            </w:r>
          </w:p>
          <w:p w14:paraId="0B1A51A4" w14:textId="77777777" w:rsidR="00000E68" w:rsidRPr="00384ADF" w:rsidRDefault="00000E68" w:rsidP="00000E68">
            <w:pPr>
              <w:pStyle w:val="ListParagraph"/>
              <w:widowControl/>
              <w:numPr>
                <w:ilvl w:val="0"/>
                <w:numId w:val="48"/>
              </w:numPr>
              <w:autoSpaceDE/>
              <w:autoSpaceDN/>
              <w:adjustRightInd/>
              <w:spacing w:line="312" w:lineRule="auto"/>
              <w:ind w:left="1310" w:hanging="425"/>
              <w:rPr>
                <w:rFonts w:cs="Arial"/>
              </w:rPr>
            </w:pPr>
            <w:r w:rsidRPr="00384ADF">
              <w:rPr>
                <w:rFonts w:cs="Arial"/>
              </w:rPr>
              <w:t>Determining the material issues to report on</w:t>
            </w:r>
            <w:r>
              <w:rPr>
                <w:rFonts w:cs="Arial"/>
              </w:rPr>
              <w:t>.</w:t>
            </w:r>
          </w:p>
          <w:p w14:paraId="0BBACA63" w14:textId="77777777" w:rsidR="00000E68" w:rsidRPr="00384ADF" w:rsidRDefault="00000E68" w:rsidP="00000E68">
            <w:pPr>
              <w:pStyle w:val="ListParagraph"/>
              <w:widowControl/>
              <w:numPr>
                <w:ilvl w:val="0"/>
                <w:numId w:val="48"/>
              </w:numPr>
              <w:autoSpaceDE/>
              <w:autoSpaceDN/>
              <w:adjustRightInd/>
              <w:spacing w:line="312" w:lineRule="auto"/>
              <w:ind w:left="1310" w:hanging="425"/>
            </w:pPr>
            <w:r w:rsidRPr="00384ADF">
              <w:rPr>
                <w:rFonts w:cs="Arial"/>
              </w:rPr>
              <w:t>Defini</w:t>
            </w:r>
            <w:r>
              <w:rPr>
                <w:rFonts w:cs="Arial"/>
              </w:rPr>
              <w:t>tion of</w:t>
            </w:r>
            <w:r w:rsidRPr="00384ADF">
              <w:rPr>
                <w:rFonts w:cs="Arial"/>
              </w:rPr>
              <w:t xml:space="preserve"> processes to measure or evaluate certain areas of performance</w:t>
            </w:r>
            <w:r>
              <w:rPr>
                <w:rFonts w:cs="Arial"/>
              </w:rPr>
              <w:t>.</w:t>
            </w:r>
            <w:r w:rsidRPr="00384ADF">
              <w:rPr>
                <w:rFonts w:cs="Arial"/>
              </w:rPr>
              <w:t xml:space="preserve"> </w:t>
            </w:r>
          </w:p>
          <w:p w14:paraId="53DD0C4C" w14:textId="6B3F5D93" w:rsidR="00000E68" w:rsidRDefault="00000E68" w:rsidP="00AD21D6">
            <w:pPr>
              <w:widowControl/>
              <w:spacing w:line="312" w:lineRule="auto"/>
              <w:ind w:left="744"/>
              <w:rPr>
                <w:rFonts w:cs="Arial"/>
                <w:u w:val="single"/>
              </w:rPr>
            </w:pPr>
            <w:r>
              <w:t>If not, whether</w:t>
            </w:r>
            <w:r w:rsidRPr="00384ADF">
              <w:t xml:space="preserve"> these areas been addressed</w:t>
            </w:r>
            <w:r>
              <w:t xml:space="preserve"> in another way</w:t>
            </w:r>
            <w:r w:rsidRPr="00384ADF">
              <w:t xml:space="preserve"> by the reporting entity</w:t>
            </w:r>
            <w:r>
              <w:t>.</w:t>
            </w:r>
          </w:p>
          <w:p w14:paraId="79D474CC" w14:textId="5CC38548" w:rsidR="00133652" w:rsidRPr="00384ADF" w:rsidRDefault="00133652" w:rsidP="001E4F3B">
            <w:pPr>
              <w:widowControl/>
              <w:spacing w:line="312" w:lineRule="auto"/>
              <w:rPr>
                <w:rFonts w:cs="Arial"/>
                <w:u w:val="single"/>
              </w:rPr>
            </w:pPr>
            <w:r w:rsidRPr="00384ADF">
              <w:rPr>
                <w:rFonts w:cs="Arial"/>
                <w:u w:val="single"/>
              </w:rPr>
              <w:t>Reporting policies and procedures</w:t>
            </w:r>
          </w:p>
          <w:p w14:paraId="2D4F0362" w14:textId="77777777" w:rsidR="00847494" w:rsidRPr="00384ADF" w:rsidRDefault="00847494" w:rsidP="00847494">
            <w:pPr>
              <w:pStyle w:val="NumList"/>
              <w:keepNext/>
              <w:widowControl/>
              <w:numPr>
                <w:ilvl w:val="0"/>
                <w:numId w:val="0"/>
              </w:numPr>
              <w:spacing w:line="312" w:lineRule="auto"/>
              <w:rPr>
                <w:b/>
              </w:rPr>
            </w:pPr>
            <w:r>
              <w:rPr>
                <w:bCs/>
              </w:rPr>
              <w:t>To obtain an understanding of the reporting policies and procedures it may be appropriate for the practitioner to consider:</w:t>
            </w:r>
          </w:p>
          <w:p w14:paraId="4B419C52" w14:textId="77777777" w:rsidR="00847494" w:rsidRPr="00384ADF" w:rsidRDefault="00847494" w:rsidP="00847494">
            <w:pPr>
              <w:pStyle w:val="ListParagraph"/>
              <w:numPr>
                <w:ilvl w:val="0"/>
                <w:numId w:val="47"/>
              </w:numPr>
              <w:spacing w:line="312" w:lineRule="auto"/>
            </w:pPr>
            <w:r w:rsidRPr="00384ADF">
              <w:rPr>
                <w:rFonts w:cs="Arial"/>
              </w:rPr>
              <w:t xml:space="preserve">Given the potential for management bias in the development of reporting content, </w:t>
            </w:r>
            <w:r>
              <w:rPr>
                <w:rFonts w:cs="Arial"/>
              </w:rPr>
              <w:t>whether</w:t>
            </w:r>
            <w:r w:rsidRPr="00384ADF">
              <w:t xml:space="preserve"> the reporting entity ha</w:t>
            </w:r>
            <w:r>
              <w:t>s</w:t>
            </w:r>
            <w:r w:rsidRPr="00384ADF">
              <w:t xml:space="preserve"> a formal process for the selection or development of reporting policies and procedures around:</w:t>
            </w:r>
          </w:p>
          <w:p w14:paraId="2F16C7D6" w14:textId="77777777" w:rsidR="00847494" w:rsidRPr="00384ADF" w:rsidRDefault="00847494" w:rsidP="00847494">
            <w:pPr>
              <w:pStyle w:val="ListParagraph"/>
              <w:widowControl/>
              <w:numPr>
                <w:ilvl w:val="0"/>
                <w:numId w:val="48"/>
              </w:numPr>
              <w:autoSpaceDE/>
              <w:autoSpaceDN/>
              <w:adjustRightInd/>
              <w:spacing w:line="312" w:lineRule="auto"/>
              <w:ind w:left="1310" w:hanging="425"/>
              <w:rPr>
                <w:rFonts w:cs="Arial"/>
              </w:rPr>
            </w:pPr>
            <w:r w:rsidRPr="00384ADF">
              <w:rPr>
                <w:rFonts w:cs="Arial"/>
              </w:rPr>
              <w:t>The engagement of the intended users and other stakeholders</w:t>
            </w:r>
            <w:r>
              <w:rPr>
                <w:rFonts w:cs="Arial"/>
              </w:rPr>
              <w:t>.</w:t>
            </w:r>
          </w:p>
          <w:p w14:paraId="17FD329D" w14:textId="77777777" w:rsidR="00847494" w:rsidRPr="00384ADF" w:rsidRDefault="00847494" w:rsidP="00847494">
            <w:pPr>
              <w:pStyle w:val="ListParagraph"/>
              <w:widowControl/>
              <w:numPr>
                <w:ilvl w:val="0"/>
                <w:numId w:val="48"/>
              </w:numPr>
              <w:autoSpaceDE/>
              <w:autoSpaceDN/>
              <w:adjustRightInd/>
              <w:spacing w:line="312" w:lineRule="auto"/>
              <w:ind w:left="1310" w:hanging="425"/>
              <w:rPr>
                <w:rFonts w:cs="Arial"/>
              </w:rPr>
            </w:pPr>
            <w:r w:rsidRPr="00384ADF">
              <w:rPr>
                <w:rFonts w:cs="Arial"/>
              </w:rPr>
              <w:t>The scope of what may be reported on</w:t>
            </w:r>
            <w:r>
              <w:rPr>
                <w:rFonts w:cs="Arial"/>
              </w:rPr>
              <w:t>.</w:t>
            </w:r>
          </w:p>
          <w:p w14:paraId="678B6AA7" w14:textId="77777777" w:rsidR="00847494" w:rsidRPr="00384ADF" w:rsidRDefault="00847494" w:rsidP="00847494">
            <w:pPr>
              <w:pStyle w:val="ListParagraph"/>
              <w:widowControl/>
              <w:numPr>
                <w:ilvl w:val="0"/>
                <w:numId w:val="48"/>
              </w:numPr>
              <w:autoSpaceDE/>
              <w:autoSpaceDN/>
              <w:adjustRightInd/>
              <w:spacing w:line="312" w:lineRule="auto"/>
              <w:ind w:left="1310" w:hanging="425"/>
              <w:rPr>
                <w:rFonts w:cs="Arial"/>
              </w:rPr>
            </w:pPr>
            <w:r w:rsidRPr="00384ADF">
              <w:rPr>
                <w:rFonts w:cs="Arial"/>
              </w:rPr>
              <w:t>The process for determining reporting materiality</w:t>
            </w:r>
            <w:r>
              <w:rPr>
                <w:rFonts w:cs="Arial"/>
              </w:rPr>
              <w:t>.</w:t>
            </w:r>
          </w:p>
          <w:p w14:paraId="6A877CA8" w14:textId="77777777" w:rsidR="00847494" w:rsidRPr="00384ADF" w:rsidRDefault="00847494" w:rsidP="00847494">
            <w:pPr>
              <w:pStyle w:val="ListParagraph"/>
              <w:widowControl/>
              <w:numPr>
                <w:ilvl w:val="0"/>
                <w:numId w:val="48"/>
              </w:numPr>
              <w:autoSpaceDE/>
              <w:autoSpaceDN/>
              <w:adjustRightInd/>
              <w:spacing w:line="312" w:lineRule="auto"/>
              <w:ind w:left="1310" w:hanging="425"/>
              <w:rPr>
                <w:rFonts w:cs="Arial"/>
              </w:rPr>
            </w:pPr>
            <w:r w:rsidRPr="00384ADF">
              <w:rPr>
                <w:rFonts w:cs="Arial"/>
              </w:rPr>
              <w:t>Measurement or evaluation</w:t>
            </w:r>
            <w:r>
              <w:rPr>
                <w:rFonts w:cs="Arial"/>
              </w:rPr>
              <w:t>.</w:t>
            </w:r>
          </w:p>
          <w:p w14:paraId="6AC619C3" w14:textId="77777777" w:rsidR="00847494" w:rsidRPr="00384ADF" w:rsidRDefault="00847494" w:rsidP="00847494">
            <w:pPr>
              <w:pStyle w:val="ListParagraph"/>
              <w:widowControl/>
              <w:numPr>
                <w:ilvl w:val="0"/>
                <w:numId w:val="48"/>
              </w:numPr>
              <w:autoSpaceDE/>
              <w:autoSpaceDN/>
              <w:adjustRightInd/>
              <w:spacing w:line="312" w:lineRule="auto"/>
              <w:ind w:left="1310" w:hanging="425"/>
              <w:rPr>
                <w:rFonts w:cs="Arial"/>
              </w:rPr>
            </w:pPr>
            <w:r w:rsidRPr="00384ADF">
              <w:rPr>
                <w:rFonts w:cs="Arial"/>
              </w:rPr>
              <w:t>Other relevant reporting issues</w:t>
            </w:r>
            <w:r>
              <w:rPr>
                <w:rFonts w:cs="Arial"/>
              </w:rPr>
              <w:t>.</w:t>
            </w:r>
          </w:p>
          <w:p w14:paraId="4CD73AC9" w14:textId="77777777" w:rsidR="00847494" w:rsidRPr="00384ADF" w:rsidRDefault="00847494" w:rsidP="00847494">
            <w:pPr>
              <w:keepNext/>
              <w:widowControl/>
              <w:spacing w:line="312" w:lineRule="auto"/>
              <w:rPr>
                <w:rFonts w:cs="Arial"/>
              </w:rPr>
            </w:pPr>
            <w:r>
              <w:rPr>
                <w:rFonts w:cs="Arial"/>
              </w:rPr>
              <w:t>With respect to the above</w:t>
            </w:r>
            <w:r w:rsidRPr="00384ADF">
              <w:rPr>
                <w:rFonts w:cs="Arial"/>
              </w:rPr>
              <w:t xml:space="preserve"> aspects</w:t>
            </w:r>
            <w:r>
              <w:rPr>
                <w:rFonts w:cs="Arial"/>
              </w:rPr>
              <w:t>,</w:t>
            </w:r>
            <w:r w:rsidRPr="00384ADF">
              <w:rPr>
                <w:rFonts w:cs="Arial"/>
              </w:rPr>
              <w:t xml:space="preserve"> </w:t>
            </w:r>
            <w:r>
              <w:rPr>
                <w:rFonts w:cs="Arial"/>
              </w:rPr>
              <w:t>it may be appropriate for the practitioner to</w:t>
            </w:r>
            <w:r w:rsidRPr="00384ADF">
              <w:rPr>
                <w:rFonts w:cs="Arial"/>
              </w:rPr>
              <w:t xml:space="preserve"> consider:</w:t>
            </w:r>
          </w:p>
          <w:p w14:paraId="77F70F0D" w14:textId="77777777" w:rsidR="00847494" w:rsidRPr="00384ADF" w:rsidRDefault="00847494" w:rsidP="00847494">
            <w:pPr>
              <w:pStyle w:val="ListParagraph"/>
              <w:numPr>
                <w:ilvl w:val="0"/>
                <w:numId w:val="47"/>
              </w:numPr>
              <w:spacing w:line="312" w:lineRule="auto"/>
              <w:rPr>
                <w:rFonts w:cs="Arial"/>
              </w:rPr>
            </w:pPr>
            <w:r>
              <w:rPr>
                <w:rFonts w:cs="Arial"/>
              </w:rPr>
              <w:t>Whether</w:t>
            </w:r>
            <w:r w:rsidRPr="00384ADF">
              <w:rPr>
                <w:rFonts w:cs="Arial"/>
              </w:rPr>
              <w:t xml:space="preserve"> the reporting policies and procedures</w:t>
            </w:r>
            <w:r>
              <w:rPr>
                <w:rFonts w:cs="Arial"/>
              </w:rPr>
              <w:t xml:space="preserve"> are</w:t>
            </w:r>
            <w:r w:rsidRPr="00384ADF">
              <w:rPr>
                <w:rFonts w:cs="Arial"/>
              </w:rPr>
              <w:t xml:space="preserve"> aligned to the reporting framework(s)</w:t>
            </w:r>
            <w:r>
              <w:rPr>
                <w:rFonts w:cs="Arial"/>
              </w:rPr>
              <w:t>.</w:t>
            </w:r>
          </w:p>
          <w:p w14:paraId="5C09645A" w14:textId="77777777" w:rsidR="00847494" w:rsidRPr="00384ADF" w:rsidRDefault="00847494" w:rsidP="00847494">
            <w:pPr>
              <w:pStyle w:val="ListParagraph"/>
              <w:numPr>
                <w:ilvl w:val="0"/>
                <w:numId w:val="47"/>
              </w:numPr>
              <w:spacing w:line="312" w:lineRule="auto"/>
              <w:rPr>
                <w:b/>
              </w:rPr>
            </w:pPr>
            <w:r>
              <w:rPr>
                <w:rFonts w:cs="Arial"/>
              </w:rPr>
              <w:t>Whether</w:t>
            </w:r>
            <w:r w:rsidRPr="00384ADF">
              <w:rPr>
                <w:rFonts w:cs="Arial"/>
              </w:rPr>
              <w:t xml:space="preserve"> the reporting policies and procedures</w:t>
            </w:r>
            <w:r>
              <w:rPr>
                <w:rFonts w:cs="Arial"/>
              </w:rPr>
              <w:t xml:space="preserve"> were</w:t>
            </w:r>
            <w:r w:rsidRPr="00384ADF">
              <w:rPr>
                <w:rFonts w:cs="Arial"/>
              </w:rPr>
              <w:t xml:space="preserve"> developed internally or adopted from a pre-existing framework or other guidance</w:t>
            </w:r>
            <w:r>
              <w:rPr>
                <w:rFonts w:cs="Arial"/>
              </w:rPr>
              <w:t>.</w:t>
            </w:r>
          </w:p>
          <w:p w14:paraId="6F5BA9A2" w14:textId="77777777" w:rsidR="00847494" w:rsidRPr="00384ADF" w:rsidRDefault="00847494" w:rsidP="00847494">
            <w:pPr>
              <w:pStyle w:val="ListParagraph"/>
              <w:numPr>
                <w:ilvl w:val="0"/>
                <w:numId w:val="47"/>
              </w:numPr>
              <w:spacing w:line="312" w:lineRule="auto"/>
              <w:rPr>
                <w:rFonts w:cs="Arial"/>
              </w:rPr>
            </w:pPr>
            <w:r>
              <w:rPr>
                <w:rFonts w:cs="Arial"/>
              </w:rPr>
              <w:t>Whether</w:t>
            </w:r>
            <w:r w:rsidRPr="00384ADF">
              <w:rPr>
                <w:rFonts w:cs="Arial"/>
              </w:rPr>
              <w:t xml:space="preserve"> a transparent due process</w:t>
            </w:r>
            <w:r>
              <w:rPr>
                <w:rFonts w:cs="Arial"/>
              </w:rPr>
              <w:t xml:space="preserve"> was</w:t>
            </w:r>
            <w:r w:rsidRPr="00384ADF">
              <w:rPr>
                <w:rFonts w:cs="Arial"/>
              </w:rPr>
              <w:t xml:space="preserve"> followed in the selection or development of the reporting policies and procedures</w:t>
            </w:r>
            <w:r>
              <w:rPr>
                <w:rFonts w:cs="Arial"/>
              </w:rPr>
              <w:t>.</w:t>
            </w:r>
          </w:p>
          <w:p w14:paraId="2A879CFF" w14:textId="77777777" w:rsidR="00847494" w:rsidRPr="00384ADF" w:rsidRDefault="00847494" w:rsidP="00847494">
            <w:pPr>
              <w:pStyle w:val="ListParagraph"/>
              <w:numPr>
                <w:ilvl w:val="0"/>
                <w:numId w:val="47"/>
              </w:numPr>
              <w:spacing w:line="312" w:lineRule="auto"/>
              <w:rPr>
                <w:rFonts w:cs="Arial"/>
              </w:rPr>
            </w:pPr>
            <w:r w:rsidRPr="00384ADF">
              <w:rPr>
                <w:rFonts w:cs="Arial"/>
              </w:rPr>
              <w:t>To what extent the intended users of the reported information</w:t>
            </w:r>
            <w:r>
              <w:rPr>
                <w:rFonts w:cs="Arial"/>
              </w:rPr>
              <w:t xml:space="preserve"> were</w:t>
            </w:r>
            <w:r w:rsidRPr="00384ADF">
              <w:rPr>
                <w:rFonts w:cs="Arial"/>
              </w:rPr>
              <w:t xml:space="preserve"> involved in the selection or development of the reporting policies and procedures</w:t>
            </w:r>
            <w:r>
              <w:rPr>
                <w:rFonts w:cs="Arial"/>
              </w:rPr>
              <w:t>.</w:t>
            </w:r>
          </w:p>
          <w:p w14:paraId="2F9EA0E7" w14:textId="77777777" w:rsidR="00847494" w:rsidRPr="00384ADF" w:rsidRDefault="00847494" w:rsidP="00847494">
            <w:pPr>
              <w:pStyle w:val="ListParagraph"/>
              <w:numPr>
                <w:ilvl w:val="0"/>
                <w:numId w:val="47"/>
              </w:numPr>
              <w:spacing w:line="312" w:lineRule="auto"/>
              <w:rPr>
                <w:rFonts w:cs="Arial"/>
              </w:rPr>
            </w:pPr>
            <w:r>
              <w:rPr>
                <w:rFonts w:cs="Arial"/>
              </w:rPr>
              <w:t>Whether</w:t>
            </w:r>
            <w:r w:rsidRPr="00384ADF">
              <w:rPr>
                <w:rFonts w:cs="Arial"/>
              </w:rPr>
              <w:t xml:space="preserve"> the reporting policies and procedures </w:t>
            </w:r>
            <w:r>
              <w:rPr>
                <w:rFonts w:cs="Arial"/>
              </w:rPr>
              <w:t xml:space="preserve">are </w:t>
            </w:r>
            <w:r w:rsidRPr="00384ADF">
              <w:rPr>
                <w:rFonts w:cs="Arial"/>
              </w:rPr>
              <w:t>made available to the intended users of the report</w:t>
            </w:r>
            <w:r>
              <w:rPr>
                <w:rFonts w:cs="Arial"/>
              </w:rPr>
              <w:t>.</w:t>
            </w:r>
          </w:p>
          <w:p w14:paraId="738F9595" w14:textId="77777777" w:rsidR="00847494" w:rsidRPr="00384ADF" w:rsidRDefault="00847494" w:rsidP="00847494">
            <w:pPr>
              <w:pStyle w:val="ListParagraph"/>
              <w:numPr>
                <w:ilvl w:val="0"/>
                <w:numId w:val="47"/>
              </w:numPr>
              <w:spacing w:line="312" w:lineRule="auto"/>
              <w:rPr>
                <w:rFonts w:cs="Arial"/>
              </w:rPr>
            </w:pPr>
            <w:r>
              <w:rPr>
                <w:rFonts w:cs="Arial"/>
              </w:rPr>
              <w:t>Whether</w:t>
            </w:r>
            <w:r w:rsidRPr="00384ADF">
              <w:rPr>
                <w:rFonts w:cs="Arial"/>
              </w:rPr>
              <w:t xml:space="preserve"> the design of the reporting policies and procedures facilitate ease of implementation; and </w:t>
            </w:r>
            <w:r>
              <w:rPr>
                <w:rFonts w:cs="Arial"/>
              </w:rPr>
              <w:t>whether</w:t>
            </w:r>
            <w:r w:rsidRPr="00384ADF">
              <w:rPr>
                <w:rFonts w:cs="Arial"/>
              </w:rPr>
              <w:t xml:space="preserve"> they have the potential to generate relevant and reliable information</w:t>
            </w:r>
            <w:r>
              <w:rPr>
                <w:rFonts w:cs="Arial"/>
              </w:rPr>
              <w:t>.</w:t>
            </w:r>
          </w:p>
          <w:p w14:paraId="666A62E6" w14:textId="77777777" w:rsidR="00847494" w:rsidRPr="00384ADF" w:rsidRDefault="00847494" w:rsidP="00847494">
            <w:pPr>
              <w:pStyle w:val="ListParagraph"/>
              <w:numPr>
                <w:ilvl w:val="0"/>
                <w:numId w:val="47"/>
              </w:numPr>
              <w:spacing w:line="312" w:lineRule="auto"/>
              <w:rPr>
                <w:rFonts w:cs="Arial"/>
              </w:rPr>
            </w:pPr>
            <w:r>
              <w:rPr>
                <w:rFonts w:cs="Arial"/>
              </w:rPr>
              <w:t>Whether</w:t>
            </w:r>
            <w:r w:rsidRPr="00384ADF">
              <w:rPr>
                <w:rFonts w:cs="Arial"/>
              </w:rPr>
              <w:t xml:space="preserve"> responsibility</w:t>
            </w:r>
            <w:r>
              <w:rPr>
                <w:rFonts w:cs="Arial"/>
              </w:rPr>
              <w:t xml:space="preserve"> has</w:t>
            </w:r>
            <w:r w:rsidRPr="00384ADF">
              <w:rPr>
                <w:rFonts w:cs="Arial"/>
              </w:rPr>
              <w:t xml:space="preserve"> been assigned within the reporting entity to implement the reporting policies and procedures</w:t>
            </w:r>
            <w:r>
              <w:rPr>
                <w:rFonts w:cs="Arial"/>
              </w:rPr>
              <w:t>.</w:t>
            </w:r>
          </w:p>
          <w:p w14:paraId="1A60EF71" w14:textId="77777777" w:rsidR="00847494" w:rsidRPr="00384ADF" w:rsidRDefault="00847494" w:rsidP="00847494">
            <w:pPr>
              <w:pStyle w:val="ListParagraph"/>
              <w:numPr>
                <w:ilvl w:val="0"/>
                <w:numId w:val="47"/>
              </w:numPr>
              <w:spacing w:line="312" w:lineRule="auto"/>
              <w:rPr>
                <w:rFonts w:cs="Arial"/>
              </w:rPr>
            </w:pPr>
            <w:r>
              <w:rPr>
                <w:rFonts w:cs="Arial"/>
              </w:rPr>
              <w:t>Whether there a</w:t>
            </w:r>
            <w:r w:rsidRPr="00384ADF">
              <w:rPr>
                <w:rFonts w:cs="Arial"/>
              </w:rPr>
              <w:t>re any internal controls around the implementation and monitoring of the reporting policies and procedures?</w:t>
            </w:r>
          </w:p>
          <w:p w14:paraId="13CE8C62" w14:textId="77777777" w:rsidR="00847494" w:rsidRPr="00384ADF" w:rsidRDefault="00847494" w:rsidP="00847494">
            <w:pPr>
              <w:keepNext/>
              <w:widowControl/>
              <w:spacing w:line="312" w:lineRule="auto"/>
              <w:rPr>
                <w:rFonts w:cs="Arial"/>
              </w:rPr>
            </w:pPr>
            <w:r w:rsidRPr="00384ADF">
              <w:rPr>
                <w:rFonts w:cs="Arial"/>
              </w:rPr>
              <w:t xml:space="preserve">In the absence of a formal process, as referred to </w:t>
            </w:r>
            <w:r>
              <w:rPr>
                <w:rFonts w:cs="Arial"/>
              </w:rPr>
              <w:t>above</w:t>
            </w:r>
            <w:r w:rsidRPr="00384ADF">
              <w:rPr>
                <w:rFonts w:cs="Arial"/>
              </w:rPr>
              <w:t>, consider:</w:t>
            </w:r>
          </w:p>
          <w:p w14:paraId="75EC4644" w14:textId="18F2713C" w:rsidR="00847494" w:rsidRDefault="00847494" w:rsidP="00847494">
            <w:pPr>
              <w:pStyle w:val="ListParagraph"/>
              <w:numPr>
                <w:ilvl w:val="0"/>
                <w:numId w:val="47"/>
              </w:numPr>
              <w:spacing w:line="312" w:lineRule="auto"/>
              <w:rPr>
                <w:rFonts w:cs="Arial"/>
              </w:rPr>
            </w:pPr>
            <w:r>
              <w:rPr>
                <w:rFonts w:cs="Arial"/>
              </w:rPr>
              <w:t>Whether</w:t>
            </w:r>
            <w:r w:rsidRPr="00384ADF">
              <w:rPr>
                <w:rFonts w:cs="Arial"/>
              </w:rPr>
              <w:t xml:space="preserve"> management explanations satisfy the requirements of effective reporting policies and procedures</w:t>
            </w:r>
            <w:r>
              <w:rPr>
                <w:rFonts w:cs="Arial"/>
              </w:rPr>
              <w:t>.</w:t>
            </w:r>
          </w:p>
          <w:p w14:paraId="27EEC1F2" w14:textId="26B50A42" w:rsidR="00847494" w:rsidRPr="00384ADF" w:rsidRDefault="00847494" w:rsidP="00847494">
            <w:pPr>
              <w:pStyle w:val="ListParagraph"/>
              <w:numPr>
                <w:ilvl w:val="0"/>
                <w:numId w:val="47"/>
              </w:numPr>
              <w:spacing w:line="312" w:lineRule="auto"/>
              <w:rPr>
                <w:rFonts w:cs="Arial"/>
              </w:rPr>
            </w:pPr>
            <w:r>
              <w:rPr>
                <w:rFonts w:cs="Arial"/>
              </w:rPr>
              <w:t>The processed or practices that management have implemented to achieve the requirements of effective reporting policies and procedures.</w:t>
            </w:r>
          </w:p>
          <w:p w14:paraId="2AD91244" w14:textId="57DDA5C2" w:rsidR="00133652" w:rsidRPr="00384ADF" w:rsidRDefault="00133652" w:rsidP="00AD21D6">
            <w:pPr>
              <w:rPr>
                <w:u w:val="single"/>
              </w:rPr>
            </w:pPr>
            <w:r w:rsidRPr="00384ADF">
              <w:rPr>
                <w:u w:val="single"/>
              </w:rPr>
              <w:t>Reporting systems and controls</w:t>
            </w:r>
          </w:p>
          <w:p w14:paraId="0573A95F" w14:textId="4B923EB3" w:rsidR="00133652" w:rsidRPr="00384ADF" w:rsidRDefault="00847494" w:rsidP="00AD21D6">
            <w:pPr>
              <w:spacing w:line="312" w:lineRule="auto"/>
            </w:pPr>
            <w:r>
              <w:t xml:space="preserve">To obtain an understanding of reporting systems and controls </w:t>
            </w:r>
            <w:r>
              <w:rPr>
                <w:bCs/>
              </w:rPr>
              <w:t>it may be appropriate for the practitioner to consider</w:t>
            </w:r>
            <w:r>
              <w:t xml:space="preserve"> whether there a</w:t>
            </w:r>
            <w:r w:rsidRPr="00384ADF">
              <w:t>re reporting systems and controls in place to support the reporting entity’s reporting policies and procedures</w:t>
            </w:r>
            <w:r>
              <w:t>.</w:t>
            </w:r>
          </w:p>
          <w:p w14:paraId="70AB85B8" w14:textId="1C4DD14F" w:rsidR="00133652" w:rsidRPr="00384ADF" w:rsidRDefault="00133652" w:rsidP="00AD21D6">
            <w:pPr>
              <w:spacing w:line="312" w:lineRule="auto"/>
              <w:rPr>
                <w:u w:val="single"/>
              </w:rPr>
            </w:pPr>
            <w:r w:rsidRPr="00384ADF">
              <w:rPr>
                <w:u w:val="single"/>
              </w:rPr>
              <w:t>Governance and oversight</w:t>
            </w:r>
          </w:p>
          <w:p w14:paraId="5D819F53" w14:textId="447C3C28" w:rsidR="00133652" w:rsidRPr="00384ADF" w:rsidRDefault="00847494" w:rsidP="00AD21D6">
            <w:pPr>
              <w:spacing w:line="312" w:lineRule="auto"/>
            </w:pPr>
            <w:r>
              <w:t xml:space="preserve">To obtain an understanding of governance and oversight </w:t>
            </w:r>
            <w:r>
              <w:rPr>
                <w:bCs/>
              </w:rPr>
              <w:t>it may be appropriate for the practitioner to consider</w:t>
            </w:r>
            <w:r>
              <w:t xml:space="preserve"> whether </w:t>
            </w:r>
            <w:r w:rsidRPr="00384ADF">
              <w:t>there</w:t>
            </w:r>
            <w:r>
              <w:t xml:space="preserve"> are</w:t>
            </w:r>
            <w:r w:rsidRPr="00384ADF">
              <w:t xml:space="preserve"> governance and oversight functions in place that support the reporting entity in its approval processes </w:t>
            </w:r>
            <w:r>
              <w:t>that</w:t>
            </w:r>
            <w:r w:rsidRPr="00384ADF">
              <w:t xml:space="preserve"> ensure that the external reports meet the information needs of material stakeholders</w:t>
            </w:r>
            <w:r>
              <w:t>.</w:t>
            </w:r>
          </w:p>
          <w:p w14:paraId="08788A09" w14:textId="6271CD68" w:rsidR="00133652" w:rsidRPr="00384ADF" w:rsidRDefault="00133652" w:rsidP="001E4F3B">
            <w:pPr>
              <w:spacing w:line="312" w:lineRule="auto"/>
              <w:rPr>
                <w:rFonts w:cs="Arial"/>
                <w:b/>
              </w:rPr>
            </w:pPr>
            <w:r w:rsidRPr="00384ADF">
              <w:rPr>
                <w:rFonts w:cs="Arial"/>
                <w:b/>
              </w:rPr>
              <w:t>Appropriateness of underlying subject matter and suitability of criteria</w:t>
            </w:r>
          </w:p>
          <w:p w14:paraId="0E67BD19" w14:textId="4C925841" w:rsidR="00133652" w:rsidRPr="00384ADF" w:rsidRDefault="00133652" w:rsidP="001E4F3B">
            <w:pPr>
              <w:spacing w:line="312" w:lineRule="auto"/>
              <w:rPr>
                <w:rFonts w:cs="Arial"/>
                <w:i/>
              </w:rPr>
            </w:pPr>
            <w:r w:rsidRPr="00384ADF">
              <w:rPr>
                <w:rFonts w:cs="Arial"/>
                <w:i/>
              </w:rPr>
              <w:t>Step 1: Appropriateness of the underlying subject matter</w:t>
            </w:r>
          </w:p>
          <w:p w14:paraId="4A557E74" w14:textId="4CE10EA4" w:rsidR="001A7DF7" w:rsidRDefault="001A7DF7" w:rsidP="001E4F3B">
            <w:pPr>
              <w:spacing w:line="312" w:lineRule="auto"/>
              <w:rPr>
                <w:rFonts w:cs="Arial"/>
              </w:rPr>
            </w:pPr>
            <w:r>
              <w:rPr>
                <w:rFonts w:cs="Arial"/>
              </w:rPr>
              <w:t>The following considerations include questions that are designed to illustrate how the practitioner may determine whether the underlying subject matter is appropriate.</w:t>
            </w:r>
          </w:p>
          <w:p w14:paraId="416A6AB5" w14:textId="3B29B6C5" w:rsidR="00133652" w:rsidRPr="00384ADF" w:rsidRDefault="00133652" w:rsidP="001E4F3B">
            <w:pPr>
              <w:spacing w:line="312" w:lineRule="auto"/>
              <w:rPr>
                <w:rFonts w:cs="Arial"/>
              </w:rPr>
            </w:pPr>
            <w:r w:rsidRPr="00384ADF">
              <w:rPr>
                <w:rFonts w:cs="Arial"/>
              </w:rPr>
              <w:t xml:space="preserve">Given the nature of the subject matter information, is the underlying subject matter: </w:t>
            </w:r>
          </w:p>
          <w:p w14:paraId="757400F1" w14:textId="77777777" w:rsidR="001A7DF7" w:rsidRPr="00384ADF" w:rsidRDefault="001A7DF7" w:rsidP="001A7DF7">
            <w:pPr>
              <w:pStyle w:val="ListParagraph"/>
              <w:numPr>
                <w:ilvl w:val="0"/>
                <w:numId w:val="47"/>
              </w:numPr>
              <w:spacing w:line="312" w:lineRule="auto"/>
              <w:rPr>
                <w:rFonts w:cs="Arial"/>
              </w:rPr>
            </w:pPr>
            <w:r w:rsidRPr="00384ADF">
              <w:rPr>
                <w:rFonts w:cs="Arial"/>
              </w:rPr>
              <w:t>Clearly identifiable?</w:t>
            </w:r>
          </w:p>
          <w:p w14:paraId="7E551A7D" w14:textId="77777777" w:rsidR="001A7DF7" w:rsidRPr="00384ADF" w:rsidRDefault="001A7DF7" w:rsidP="001A7DF7">
            <w:pPr>
              <w:pStyle w:val="ListParagraph"/>
              <w:widowControl/>
              <w:numPr>
                <w:ilvl w:val="0"/>
                <w:numId w:val="48"/>
              </w:numPr>
              <w:autoSpaceDE/>
              <w:autoSpaceDN/>
              <w:adjustRightInd/>
              <w:spacing w:line="312" w:lineRule="auto"/>
              <w:ind w:left="1310" w:hanging="425"/>
              <w:rPr>
                <w:rFonts w:cs="Arial"/>
              </w:rPr>
            </w:pPr>
            <w:r w:rsidRPr="00384ADF">
              <w:rPr>
                <w:rFonts w:cs="Arial"/>
              </w:rPr>
              <w:t>Is it observable as existing or having occurred?</w:t>
            </w:r>
          </w:p>
          <w:p w14:paraId="21E63C73" w14:textId="77777777" w:rsidR="001A7DF7" w:rsidRPr="00384ADF" w:rsidRDefault="001A7DF7" w:rsidP="001A7DF7">
            <w:pPr>
              <w:pStyle w:val="ListParagraph"/>
              <w:widowControl/>
              <w:numPr>
                <w:ilvl w:val="0"/>
                <w:numId w:val="48"/>
              </w:numPr>
              <w:autoSpaceDE/>
              <w:autoSpaceDN/>
              <w:adjustRightInd/>
              <w:spacing w:line="312" w:lineRule="auto"/>
              <w:ind w:left="1310" w:hanging="425"/>
              <w:rPr>
                <w:rFonts w:cs="Arial"/>
              </w:rPr>
            </w:pPr>
            <w:r w:rsidRPr="00384ADF">
              <w:rPr>
                <w:rFonts w:cs="Arial"/>
              </w:rPr>
              <w:t>Is it sufficiently specific?</w:t>
            </w:r>
          </w:p>
          <w:p w14:paraId="18A9D82E" w14:textId="77777777" w:rsidR="001A7DF7" w:rsidRPr="00384ADF" w:rsidRDefault="001A7DF7" w:rsidP="001A7DF7">
            <w:pPr>
              <w:widowControl/>
              <w:autoSpaceDE/>
              <w:autoSpaceDN/>
              <w:adjustRightInd/>
              <w:spacing w:line="312" w:lineRule="auto"/>
              <w:ind w:left="774"/>
              <w:rPr>
                <w:rFonts w:cs="Arial"/>
              </w:rPr>
            </w:pPr>
            <w:r w:rsidRPr="00384ADF">
              <w:rPr>
                <w:rFonts w:cs="Arial"/>
              </w:rPr>
              <w:t>AND:</w:t>
            </w:r>
          </w:p>
          <w:p w14:paraId="46D70C5E" w14:textId="77777777" w:rsidR="001A7DF7" w:rsidRPr="00384ADF" w:rsidRDefault="001A7DF7" w:rsidP="001A7DF7">
            <w:pPr>
              <w:pStyle w:val="ListParagraph"/>
              <w:numPr>
                <w:ilvl w:val="0"/>
                <w:numId w:val="47"/>
              </w:numPr>
              <w:spacing w:line="312" w:lineRule="auto"/>
            </w:pPr>
            <w:r w:rsidRPr="00384ADF">
              <w:rPr>
                <w:rFonts w:cs="Arial"/>
              </w:rPr>
              <w:t>C</w:t>
            </w:r>
            <w:r w:rsidRPr="00384ADF">
              <w:t>apable of consistent measurement or evaluation?</w:t>
            </w:r>
          </w:p>
          <w:p w14:paraId="430239B5" w14:textId="77777777" w:rsidR="001A7DF7" w:rsidRPr="00647652" w:rsidRDefault="001A7DF7" w:rsidP="001A7DF7">
            <w:pPr>
              <w:pStyle w:val="ListParagraph"/>
              <w:widowControl/>
              <w:numPr>
                <w:ilvl w:val="0"/>
                <w:numId w:val="48"/>
              </w:numPr>
              <w:autoSpaceDE/>
              <w:autoSpaceDN/>
              <w:adjustRightInd/>
              <w:spacing w:line="312" w:lineRule="auto"/>
              <w:ind w:left="1310" w:hanging="425"/>
              <w:rPr>
                <w:rFonts w:cs="Arial"/>
              </w:rPr>
            </w:pPr>
            <w:r w:rsidRPr="00384ADF">
              <w:rPr>
                <w:rFonts w:cs="Arial"/>
              </w:rPr>
              <w:t>Is there a methodology or basis to measure or evaluate the underlying subject matter, resulting in subject matter information that may be subjected to procedures to obtain sufficient appropriate evidence to support the assurance conclusion?</w:t>
            </w:r>
          </w:p>
          <w:p w14:paraId="476C9A23" w14:textId="77777777" w:rsidR="001A7DF7" w:rsidRPr="00CB3A75" w:rsidRDefault="001A7DF7" w:rsidP="001A7DF7">
            <w:pPr>
              <w:pStyle w:val="ListParagraph"/>
              <w:widowControl/>
              <w:numPr>
                <w:ilvl w:val="0"/>
                <w:numId w:val="48"/>
              </w:numPr>
              <w:autoSpaceDE/>
              <w:autoSpaceDN/>
              <w:adjustRightInd/>
              <w:spacing w:line="312" w:lineRule="auto"/>
              <w:ind w:left="1310" w:hanging="425"/>
              <w:rPr>
                <w:rFonts w:cs="Arial"/>
              </w:rPr>
            </w:pPr>
            <w:r w:rsidRPr="00CB3A75">
              <w:rPr>
                <w:rFonts w:cs="Arial"/>
              </w:rPr>
              <w:t xml:space="preserve">Is the underlying subject matter observable to an extent that allows consistent measurement or evaluation? </w:t>
            </w:r>
          </w:p>
          <w:p w14:paraId="2C621233" w14:textId="77777777" w:rsidR="001A7DF7" w:rsidRPr="00384ADF" w:rsidRDefault="001A7DF7" w:rsidP="001A7DF7">
            <w:pPr>
              <w:pStyle w:val="ListParagraph"/>
              <w:widowControl/>
              <w:numPr>
                <w:ilvl w:val="0"/>
                <w:numId w:val="48"/>
              </w:numPr>
              <w:autoSpaceDE/>
              <w:autoSpaceDN/>
              <w:adjustRightInd/>
              <w:spacing w:line="312" w:lineRule="auto"/>
              <w:ind w:left="1310" w:hanging="425"/>
            </w:pPr>
            <w:r w:rsidRPr="00CB3A75">
              <w:rPr>
                <w:rFonts w:cs="Arial"/>
              </w:rPr>
              <w:t>Other</w:t>
            </w:r>
            <w:r w:rsidRPr="00384ADF">
              <w:t xml:space="preserve"> considerations may include:</w:t>
            </w:r>
          </w:p>
          <w:p w14:paraId="4960EE11" w14:textId="0722AB00" w:rsidR="001A7DF7" w:rsidRDefault="001A7DF7" w:rsidP="001A7DF7">
            <w:pPr>
              <w:pStyle w:val="ListParagraph"/>
              <w:widowControl/>
              <w:numPr>
                <w:ilvl w:val="0"/>
                <w:numId w:val="10"/>
              </w:numPr>
              <w:autoSpaceDE/>
              <w:autoSpaceDN/>
              <w:adjustRightInd/>
              <w:spacing w:line="312" w:lineRule="auto"/>
            </w:pPr>
            <w:r w:rsidRPr="00384ADF">
              <w:t>Are there uncertainties associated with the underlying subject matter?</w:t>
            </w:r>
          </w:p>
          <w:p w14:paraId="5806DFBD" w14:textId="71A4F8C1" w:rsidR="001A7DF7" w:rsidRPr="00AD21D6" w:rsidRDefault="001A7DF7" w:rsidP="001A7DF7">
            <w:pPr>
              <w:pStyle w:val="ListParagraph"/>
              <w:widowControl/>
              <w:numPr>
                <w:ilvl w:val="0"/>
                <w:numId w:val="10"/>
              </w:numPr>
              <w:autoSpaceDE/>
              <w:autoSpaceDN/>
              <w:adjustRightInd/>
              <w:spacing w:line="312" w:lineRule="auto"/>
            </w:pPr>
            <w:r w:rsidRPr="00AD21D6">
              <w:t>Are there qualitative versus quantitative, objective versus subjective, historical versus prospective aspects to the subject matter information, and do they</w:t>
            </w:r>
            <w:r>
              <w:t xml:space="preserve"> relate to a point in time or cover a period?</w:t>
            </w:r>
          </w:p>
          <w:p w14:paraId="1CC400F0" w14:textId="0C7D1044" w:rsidR="00133652" w:rsidRPr="00384ADF" w:rsidRDefault="00133652" w:rsidP="001E4F3B">
            <w:pPr>
              <w:spacing w:line="312" w:lineRule="auto"/>
              <w:rPr>
                <w:rFonts w:cs="Arial"/>
                <w:i/>
              </w:rPr>
            </w:pPr>
            <w:r w:rsidRPr="00384ADF">
              <w:rPr>
                <w:rFonts w:cs="Arial"/>
                <w:i/>
              </w:rPr>
              <w:t>Step 2: Suitability of criteria</w:t>
            </w:r>
          </w:p>
          <w:p w14:paraId="0A0293B2" w14:textId="6E845832" w:rsidR="00133652" w:rsidRPr="00384ADF" w:rsidRDefault="00133652" w:rsidP="001E4F3B">
            <w:pPr>
              <w:spacing w:line="312" w:lineRule="auto"/>
              <w:rPr>
                <w:rFonts w:cs="Arial"/>
                <w:u w:val="single"/>
              </w:rPr>
            </w:pPr>
            <w:r w:rsidRPr="00384ADF">
              <w:rPr>
                <w:rFonts w:cs="Arial"/>
                <w:u w:val="single"/>
              </w:rPr>
              <w:t>General considerations</w:t>
            </w:r>
          </w:p>
          <w:p w14:paraId="62CA826D" w14:textId="77777777" w:rsidR="00877C94" w:rsidRPr="00CB3A75" w:rsidRDefault="00877C94" w:rsidP="00877C94">
            <w:pPr>
              <w:pStyle w:val="NumList"/>
              <w:numPr>
                <w:ilvl w:val="0"/>
                <w:numId w:val="0"/>
              </w:numPr>
              <w:spacing w:line="312" w:lineRule="auto"/>
              <w:rPr>
                <w:bCs/>
              </w:rPr>
            </w:pPr>
            <w:r w:rsidRPr="00CB3A75">
              <w:rPr>
                <w:bCs/>
              </w:rPr>
              <w:t>To</w:t>
            </w:r>
            <w:r>
              <w:rPr>
                <w:bCs/>
              </w:rPr>
              <w:t xml:space="preserve"> obtain an understanding of the suitability of criteria it may be appropriate for the practitioner to consider: </w:t>
            </w:r>
          </w:p>
          <w:p w14:paraId="0DFA7D12" w14:textId="77777777" w:rsidR="00877C94" w:rsidRPr="00384ADF" w:rsidRDefault="00877C94" w:rsidP="00877C94">
            <w:pPr>
              <w:pStyle w:val="ListParagraph"/>
              <w:numPr>
                <w:ilvl w:val="0"/>
                <w:numId w:val="47"/>
              </w:numPr>
              <w:spacing w:line="312" w:lineRule="auto"/>
              <w:rPr>
                <w:rFonts w:cs="Arial"/>
              </w:rPr>
            </w:pPr>
            <w:r w:rsidRPr="00384ADF">
              <w:rPr>
                <w:rFonts w:cs="Arial"/>
              </w:rPr>
              <w:t>Concerning the suitability of criteria, consider:</w:t>
            </w:r>
          </w:p>
          <w:p w14:paraId="5D9CDD79" w14:textId="77777777" w:rsidR="00877C94" w:rsidRPr="00384ADF" w:rsidRDefault="00877C94" w:rsidP="00877C94">
            <w:pPr>
              <w:pStyle w:val="ListParagraph"/>
              <w:widowControl/>
              <w:numPr>
                <w:ilvl w:val="0"/>
                <w:numId w:val="48"/>
              </w:numPr>
              <w:autoSpaceDE/>
              <w:autoSpaceDN/>
              <w:adjustRightInd/>
              <w:spacing w:line="312" w:lineRule="auto"/>
              <w:ind w:left="1310" w:hanging="425"/>
              <w:rPr>
                <w:rFonts w:cs="Arial"/>
              </w:rPr>
            </w:pPr>
            <w:r>
              <w:rPr>
                <w:rFonts w:cs="Arial"/>
              </w:rPr>
              <w:t>T</w:t>
            </w:r>
            <w:r w:rsidRPr="00384ADF">
              <w:rPr>
                <w:rFonts w:cs="Arial"/>
              </w:rPr>
              <w:t>he intended users who are interested in the underlying subject matter</w:t>
            </w:r>
            <w:r>
              <w:rPr>
                <w:rFonts w:cs="Arial"/>
              </w:rPr>
              <w:t>.</w:t>
            </w:r>
          </w:p>
          <w:p w14:paraId="65E9652A" w14:textId="77777777" w:rsidR="00877C94" w:rsidRPr="00384ADF" w:rsidRDefault="00877C94" w:rsidP="00877C94">
            <w:pPr>
              <w:pStyle w:val="ListParagraph"/>
              <w:widowControl/>
              <w:numPr>
                <w:ilvl w:val="0"/>
                <w:numId w:val="48"/>
              </w:numPr>
              <w:autoSpaceDE/>
              <w:autoSpaceDN/>
              <w:adjustRightInd/>
              <w:spacing w:line="312" w:lineRule="auto"/>
              <w:ind w:left="1310" w:hanging="425"/>
              <w:rPr>
                <w:rFonts w:cs="Arial"/>
              </w:rPr>
            </w:pPr>
            <w:r>
              <w:rPr>
                <w:rFonts w:cs="Arial"/>
              </w:rPr>
              <w:t xml:space="preserve">Whether </w:t>
            </w:r>
            <w:r w:rsidRPr="00384ADF">
              <w:rPr>
                <w:rFonts w:cs="Arial"/>
              </w:rPr>
              <w:t>the criteria</w:t>
            </w:r>
            <w:r>
              <w:rPr>
                <w:rFonts w:cs="Arial"/>
              </w:rPr>
              <w:t xml:space="preserve"> were</w:t>
            </w:r>
            <w:r w:rsidRPr="00384ADF">
              <w:rPr>
                <w:rFonts w:cs="Arial"/>
              </w:rPr>
              <w:t xml:space="preserve"> specifically designed to address:</w:t>
            </w:r>
          </w:p>
          <w:p w14:paraId="45DADFEA" w14:textId="77777777" w:rsidR="00877C94" w:rsidRPr="00647652" w:rsidRDefault="00877C94" w:rsidP="00877C94">
            <w:pPr>
              <w:pStyle w:val="ListParagraph"/>
              <w:widowControl/>
              <w:numPr>
                <w:ilvl w:val="0"/>
                <w:numId w:val="10"/>
              </w:numPr>
              <w:autoSpaceDE/>
              <w:autoSpaceDN/>
              <w:adjustRightInd/>
              <w:spacing w:line="312" w:lineRule="auto"/>
            </w:pPr>
            <w:r w:rsidRPr="00647652">
              <w:t>The information needs of the intended users</w:t>
            </w:r>
            <w:r>
              <w:t>.</w:t>
            </w:r>
          </w:p>
          <w:p w14:paraId="78CCDDCF" w14:textId="77777777" w:rsidR="00877C94" w:rsidRPr="00384ADF" w:rsidRDefault="00877C94" w:rsidP="00877C94">
            <w:pPr>
              <w:pStyle w:val="ListParagraph"/>
              <w:widowControl/>
              <w:numPr>
                <w:ilvl w:val="0"/>
                <w:numId w:val="10"/>
              </w:numPr>
              <w:autoSpaceDE/>
              <w:autoSpaceDN/>
              <w:adjustRightInd/>
              <w:spacing w:line="312" w:lineRule="auto"/>
              <w:rPr>
                <w:rFonts w:cs="Arial"/>
              </w:rPr>
            </w:pPr>
            <w:r w:rsidRPr="00CB3A75">
              <w:t>T</w:t>
            </w:r>
            <w:r w:rsidRPr="00384ADF">
              <w:rPr>
                <w:rFonts w:cs="Arial"/>
              </w:rPr>
              <w:t>he relevant reporting context</w:t>
            </w:r>
            <w:r>
              <w:rPr>
                <w:rFonts w:cs="Arial"/>
              </w:rPr>
              <w:t>.</w:t>
            </w:r>
          </w:p>
          <w:p w14:paraId="66664B2D" w14:textId="77777777" w:rsidR="00877C94" w:rsidRPr="00384ADF" w:rsidRDefault="00877C94" w:rsidP="00877C94">
            <w:pPr>
              <w:pStyle w:val="ListParagraph"/>
              <w:numPr>
                <w:ilvl w:val="0"/>
                <w:numId w:val="47"/>
              </w:numPr>
              <w:spacing w:line="312" w:lineRule="auto"/>
              <w:rPr>
                <w:rFonts w:cs="Arial"/>
              </w:rPr>
            </w:pPr>
            <w:r w:rsidRPr="00384ADF">
              <w:rPr>
                <w:rFonts w:cs="Arial"/>
              </w:rPr>
              <w:t>If the reporting entity uses criteria from an existing framework, consider:</w:t>
            </w:r>
          </w:p>
          <w:p w14:paraId="7D5EFCA6" w14:textId="77777777" w:rsidR="00877C94" w:rsidRPr="00384ADF" w:rsidRDefault="00877C94" w:rsidP="00877C94">
            <w:pPr>
              <w:pStyle w:val="ListParagraph"/>
              <w:widowControl/>
              <w:numPr>
                <w:ilvl w:val="0"/>
                <w:numId w:val="48"/>
              </w:numPr>
              <w:autoSpaceDE/>
              <w:autoSpaceDN/>
              <w:adjustRightInd/>
              <w:spacing w:line="312" w:lineRule="auto"/>
              <w:ind w:left="1310" w:hanging="425"/>
              <w:rPr>
                <w:rFonts w:cs="Arial"/>
              </w:rPr>
            </w:pPr>
            <w:r>
              <w:rPr>
                <w:rFonts w:cs="Arial"/>
              </w:rPr>
              <w:t>Whether</w:t>
            </w:r>
            <w:r w:rsidRPr="00384ADF">
              <w:rPr>
                <w:rFonts w:cs="Arial"/>
              </w:rPr>
              <w:t xml:space="preserve"> the intended users anticipated by the reporting framework </w:t>
            </w:r>
            <w:r>
              <w:rPr>
                <w:rFonts w:cs="Arial"/>
              </w:rPr>
              <w:t xml:space="preserve">are </w:t>
            </w:r>
            <w:r w:rsidRPr="00384ADF">
              <w:rPr>
                <w:rFonts w:cs="Arial"/>
              </w:rPr>
              <w:t>similar to the intended users of the reporting entity’s sustainability information</w:t>
            </w:r>
            <w:r>
              <w:rPr>
                <w:rFonts w:cs="Arial"/>
              </w:rPr>
              <w:t>.</w:t>
            </w:r>
          </w:p>
          <w:p w14:paraId="400F5D72" w14:textId="77777777" w:rsidR="00877C94" w:rsidRPr="00384ADF" w:rsidRDefault="00877C94" w:rsidP="00877C94">
            <w:pPr>
              <w:pStyle w:val="ListParagraph"/>
              <w:widowControl/>
              <w:numPr>
                <w:ilvl w:val="0"/>
                <w:numId w:val="48"/>
              </w:numPr>
              <w:autoSpaceDE/>
              <w:autoSpaceDN/>
              <w:adjustRightInd/>
              <w:spacing w:line="312" w:lineRule="auto"/>
              <w:ind w:left="1310" w:hanging="425"/>
              <w:rPr>
                <w:rFonts w:cs="Arial"/>
              </w:rPr>
            </w:pPr>
            <w:r>
              <w:rPr>
                <w:rFonts w:cs="Arial"/>
              </w:rPr>
              <w:t>Whether</w:t>
            </w:r>
            <w:r w:rsidRPr="00384ADF">
              <w:rPr>
                <w:rFonts w:cs="Arial"/>
              </w:rPr>
              <w:t xml:space="preserve"> the existing reporting framework</w:t>
            </w:r>
            <w:r>
              <w:rPr>
                <w:rFonts w:cs="Arial"/>
              </w:rPr>
              <w:t xml:space="preserve"> will</w:t>
            </w:r>
            <w:r w:rsidRPr="00384ADF">
              <w:rPr>
                <w:rFonts w:cs="Arial"/>
              </w:rPr>
              <w:t xml:space="preserve"> support the reporting entity’s intended</w:t>
            </w:r>
            <w:r w:rsidRPr="00384ADF">
              <w:rPr>
                <w:rFonts w:cs="Arial"/>
                <w:lang w:eastAsia="en-ZA"/>
              </w:rPr>
              <w:t xml:space="preserve"> format of the subject matter information</w:t>
            </w:r>
            <w:r>
              <w:rPr>
                <w:rFonts w:cs="Arial"/>
              </w:rPr>
              <w:t>.</w:t>
            </w:r>
          </w:p>
          <w:p w14:paraId="2880C30B" w14:textId="77777777" w:rsidR="00877C94" w:rsidRPr="00384ADF" w:rsidRDefault="00877C94" w:rsidP="00877C94">
            <w:pPr>
              <w:pStyle w:val="ListParagraph"/>
              <w:numPr>
                <w:ilvl w:val="0"/>
                <w:numId w:val="47"/>
              </w:numPr>
              <w:spacing w:line="312" w:lineRule="auto"/>
              <w:rPr>
                <w:rFonts w:cs="Arial"/>
              </w:rPr>
            </w:pPr>
            <w:r w:rsidRPr="00384ADF">
              <w:rPr>
                <w:rFonts w:cs="Arial"/>
              </w:rPr>
              <w:t>If the reporting entity uses criteria from an internally developed criteria</w:t>
            </w:r>
            <w:r>
              <w:rPr>
                <w:rFonts w:cs="Arial"/>
              </w:rPr>
              <w:t>, consider</w:t>
            </w:r>
            <w:r w:rsidRPr="00384ADF">
              <w:rPr>
                <w:rFonts w:cs="Arial"/>
              </w:rPr>
              <w:t>:</w:t>
            </w:r>
          </w:p>
          <w:p w14:paraId="6EC754A9" w14:textId="77777777" w:rsidR="00877C94" w:rsidRPr="00384ADF" w:rsidRDefault="00877C94" w:rsidP="00877C94">
            <w:pPr>
              <w:pStyle w:val="ListParagraph"/>
              <w:widowControl/>
              <w:numPr>
                <w:ilvl w:val="0"/>
                <w:numId w:val="48"/>
              </w:numPr>
              <w:autoSpaceDE/>
              <w:autoSpaceDN/>
              <w:adjustRightInd/>
              <w:spacing w:line="312" w:lineRule="auto"/>
              <w:ind w:left="1310" w:hanging="425"/>
              <w:rPr>
                <w:rFonts w:cs="Arial"/>
              </w:rPr>
            </w:pPr>
            <w:r>
              <w:rPr>
                <w:rFonts w:cs="Arial"/>
              </w:rPr>
              <w:t>Whether</w:t>
            </w:r>
            <w:r w:rsidRPr="00384ADF">
              <w:rPr>
                <w:rFonts w:cs="Arial"/>
              </w:rPr>
              <w:t xml:space="preserve"> the criteria</w:t>
            </w:r>
            <w:r>
              <w:rPr>
                <w:rFonts w:cs="Arial"/>
              </w:rPr>
              <w:t xml:space="preserve"> are</w:t>
            </w:r>
            <w:r w:rsidRPr="00384ADF">
              <w:rPr>
                <w:rFonts w:cs="Arial"/>
              </w:rPr>
              <w:t xml:space="preserve"> part of a formal reporting policy on measurement or evaluation</w:t>
            </w:r>
            <w:r>
              <w:rPr>
                <w:rFonts w:cs="Arial"/>
              </w:rPr>
              <w:t>.</w:t>
            </w:r>
          </w:p>
          <w:p w14:paraId="7007C529" w14:textId="77777777" w:rsidR="00877C94" w:rsidRPr="00384ADF" w:rsidRDefault="00877C94" w:rsidP="00877C94">
            <w:pPr>
              <w:pStyle w:val="ListParagraph"/>
              <w:widowControl/>
              <w:numPr>
                <w:ilvl w:val="0"/>
                <w:numId w:val="48"/>
              </w:numPr>
              <w:autoSpaceDE/>
              <w:autoSpaceDN/>
              <w:adjustRightInd/>
              <w:spacing w:line="312" w:lineRule="auto"/>
              <w:ind w:left="1310" w:hanging="425"/>
              <w:rPr>
                <w:rFonts w:cs="Arial"/>
              </w:rPr>
            </w:pPr>
            <w:r w:rsidRPr="00384ADF">
              <w:rPr>
                <w:rFonts w:cs="Arial"/>
              </w:rPr>
              <w:t>To what extent the intended users</w:t>
            </w:r>
            <w:r>
              <w:rPr>
                <w:rFonts w:cs="Arial"/>
              </w:rPr>
              <w:t xml:space="preserve"> were</w:t>
            </w:r>
            <w:r w:rsidRPr="00384ADF">
              <w:rPr>
                <w:rFonts w:cs="Arial"/>
              </w:rPr>
              <w:t xml:space="preserve"> involved in the development of the policy/criteria</w:t>
            </w:r>
            <w:r>
              <w:rPr>
                <w:rFonts w:cs="Arial"/>
              </w:rPr>
              <w:t>.</w:t>
            </w:r>
          </w:p>
          <w:p w14:paraId="7523BA24" w14:textId="77777777" w:rsidR="00877C94" w:rsidRPr="00384ADF" w:rsidRDefault="00877C94" w:rsidP="00877C94">
            <w:pPr>
              <w:pStyle w:val="ListParagraph"/>
              <w:widowControl/>
              <w:numPr>
                <w:ilvl w:val="0"/>
                <w:numId w:val="48"/>
              </w:numPr>
              <w:autoSpaceDE/>
              <w:autoSpaceDN/>
              <w:adjustRightInd/>
              <w:spacing w:line="312" w:lineRule="auto"/>
              <w:ind w:left="1310" w:hanging="425"/>
              <w:rPr>
                <w:rFonts w:cs="Arial"/>
              </w:rPr>
            </w:pPr>
            <w:r>
              <w:rPr>
                <w:rFonts w:cs="Arial"/>
              </w:rPr>
              <w:t>Whether</w:t>
            </w:r>
            <w:r w:rsidRPr="00384ADF">
              <w:rPr>
                <w:rFonts w:cs="Arial"/>
              </w:rPr>
              <w:t xml:space="preserve"> an internal transparent due process</w:t>
            </w:r>
            <w:r>
              <w:rPr>
                <w:rFonts w:cs="Arial"/>
              </w:rPr>
              <w:t xml:space="preserve"> was</w:t>
            </w:r>
            <w:r w:rsidRPr="00384ADF">
              <w:rPr>
                <w:rFonts w:cs="Arial"/>
              </w:rPr>
              <w:t xml:space="preserve"> followed to develop the policy</w:t>
            </w:r>
            <w:r>
              <w:rPr>
                <w:rFonts w:cs="Arial"/>
              </w:rPr>
              <w:t>.</w:t>
            </w:r>
          </w:p>
          <w:p w14:paraId="76A8E7D8" w14:textId="692086DF" w:rsidR="00877C94" w:rsidRDefault="00877C94" w:rsidP="00877C94">
            <w:pPr>
              <w:pStyle w:val="ListParagraph"/>
              <w:widowControl/>
              <w:numPr>
                <w:ilvl w:val="0"/>
                <w:numId w:val="48"/>
              </w:numPr>
              <w:autoSpaceDE/>
              <w:autoSpaceDN/>
              <w:adjustRightInd/>
              <w:spacing w:line="312" w:lineRule="auto"/>
              <w:ind w:left="1310" w:hanging="425"/>
              <w:rPr>
                <w:rFonts w:cs="Arial"/>
              </w:rPr>
            </w:pPr>
            <w:r>
              <w:rPr>
                <w:rFonts w:cs="Arial"/>
              </w:rPr>
              <w:t>Whether</w:t>
            </w:r>
            <w:r w:rsidRPr="00384ADF">
              <w:rPr>
                <w:rFonts w:cs="Arial"/>
              </w:rPr>
              <w:t xml:space="preserve"> the measurement or evaluation criteria</w:t>
            </w:r>
            <w:r>
              <w:rPr>
                <w:rFonts w:cs="Arial"/>
              </w:rPr>
              <w:t xml:space="preserve"> are</w:t>
            </w:r>
            <w:r w:rsidRPr="00384ADF">
              <w:rPr>
                <w:rFonts w:cs="Arial"/>
              </w:rPr>
              <w:t xml:space="preserve"> available to the intended user</w:t>
            </w:r>
            <w:r>
              <w:rPr>
                <w:rFonts w:cs="Arial"/>
              </w:rPr>
              <w:t>.</w:t>
            </w:r>
          </w:p>
          <w:p w14:paraId="1FE31000" w14:textId="1348533C" w:rsidR="00877C94" w:rsidRPr="00384ADF" w:rsidRDefault="00877C94" w:rsidP="00877C94">
            <w:pPr>
              <w:pStyle w:val="ListParagraph"/>
              <w:widowControl/>
              <w:numPr>
                <w:ilvl w:val="0"/>
                <w:numId w:val="48"/>
              </w:numPr>
              <w:autoSpaceDE/>
              <w:autoSpaceDN/>
              <w:adjustRightInd/>
              <w:spacing w:line="312" w:lineRule="auto"/>
              <w:ind w:left="1310" w:hanging="425"/>
              <w:rPr>
                <w:rFonts w:cs="Arial"/>
              </w:rPr>
            </w:pPr>
            <w:r>
              <w:rPr>
                <w:rFonts w:cs="Arial"/>
              </w:rPr>
              <w:t>Whether the design of the measurement or evaluation criteria is described sufficiently to produce relevant and reliable subject matter information.</w:t>
            </w:r>
          </w:p>
          <w:p w14:paraId="79E1B645" w14:textId="6577AF5F" w:rsidR="00133652" w:rsidRPr="00384ADF" w:rsidRDefault="00133652" w:rsidP="001E4F3B">
            <w:pPr>
              <w:spacing w:line="312" w:lineRule="auto"/>
              <w:rPr>
                <w:rFonts w:cs="Arial"/>
                <w:u w:val="single"/>
              </w:rPr>
            </w:pPr>
            <w:r w:rsidRPr="00384ADF">
              <w:rPr>
                <w:rFonts w:cs="Arial"/>
                <w:u w:val="single"/>
              </w:rPr>
              <w:t>Measurement or evaluation criteria</w:t>
            </w:r>
          </w:p>
          <w:p w14:paraId="397C1347" w14:textId="77777777" w:rsidR="006C728A" w:rsidRPr="00384ADF" w:rsidRDefault="006C728A" w:rsidP="006C728A">
            <w:pPr>
              <w:pStyle w:val="NumList"/>
              <w:numPr>
                <w:ilvl w:val="0"/>
                <w:numId w:val="0"/>
              </w:numPr>
              <w:spacing w:line="312" w:lineRule="auto"/>
              <w:rPr>
                <w:rFonts w:cs="Arial"/>
                <w:b/>
              </w:rPr>
            </w:pPr>
            <w:r w:rsidRPr="00384ADF">
              <w:t xml:space="preserve">In </w:t>
            </w:r>
            <w:r w:rsidRPr="00384ADF">
              <w:rPr>
                <w:rFonts w:cs="Arial"/>
              </w:rPr>
              <w:t xml:space="preserve">determining whether the sustainability assurance engagement exhibits </w:t>
            </w:r>
            <w:r w:rsidRPr="00384ADF">
              <w:t>suitable measurement or evaluation</w:t>
            </w:r>
            <w:r w:rsidRPr="00384ADF">
              <w:rPr>
                <w:rFonts w:cs="Arial"/>
              </w:rPr>
              <w:t xml:space="preserve"> criteria for the engagement circumstances</w:t>
            </w:r>
            <w:r>
              <w:rPr>
                <w:rFonts w:cs="Arial"/>
              </w:rPr>
              <w:t xml:space="preserve"> it may be appropriate for the practitioner to consider:</w:t>
            </w:r>
          </w:p>
          <w:p w14:paraId="67FC6E25" w14:textId="77777777" w:rsidR="006C728A" w:rsidRPr="00384ADF" w:rsidRDefault="006C728A" w:rsidP="006C728A">
            <w:pPr>
              <w:pStyle w:val="ListParagraph"/>
              <w:numPr>
                <w:ilvl w:val="0"/>
                <w:numId w:val="47"/>
              </w:numPr>
              <w:spacing w:line="312" w:lineRule="auto"/>
              <w:rPr>
                <w:rFonts w:cs="Arial"/>
              </w:rPr>
            </w:pPr>
            <w:r>
              <w:rPr>
                <w:rFonts w:cs="Arial"/>
              </w:rPr>
              <w:t>Whether</w:t>
            </w:r>
            <w:r w:rsidRPr="00384ADF">
              <w:rPr>
                <w:rFonts w:cs="Arial"/>
              </w:rPr>
              <w:t xml:space="preserve"> the criteria</w:t>
            </w:r>
            <w:r>
              <w:rPr>
                <w:rFonts w:cs="Arial"/>
              </w:rPr>
              <w:t xml:space="preserve"> are</w:t>
            </w:r>
            <w:r w:rsidRPr="00384ADF">
              <w:rPr>
                <w:rFonts w:cs="Arial"/>
              </w:rPr>
              <w:t xml:space="preserve"> relevant in relation to the underlying subject matter in providing subject matter information that assists decision-making by the intended users</w:t>
            </w:r>
            <w:r>
              <w:rPr>
                <w:rFonts w:cs="Arial"/>
              </w:rPr>
              <w:t xml:space="preserve"> (relevance).</w:t>
            </w:r>
          </w:p>
          <w:p w14:paraId="5A1A7C19" w14:textId="77777777" w:rsidR="006C728A" w:rsidRPr="00384ADF" w:rsidRDefault="006C728A" w:rsidP="006C728A">
            <w:pPr>
              <w:pStyle w:val="ListParagraph"/>
              <w:numPr>
                <w:ilvl w:val="0"/>
                <w:numId w:val="47"/>
              </w:numPr>
              <w:spacing w:line="312" w:lineRule="auto"/>
              <w:rPr>
                <w:rFonts w:cs="Arial"/>
              </w:rPr>
            </w:pPr>
            <w:r>
              <w:rPr>
                <w:rFonts w:cs="Arial"/>
              </w:rPr>
              <w:t>Whether</w:t>
            </w:r>
            <w:r w:rsidRPr="00384ADF">
              <w:rPr>
                <w:rFonts w:cs="Arial"/>
              </w:rPr>
              <w:t xml:space="preserve"> the criteria</w:t>
            </w:r>
            <w:r>
              <w:rPr>
                <w:rFonts w:cs="Arial"/>
              </w:rPr>
              <w:t xml:space="preserve"> are</w:t>
            </w:r>
            <w:r w:rsidRPr="00384ADF">
              <w:rPr>
                <w:rFonts w:cs="Arial"/>
              </w:rPr>
              <w:t xml:space="preserve"> complete so that all factors that may affect the intended users/practitioners’ conclusions about the underlying subject matter are identified</w:t>
            </w:r>
            <w:r>
              <w:rPr>
                <w:rFonts w:cs="Arial"/>
              </w:rPr>
              <w:t xml:space="preserve"> (completeness).</w:t>
            </w:r>
          </w:p>
          <w:p w14:paraId="4517B22F" w14:textId="77777777" w:rsidR="006C728A" w:rsidRPr="00384ADF" w:rsidRDefault="006C728A" w:rsidP="006C728A">
            <w:pPr>
              <w:pStyle w:val="ListParagraph"/>
              <w:numPr>
                <w:ilvl w:val="0"/>
                <w:numId w:val="47"/>
              </w:numPr>
              <w:spacing w:line="312" w:lineRule="auto"/>
              <w:rPr>
                <w:rFonts w:cs="Arial"/>
              </w:rPr>
            </w:pPr>
            <w:r>
              <w:rPr>
                <w:rFonts w:cs="Arial"/>
                <w:iCs/>
              </w:rPr>
              <w:t xml:space="preserve">Whether </w:t>
            </w:r>
            <w:r w:rsidRPr="00384ADF">
              <w:rPr>
                <w:rFonts w:cs="Arial"/>
              </w:rPr>
              <w:t>the design of the criteria</w:t>
            </w:r>
            <w:r>
              <w:rPr>
                <w:rFonts w:cs="Arial"/>
              </w:rPr>
              <w:t xml:space="preserve"> is</w:t>
            </w:r>
            <w:r w:rsidRPr="00384ADF">
              <w:rPr>
                <w:rFonts w:cs="Arial"/>
              </w:rPr>
              <w:t xml:space="preserve"> highly likely to result in a consistent measurement or evaluation of the underlying subject matter</w:t>
            </w:r>
            <w:r>
              <w:rPr>
                <w:rFonts w:cs="Arial"/>
              </w:rPr>
              <w:t xml:space="preserve"> (reliability).</w:t>
            </w:r>
          </w:p>
          <w:p w14:paraId="391B8C84" w14:textId="77777777" w:rsidR="006C728A" w:rsidRPr="00384ADF" w:rsidRDefault="006C728A" w:rsidP="006C728A">
            <w:pPr>
              <w:pStyle w:val="ListParagraph"/>
              <w:numPr>
                <w:ilvl w:val="0"/>
                <w:numId w:val="47"/>
              </w:numPr>
              <w:spacing w:line="312" w:lineRule="auto"/>
              <w:rPr>
                <w:rFonts w:cs="Arial"/>
              </w:rPr>
            </w:pPr>
            <w:r>
              <w:rPr>
                <w:rFonts w:cs="Arial"/>
              </w:rPr>
              <w:t>Whether</w:t>
            </w:r>
            <w:r w:rsidRPr="00384ADF">
              <w:rPr>
                <w:rFonts w:cs="Arial"/>
              </w:rPr>
              <w:t xml:space="preserve"> the risk of management bias</w:t>
            </w:r>
            <w:r>
              <w:rPr>
                <w:rFonts w:cs="Arial"/>
              </w:rPr>
              <w:t xml:space="preserve"> is</w:t>
            </w:r>
            <w:r w:rsidRPr="00384ADF">
              <w:rPr>
                <w:rFonts w:cs="Arial"/>
              </w:rPr>
              <w:t xml:space="preserve"> known and can be managed</w:t>
            </w:r>
            <w:r>
              <w:rPr>
                <w:rFonts w:cs="Arial"/>
              </w:rPr>
              <w:t xml:space="preserve"> (neutrality).</w:t>
            </w:r>
          </w:p>
          <w:p w14:paraId="76B6EDCF" w14:textId="0BEFA63D" w:rsidR="00133652" w:rsidRPr="00384ADF" w:rsidRDefault="006C728A" w:rsidP="00AD21D6">
            <w:pPr>
              <w:pStyle w:val="ListParagraph"/>
              <w:numPr>
                <w:ilvl w:val="0"/>
                <w:numId w:val="47"/>
              </w:numPr>
              <w:spacing w:line="312" w:lineRule="auto"/>
            </w:pPr>
            <w:r>
              <w:rPr>
                <w:rFonts w:cs="Arial"/>
              </w:rPr>
              <w:t>Whether</w:t>
            </w:r>
            <w:r w:rsidRPr="00384ADF">
              <w:rPr>
                <w:rFonts w:cs="Arial"/>
              </w:rPr>
              <w:t xml:space="preserve"> the criteria</w:t>
            </w:r>
            <w:r>
              <w:rPr>
                <w:rFonts w:cs="Arial"/>
              </w:rPr>
              <w:t xml:space="preserve"> are</w:t>
            </w:r>
            <w:r w:rsidRPr="00384ADF">
              <w:rPr>
                <w:rFonts w:cs="Arial"/>
              </w:rPr>
              <w:t xml:space="preserve"> communicated clearly and not subject to significantly different interpretations by the intended users and </w:t>
            </w:r>
            <w:r>
              <w:rPr>
                <w:rFonts w:cs="Arial"/>
              </w:rPr>
              <w:t>whether</w:t>
            </w:r>
            <w:r w:rsidRPr="00384ADF">
              <w:rPr>
                <w:rFonts w:cs="Arial"/>
              </w:rPr>
              <w:t xml:space="preserve"> the criteria result in subject matter information that </w:t>
            </w:r>
            <w:r>
              <w:rPr>
                <w:rFonts w:cs="Arial"/>
              </w:rPr>
              <w:t>is</w:t>
            </w:r>
            <w:r w:rsidRPr="00384ADF">
              <w:rPr>
                <w:rFonts w:cs="Arial"/>
              </w:rPr>
              <w:t xml:space="preserve"> understood by the intended users</w:t>
            </w:r>
            <w:r>
              <w:rPr>
                <w:rFonts w:cs="Arial"/>
              </w:rPr>
              <w:t xml:space="preserve"> (understandability).</w:t>
            </w:r>
          </w:p>
        </w:tc>
      </w:tr>
    </w:tbl>
    <w:p w14:paraId="42EB8BD7" w14:textId="77777777" w:rsidR="000B4B84" w:rsidRPr="00384ADF" w:rsidRDefault="000B4B84" w:rsidP="00A73B3A">
      <w:pPr>
        <w:sectPr w:rsidR="000B4B84" w:rsidRPr="00384ADF" w:rsidSect="0086462D">
          <w:footerReference w:type="default" r:id="rId18"/>
          <w:pgSz w:w="11906" w:h="16838"/>
          <w:pgMar w:top="709" w:right="1440" w:bottom="851" w:left="1440" w:header="708" w:footer="708" w:gutter="0"/>
          <w:cols w:space="720"/>
          <w:docGrid w:linePitch="360"/>
        </w:sectPr>
      </w:pPr>
    </w:p>
    <w:p w14:paraId="680DDD3E" w14:textId="3EFA33AA" w:rsidR="00CD29F8" w:rsidRPr="00384ADF" w:rsidRDefault="00CD29F8" w:rsidP="00CD4843">
      <w:pPr>
        <w:pStyle w:val="Heading1"/>
        <w:rPr>
          <w:rFonts w:hint="eastAsia"/>
        </w:rPr>
      </w:pPr>
      <w:bookmarkStart w:id="39" w:name="_Toc43704069"/>
      <w:r w:rsidRPr="00384ADF">
        <w:t xml:space="preserve">APPENDIX </w:t>
      </w:r>
      <w:r w:rsidR="00A73B3A" w:rsidRPr="00384ADF">
        <w:t>B</w:t>
      </w:r>
      <w:r w:rsidR="00436A04" w:rsidRPr="00384ADF">
        <w:t>: Flowchart</w:t>
      </w:r>
      <w:bookmarkEnd w:id="39"/>
    </w:p>
    <w:tbl>
      <w:tblPr>
        <w:tblStyle w:val="TableGrid"/>
        <w:tblW w:w="0" w:type="auto"/>
        <w:tblLook w:val="04A0" w:firstRow="1" w:lastRow="0" w:firstColumn="1" w:lastColumn="0" w:noHBand="0" w:noVBand="1"/>
      </w:tblPr>
      <w:tblGrid>
        <w:gridCol w:w="9016"/>
      </w:tblGrid>
      <w:tr w:rsidR="00244AF8" w:rsidRPr="00384ADF" w14:paraId="2134E3FF" w14:textId="77777777" w:rsidTr="00244AF8">
        <w:tc>
          <w:tcPr>
            <w:tcW w:w="9016" w:type="dxa"/>
          </w:tcPr>
          <w:p w14:paraId="19F9DA35" w14:textId="1335394C" w:rsidR="00244AF8" w:rsidRPr="00384ADF" w:rsidRDefault="00244AF8" w:rsidP="007C715D">
            <w:pPr>
              <w:spacing w:line="312" w:lineRule="auto"/>
              <w:rPr>
                <w:sz w:val="20"/>
                <w:szCs w:val="20"/>
              </w:rPr>
            </w:pPr>
            <w:r w:rsidRPr="00384ADF">
              <w:rPr>
                <w:sz w:val="20"/>
                <w:szCs w:val="20"/>
              </w:rPr>
              <w:t xml:space="preserve">The process to establish whether the preconditions for an assurance engagement are present is not linear. </w:t>
            </w:r>
            <w:r w:rsidRPr="00384ADF">
              <w:rPr>
                <w:rFonts w:cs="Arial"/>
                <w:sz w:val="20"/>
                <w:szCs w:val="20"/>
              </w:rPr>
              <w:t>Determining whether the sustainability assurance engagement exhibits a rational purpose,</w:t>
            </w:r>
            <w:r w:rsidR="00B912BC" w:rsidRPr="00384ADF">
              <w:rPr>
                <w:rFonts w:cs="Arial"/>
                <w:sz w:val="20"/>
                <w:szCs w:val="20"/>
              </w:rPr>
              <w:t xml:space="preserve"> that</w:t>
            </w:r>
            <w:r w:rsidRPr="00384ADF">
              <w:rPr>
                <w:rFonts w:cs="Arial"/>
                <w:sz w:val="20"/>
                <w:szCs w:val="20"/>
              </w:rPr>
              <w:t xml:space="preserve"> the underlying subject matter is appropriate and the criteria that the practitioner expects to be applied in the preparation of the subject matter information are suitable for the engagement circumstances</w:t>
            </w:r>
            <w:r w:rsidRPr="00384ADF">
              <w:rPr>
                <w:sz w:val="20"/>
                <w:szCs w:val="20"/>
              </w:rPr>
              <w:t xml:space="preserve"> are considered individually and collectively.</w:t>
            </w:r>
            <w:r w:rsidR="003C5CBD">
              <w:rPr>
                <w:sz w:val="20"/>
                <w:szCs w:val="20"/>
              </w:rPr>
              <w:t xml:space="preserve"> The interrelatedness of the preconditions is acknowledged, since a conclusion relating to one precondition is unlikely to be reached in isolation of the other information.</w:t>
            </w:r>
          </w:p>
        </w:tc>
      </w:tr>
    </w:tbl>
    <w:p w14:paraId="32160E5C" w14:textId="77777777" w:rsidR="00244AF8" w:rsidRPr="00384ADF" w:rsidRDefault="00244AF8" w:rsidP="00B75111"/>
    <w:p w14:paraId="1F9CD8CD" w14:textId="73C6C8B7" w:rsidR="00B75111" w:rsidRPr="00384ADF" w:rsidRDefault="00B75111" w:rsidP="007C715D"/>
    <w:p w14:paraId="6974E993" w14:textId="77777777" w:rsidR="00320CD5" w:rsidRPr="00384ADF" w:rsidRDefault="00017A00" w:rsidP="00A65CFB">
      <w:pPr>
        <w:sectPr w:rsidR="00320CD5" w:rsidRPr="00384ADF" w:rsidSect="0086462D">
          <w:pgSz w:w="11906" w:h="16838"/>
          <w:pgMar w:top="709" w:right="1440" w:bottom="851" w:left="1440" w:header="708" w:footer="708" w:gutter="0"/>
          <w:cols w:space="720"/>
          <w:docGrid w:linePitch="360"/>
        </w:sectPr>
      </w:pPr>
      <w:r w:rsidRPr="00384ADF">
        <w:t xml:space="preserve"> </w:t>
      </w:r>
    </w:p>
    <w:p w14:paraId="5631AF9F" w14:textId="03C9A2BD" w:rsidR="00817EF1" w:rsidRPr="00384ADF" w:rsidRDefault="00817EF1" w:rsidP="00A65CFB">
      <w:pPr>
        <w:rPr>
          <w:lang w:eastAsia="en-US"/>
        </w:rPr>
      </w:pPr>
    </w:p>
    <w:p w14:paraId="4762C588" w14:textId="633ACFA6" w:rsidR="00FC3927" w:rsidRPr="00384ADF" w:rsidRDefault="00D72187" w:rsidP="00A73B3A">
      <w:pPr>
        <w:spacing w:line="312" w:lineRule="auto"/>
        <w:rPr>
          <w:b/>
        </w:rPr>
        <w:sectPr w:rsidR="00FC3927" w:rsidRPr="00384ADF" w:rsidSect="0086462D">
          <w:pgSz w:w="11906" w:h="16838"/>
          <w:pgMar w:top="709" w:right="1440" w:bottom="851" w:left="1440" w:header="708" w:footer="708" w:gutter="0"/>
          <w:cols w:space="720"/>
          <w:docGrid w:linePitch="360"/>
        </w:sectPr>
      </w:pPr>
      <w:r>
        <w:rPr>
          <w:noProof/>
          <w:lang w:val="en-US" w:eastAsia="en-US"/>
        </w:rPr>
        <w:drawing>
          <wp:inline distT="0" distB="0" distL="0" distR="0" wp14:anchorId="5DA7EC1C" wp14:editId="551EBCC1">
            <wp:extent cx="5730240" cy="7863840"/>
            <wp:effectExtent l="19050" t="19050" r="2286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0723" cy="7878226"/>
                    </a:xfrm>
                    <a:prstGeom prst="rect">
                      <a:avLst/>
                    </a:prstGeom>
                    <a:noFill/>
                    <a:ln w="19050">
                      <a:solidFill>
                        <a:schemeClr val="tx1"/>
                      </a:solidFill>
                    </a:ln>
                  </pic:spPr>
                </pic:pic>
              </a:graphicData>
            </a:graphic>
          </wp:inline>
        </w:drawing>
      </w:r>
    </w:p>
    <w:p w14:paraId="19C590A2" w14:textId="16847E1B" w:rsidR="00A73B3A" w:rsidRPr="00384ADF" w:rsidRDefault="00210B8D" w:rsidP="00CD4843">
      <w:pPr>
        <w:pStyle w:val="Heading1"/>
        <w:rPr>
          <w:rFonts w:hint="eastAsia"/>
        </w:rPr>
      </w:pPr>
      <w:bookmarkStart w:id="40" w:name="_Toc43704070"/>
      <w:r w:rsidRPr="00384ADF">
        <w:t xml:space="preserve">APPENDIX </w:t>
      </w:r>
      <w:r w:rsidR="00EA57D7" w:rsidRPr="00384ADF">
        <w:t>C</w:t>
      </w:r>
      <w:r w:rsidR="00436A04" w:rsidRPr="00384ADF">
        <w:t xml:space="preserve">: Practical </w:t>
      </w:r>
      <w:r w:rsidR="000A1499" w:rsidRPr="00384ADF">
        <w:rPr>
          <w:rFonts w:hint="eastAsia"/>
        </w:rPr>
        <w:t>Example</w:t>
      </w:r>
      <w:bookmarkEnd w:id="40"/>
    </w:p>
    <w:p w14:paraId="449574EA" w14:textId="729B6FA2" w:rsidR="00210B8D" w:rsidRPr="00384ADF" w:rsidRDefault="00B90ACB" w:rsidP="00D02823">
      <w:pPr>
        <w:spacing w:line="312" w:lineRule="auto"/>
        <w:rPr>
          <w:b/>
        </w:rPr>
      </w:pPr>
      <w:r w:rsidRPr="00384ADF">
        <w:rPr>
          <w:b/>
        </w:rPr>
        <w:t>Underlying subject matter, subject matter information and criteria</w:t>
      </w:r>
    </w:p>
    <w:p w14:paraId="501689F2" w14:textId="470DD8FE" w:rsidR="00B90ACB" w:rsidRPr="00384ADF" w:rsidRDefault="00D02823" w:rsidP="005279E7">
      <w:pPr>
        <w:spacing w:line="312" w:lineRule="auto"/>
        <w:rPr>
          <w:rFonts w:cs="Arial"/>
        </w:rPr>
      </w:pPr>
      <w:r w:rsidRPr="00384ADF">
        <w:rPr>
          <w:rFonts w:cs="Arial"/>
        </w:rPr>
        <w:t xml:space="preserve">An example on customer satisfaction is </w:t>
      </w:r>
      <w:r w:rsidR="006540FF" w:rsidRPr="00384ADF">
        <w:rPr>
          <w:rFonts w:cs="Arial"/>
        </w:rPr>
        <w:t xml:space="preserve">demonstrated </w:t>
      </w:r>
      <w:r w:rsidRPr="00384ADF">
        <w:rPr>
          <w:rFonts w:cs="Arial"/>
        </w:rPr>
        <w:t>throughout this SAAEPS</w:t>
      </w:r>
      <w:r w:rsidR="00A00D26" w:rsidRPr="00384ADF">
        <w:rPr>
          <w:rFonts w:cs="Arial"/>
        </w:rPr>
        <w:t xml:space="preserve"> and included in the first column of the table</w:t>
      </w:r>
      <w:r w:rsidRPr="00384ADF">
        <w:rPr>
          <w:rFonts w:cs="Arial"/>
        </w:rPr>
        <w:t xml:space="preserve">. </w:t>
      </w:r>
      <w:r w:rsidR="00D605C2" w:rsidRPr="00384ADF">
        <w:rPr>
          <w:rFonts w:cs="Arial"/>
        </w:rPr>
        <w:t xml:space="preserve">Two </w:t>
      </w:r>
      <w:r w:rsidR="00436A04" w:rsidRPr="00384ADF">
        <w:rPr>
          <w:rFonts w:cs="Arial"/>
        </w:rPr>
        <w:t>a</w:t>
      </w:r>
      <w:r w:rsidRPr="00384ADF">
        <w:rPr>
          <w:rFonts w:cs="Arial"/>
        </w:rPr>
        <w:t>dditional practical example</w:t>
      </w:r>
      <w:r w:rsidR="00D605C2" w:rsidRPr="00384ADF">
        <w:rPr>
          <w:rFonts w:cs="Arial"/>
        </w:rPr>
        <w:t>s</w:t>
      </w:r>
      <w:r w:rsidRPr="00384ADF">
        <w:rPr>
          <w:rFonts w:cs="Arial"/>
        </w:rPr>
        <w:t xml:space="preserve"> </w:t>
      </w:r>
      <w:r w:rsidR="00D605C2" w:rsidRPr="00384ADF">
        <w:rPr>
          <w:rFonts w:cs="Arial"/>
        </w:rPr>
        <w:t xml:space="preserve">are </w:t>
      </w:r>
      <w:r w:rsidRPr="00384ADF">
        <w:rPr>
          <w:rFonts w:cs="Arial"/>
        </w:rPr>
        <w:t>provided to illustrate underlying subject matter, subject matter information and criteria.</w:t>
      </w:r>
    </w:p>
    <w:p w14:paraId="2EB59E48" w14:textId="6BA8A682" w:rsidR="00D605C2" w:rsidRPr="00384ADF" w:rsidRDefault="00D605C2" w:rsidP="005279E7">
      <w:pPr>
        <w:spacing w:line="312" w:lineRule="auto"/>
        <w:rPr>
          <w:rFonts w:cs="Arial"/>
        </w:rPr>
      </w:pPr>
      <w:r w:rsidRPr="00384ADF">
        <w:rPr>
          <w:rFonts w:cs="Arial"/>
        </w:rPr>
        <w:t>The purpose of these examples is to highlight the thought-process</w:t>
      </w:r>
      <w:r w:rsidR="001552A4" w:rsidRPr="00384ADF">
        <w:rPr>
          <w:rFonts w:cs="Arial"/>
        </w:rPr>
        <w:t xml:space="preserve"> a practitioner may undertake</w:t>
      </w:r>
      <w:r w:rsidRPr="00384ADF">
        <w:rPr>
          <w:rFonts w:cs="Arial"/>
        </w:rPr>
        <w:t xml:space="preserve"> </w:t>
      </w:r>
      <w:r w:rsidR="001552A4" w:rsidRPr="00384ADF">
        <w:rPr>
          <w:rFonts w:cs="Arial"/>
        </w:rPr>
        <w:t>in determining whether the sustainability assurance engagement exhibits</w:t>
      </w:r>
      <w:r w:rsidR="00B912BC" w:rsidRPr="00384ADF">
        <w:rPr>
          <w:rFonts w:cs="Arial"/>
        </w:rPr>
        <w:t xml:space="preserve"> that</w:t>
      </w:r>
      <w:r w:rsidR="001552A4"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000B7A78" w:rsidRPr="00384ADF">
        <w:rPr>
          <w:rFonts w:cs="Arial"/>
        </w:rPr>
        <w:t>.</w:t>
      </w:r>
    </w:p>
    <w:p w14:paraId="0184ADEC" w14:textId="77777777" w:rsidR="00DE596E" w:rsidRPr="00384ADF" w:rsidRDefault="00DE596E" w:rsidP="005279E7">
      <w:pPr>
        <w:spacing w:line="312" w:lineRule="auto"/>
        <w:rPr>
          <w:rFonts w:cs="Arial"/>
        </w:rPr>
        <w:sectPr w:rsidR="00DE596E" w:rsidRPr="00384ADF" w:rsidSect="00AD3206">
          <w:pgSz w:w="16838" w:h="11906" w:orient="landscape"/>
          <w:pgMar w:top="1440" w:right="709" w:bottom="1440" w:left="851" w:header="708" w:footer="708" w:gutter="0"/>
          <w:cols w:space="720"/>
          <w:docGrid w:linePitch="360"/>
        </w:sectPr>
      </w:pPr>
    </w:p>
    <w:tbl>
      <w:tblPr>
        <w:tblStyle w:val="TableGrid"/>
        <w:tblW w:w="15588" w:type="dxa"/>
        <w:tblLayout w:type="fixed"/>
        <w:tblLook w:val="04A0" w:firstRow="1" w:lastRow="0" w:firstColumn="1" w:lastColumn="0" w:noHBand="0" w:noVBand="1"/>
      </w:tblPr>
      <w:tblGrid>
        <w:gridCol w:w="5196"/>
        <w:gridCol w:w="5196"/>
        <w:gridCol w:w="5196"/>
      </w:tblGrid>
      <w:tr w:rsidR="00E23A30" w:rsidRPr="00384ADF" w14:paraId="1E193EC8" w14:textId="45144E50" w:rsidTr="00F14983">
        <w:trPr>
          <w:tblHeader/>
        </w:trPr>
        <w:tc>
          <w:tcPr>
            <w:tcW w:w="5196" w:type="dxa"/>
          </w:tcPr>
          <w:p w14:paraId="569863AC" w14:textId="63BAF984" w:rsidR="00E23A30" w:rsidRPr="00384ADF" w:rsidRDefault="00E23A30" w:rsidP="00453DF7">
            <w:pPr>
              <w:spacing w:line="312" w:lineRule="auto"/>
              <w:rPr>
                <w:rFonts w:cs="Arial"/>
                <w:b/>
              </w:rPr>
            </w:pPr>
            <w:r w:rsidRPr="00384ADF">
              <w:rPr>
                <w:rFonts w:cs="Arial"/>
                <w:b/>
              </w:rPr>
              <w:t>Example of customer satisfaction used in this SAAEPS (Social)</w:t>
            </w:r>
            <w:r w:rsidR="000B34D3" w:rsidRPr="00384ADF">
              <w:rPr>
                <w:rFonts w:cs="Arial"/>
                <w:b/>
              </w:rPr>
              <w:t xml:space="preserve"> – Quantitative </w:t>
            </w:r>
          </w:p>
        </w:tc>
        <w:tc>
          <w:tcPr>
            <w:tcW w:w="5196" w:type="dxa"/>
          </w:tcPr>
          <w:p w14:paraId="2F349F0B" w14:textId="40BAD895" w:rsidR="00E23A30" w:rsidRPr="00384ADF" w:rsidRDefault="00E23A30" w:rsidP="00453DF7">
            <w:pPr>
              <w:spacing w:line="312" w:lineRule="auto"/>
              <w:rPr>
                <w:rFonts w:cs="Arial"/>
                <w:b/>
              </w:rPr>
            </w:pPr>
            <w:r w:rsidRPr="00384ADF">
              <w:rPr>
                <w:rFonts w:cs="Arial"/>
                <w:b/>
              </w:rPr>
              <w:t>Example of Water Performance (Environmental)</w:t>
            </w:r>
            <w:r w:rsidR="005071F7" w:rsidRPr="00384ADF">
              <w:rPr>
                <w:rFonts w:cs="Arial"/>
                <w:b/>
              </w:rPr>
              <w:t xml:space="preserve"> – Quantitative </w:t>
            </w:r>
          </w:p>
        </w:tc>
        <w:tc>
          <w:tcPr>
            <w:tcW w:w="5196" w:type="dxa"/>
          </w:tcPr>
          <w:p w14:paraId="370D379E" w14:textId="72985696" w:rsidR="00E23A30" w:rsidRPr="00384ADF" w:rsidRDefault="000B34D3" w:rsidP="00453DF7">
            <w:pPr>
              <w:spacing w:line="312" w:lineRule="auto"/>
              <w:rPr>
                <w:rFonts w:cs="Arial"/>
                <w:b/>
              </w:rPr>
            </w:pPr>
            <w:r w:rsidRPr="00384ADF">
              <w:rPr>
                <w:rFonts w:cs="Arial"/>
                <w:b/>
              </w:rPr>
              <w:t xml:space="preserve">Example of </w:t>
            </w:r>
            <w:r w:rsidR="0085445D" w:rsidRPr="00384ADF">
              <w:rPr>
                <w:rFonts w:cs="Arial"/>
                <w:b/>
              </w:rPr>
              <w:t>Employee Wellbeing</w:t>
            </w:r>
            <w:r w:rsidRPr="00384ADF">
              <w:rPr>
                <w:rFonts w:cs="Arial"/>
                <w:b/>
              </w:rPr>
              <w:t xml:space="preserve"> (Social) – Qualitative</w:t>
            </w:r>
          </w:p>
        </w:tc>
      </w:tr>
      <w:tr w:rsidR="00E23A30" w:rsidRPr="00384ADF" w14:paraId="4A618F43" w14:textId="111B7919" w:rsidTr="00F14983">
        <w:tc>
          <w:tcPr>
            <w:tcW w:w="5196" w:type="dxa"/>
          </w:tcPr>
          <w:p w14:paraId="498A4D1B" w14:textId="593BF6AA" w:rsidR="00E23A30" w:rsidRPr="00384ADF" w:rsidRDefault="00E23A30" w:rsidP="00453DF7">
            <w:pPr>
              <w:spacing w:line="312" w:lineRule="auto"/>
              <w:rPr>
                <w:rFonts w:cs="Arial"/>
                <w:b/>
              </w:rPr>
            </w:pPr>
            <w:r w:rsidRPr="00384ADF">
              <w:rPr>
                <w:rFonts w:cs="Arial"/>
                <w:b/>
              </w:rPr>
              <w:t xml:space="preserve">Paragraphs </w:t>
            </w:r>
            <w:r w:rsidR="002319DE" w:rsidRPr="00384ADF">
              <w:rPr>
                <w:rFonts w:cs="Arial"/>
                <w:b/>
              </w:rPr>
              <w:t>38</w:t>
            </w:r>
            <w:r w:rsidRPr="00384ADF">
              <w:rPr>
                <w:rFonts w:cs="Arial"/>
                <w:b/>
              </w:rPr>
              <w:t>-</w:t>
            </w:r>
            <w:r w:rsidR="002319DE" w:rsidRPr="00384ADF">
              <w:rPr>
                <w:rFonts w:cs="Arial"/>
                <w:b/>
              </w:rPr>
              <w:t>46</w:t>
            </w:r>
          </w:p>
        </w:tc>
        <w:tc>
          <w:tcPr>
            <w:tcW w:w="5196" w:type="dxa"/>
          </w:tcPr>
          <w:p w14:paraId="59BCE577" w14:textId="77777777" w:rsidR="00E23A30" w:rsidRPr="00384ADF" w:rsidRDefault="00E23A30" w:rsidP="00453DF7">
            <w:pPr>
              <w:spacing w:line="312" w:lineRule="auto"/>
              <w:rPr>
                <w:rFonts w:cs="Arial"/>
              </w:rPr>
            </w:pPr>
          </w:p>
        </w:tc>
        <w:tc>
          <w:tcPr>
            <w:tcW w:w="5196" w:type="dxa"/>
          </w:tcPr>
          <w:p w14:paraId="66017F9C" w14:textId="77777777" w:rsidR="00E23A30" w:rsidRPr="00384ADF" w:rsidRDefault="00E23A30" w:rsidP="00453DF7">
            <w:pPr>
              <w:spacing w:line="312" w:lineRule="auto"/>
              <w:rPr>
                <w:rFonts w:cs="Arial"/>
              </w:rPr>
            </w:pPr>
          </w:p>
        </w:tc>
      </w:tr>
      <w:tr w:rsidR="00E23A30" w:rsidRPr="00384ADF" w14:paraId="58A30E0D" w14:textId="6289611B" w:rsidTr="00F14983">
        <w:tc>
          <w:tcPr>
            <w:tcW w:w="15588" w:type="dxa"/>
            <w:gridSpan w:val="3"/>
          </w:tcPr>
          <w:p w14:paraId="10FDF9A4" w14:textId="6C72CD05" w:rsidR="00234688" w:rsidRPr="00384ADF" w:rsidRDefault="00234688" w:rsidP="00453DF7">
            <w:pPr>
              <w:pStyle w:val="NumList"/>
              <w:numPr>
                <w:ilvl w:val="0"/>
                <w:numId w:val="0"/>
              </w:numPr>
              <w:spacing w:line="312" w:lineRule="auto"/>
              <w:ind w:left="567" w:hanging="567"/>
              <w:rPr>
                <w:b/>
              </w:rPr>
            </w:pPr>
            <w:r w:rsidRPr="00384ADF">
              <w:rPr>
                <w:b/>
              </w:rPr>
              <w:t xml:space="preserve">Paragraph </w:t>
            </w:r>
            <w:r w:rsidR="002319DE" w:rsidRPr="00384ADF">
              <w:rPr>
                <w:b/>
              </w:rPr>
              <w:t>38</w:t>
            </w:r>
          </w:p>
          <w:p w14:paraId="4D193AC1" w14:textId="3B4B2296" w:rsidR="00E23A30" w:rsidRPr="00384ADF" w:rsidRDefault="00E831E8" w:rsidP="00453DF7">
            <w:pPr>
              <w:pStyle w:val="NumList"/>
              <w:numPr>
                <w:ilvl w:val="0"/>
                <w:numId w:val="0"/>
              </w:numPr>
              <w:spacing w:line="312" w:lineRule="auto"/>
              <w:rPr>
                <w:rFonts w:cs="Arial"/>
              </w:rPr>
            </w:pPr>
            <w:r w:rsidRPr="00384ADF">
              <w:t xml:space="preserve">In the context of sustainability reporting, the process of understanding the underlying subject matter may be disaggregated into multiple levels. To facilitate the consistent application of these concepts, a practical example is depicted in </w:t>
            </w:r>
            <w:r w:rsidRPr="00384ADF">
              <w:rPr>
                <w:b/>
              </w:rPr>
              <w:t>Figure 1</w:t>
            </w:r>
            <w:r w:rsidRPr="00384ADF">
              <w:t xml:space="preserve"> and described in paragraphs </w:t>
            </w:r>
            <w:r w:rsidR="002319DE" w:rsidRPr="00384ADF">
              <w:t>39</w:t>
            </w:r>
            <w:r w:rsidRPr="00384ADF">
              <w:t>-</w:t>
            </w:r>
            <w:r w:rsidR="002319DE" w:rsidRPr="00384ADF">
              <w:t>46</w:t>
            </w:r>
            <w:r w:rsidRPr="00384ADF">
              <w:t>. A three-level scenario is utilised to illustrate this.</w:t>
            </w:r>
          </w:p>
          <w:p w14:paraId="4B5F360E" w14:textId="794A6183" w:rsidR="00E23A30" w:rsidRPr="00384ADF" w:rsidDel="00F618B0" w:rsidRDefault="0068119C" w:rsidP="00DE596E">
            <w:pPr>
              <w:pStyle w:val="NumList"/>
              <w:numPr>
                <w:ilvl w:val="0"/>
                <w:numId w:val="0"/>
              </w:numPr>
              <w:spacing w:line="312" w:lineRule="auto"/>
              <w:ind w:left="567" w:hanging="567"/>
              <w:rPr>
                <w:rFonts w:cs="Arial"/>
              </w:rPr>
            </w:pPr>
            <w:r w:rsidRPr="00384ADF">
              <w:rPr>
                <w:noProof/>
                <w:lang w:val="en-US" w:eastAsia="en-US"/>
              </w:rPr>
              <w:drawing>
                <wp:inline distT="0" distB="0" distL="0" distR="0" wp14:anchorId="0FCF78CC" wp14:editId="133FAEC7">
                  <wp:extent cx="6362700" cy="31400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9152" cy="3192610"/>
                          </a:xfrm>
                          <a:prstGeom prst="rect">
                            <a:avLst/>
                          </a:prstGeom>
                          <a:noFill/>
                          <a:ln>
                            <a:noFill/>
                          </a:ln>
                        </pic:spPr>
                      </pic:pic>
                    </a:graphicData>
                  </a:graphic>
                </wp:inline>
              </w:drawing>
            </w:r>
          </w:p>
        </w:tc>
      </w:tr>
      <w:tr w:rsidR="00E23A30" w:rsidRPr="00384ADF" w14:paraId="0E0DF9B2" w14:textId="1EA98A7C" w:rsidTr="00F14983">
        <w:trPr>
          <w:trHeight w:val="359"/>
        </w:trPr>
        <w:tc>
          <w:tcPr>
            <w:tcW w:w="15588" w:type="dxa"/>
            <w:gridSpan w:val="3"/>
          </w:tcPr>
          <w:p w14:paraId="0FBDB3AC" w14:textId="4C7ABA65" w:rsidR="00234688" w:rsidRPr="00384ADF" w:rsidRDefault="00234688" w:rsidP="00453DF7">
            <w:pPr>
              <w:pStyle w:val="NumList"/>
              <w:numPr>
                <w:ilvl w:val="0"/>
                <w:numId w:val="0"/>
              </w:numPr>
              <w:spacing w:line="312" w:lineRule="auto"/>
              <w:ind w:left="567" w:hanging="567"/>
              <w:rPr>
                <w:b/>
              </w:rPr>
            </w:pPr>
            <w:r w:rsidRPr="00384ADF">
              <w:rPr>
                <w:b/>
              </w:rPr>
              <w:t xml:space="preserve">Paragraph </w:t>
            </w:r>
            <w:r w:rsidR="002319DE" w:rsidRPr="00384ADF">
              <w:rPr>
                <w:b/>
              </w:rPr>
              <w:t>39</w:t>
            </w:r>
          </w:p>
          <w:p w14:paraId="693270E4" w14:textId="52B9F5B2" w:rsidR="00E23A30" w:rsidRPr="00384ADF" w:rsidRDefault="00234688" w:rsidP="00453DF7">
            <w:pPr>
              <w:pStyle w:val="NumList"/>
              <w:numPr>
                <w:ilvl w:val="0"/>
                <w:numId w:val="0"/>
              </w:numPr>
              <w:spacing w:line="312" w:lineRule="auto"/>
              <w:ind w:left="567" w:hanging="567"/>
            </w:pPr>
            <w:r w:rsidRPr="00384ADF">
              <w:t>Level 1: In the context of a sustainability report, the underlying subject matter is considered to be sustainability performance.</w:t>
            </w:r>
            <w:r w:rsidR="00E23A30" w:rsidRPr="00384ADF">
              <w:t xml:space="preserve"> </w:t>
            </w:r>
          </w:p>
        </w:tc>
      </w:tr>
      <w:tr w:rsidR="00234688" w:rsidRPr="00384ADF" w14:paraId="0BF58E56" w14:textId="77777777" w:rsidTr="00F14983">
        <w:trPr>
          <w:trHeight w:val="359"/>
        </w:trPr>
        <w:tc>
          <w:tcPr>
            <w:tcW w:w="15588" w:type="dxa"/>
            <w:gridSpan w:val="3"/>
          </w:tcPr>
          <w:p w14:paraId="36F26410" w14:textId="1B4D8FBB" w:rsidR="00234688" w:rsidRPr="00384ADF" w:rsidRDefault="00234688" w:rsidP="00453DF7">
            <w:pPr>
              <w:pStyle w:val="NumList"/>
              <w:numPr>
                <w:ilvl w:val="0"/>
                <w:numId w:val="0"/>
              </w:numPr>
              <w:spacing w:line="312" w:lineRule="auto"/>
              <w:ind w:left="567" w:hanging="567"/>
              <w:rPr>
                <w:b/>
              </w:rPr>
            </w:pPr>
            <w:r w:rsidRPr="00384ADF">
              <w:rPr>
                <w:rFonts w:cs="Arial"/>
                <w:b/>
              </w:rPr>
              <w:t xml:space="preserve">Paragraph </w:t>
            </w:r>
            <w:r w:rsidR="002319DE" w:rsidRPr="00384ADF">
              <w:rPr>
                <w:rFonts w:cs="Arial"/>
                <w:b/>
              </w:rPr>
              <w:t>40</w:t>
            </w:r>
          </w:p>
        </w:tc>
      </w:tr>
      <w:tr w:rsidR="000B34D3" w:rsidRPr="00384ADF" w14:paraId="6AE3E57B" w14:textId="4F21BD5C" w:rsidTr="000160AA">
        <w:trPr>
          <w:trHeight w:val="368"/>
        </w:trPr>
        <w:tc>
          <w:tcPr>
            <w:tcW w:w="5196" w:type="dxa"/>
          </w:tcPr>
          <w:p w14:paraId="6CF7DE1E" w14:textId="098FC703" w:rsidR="000B34D3" w:rsidRPr="00384ADF" w:rsidRDefault="00234688" w:rsidP="000160AA">
            <w:pPr>
              <w:pStyle w:val="NumList"/>
              <w:numPr>
                <w:ilvl w:val="0"/>
                <w:numId w:val="0"/>
              </w:numPr>
              <w:spacing w:after="0" w:line="312" w:lineRule="auto"/>
              <w:rPr>
                <w:rFonts w:cs="Arial"/>
              </w:rPr>
            </w:pPr>
            <w:r w:rsidRPr="00384ADF">
              <w:t>Level 2: Sustainability performance may be disaggregated into environmental, social, governance and economic performance, which become the underlying subject matter at this level. In this example, social performance is the underlying subject matter.</w:t>
            </w:r>
          </w:p>
        </w:tc>
        <w:tc>
          <w:tcPr>
            <w:tcW w:w="5196" w:type="dxa"/>
          </w:tcPr>
          <w:p w14:paraId="7C112180" w14:textId="6BD27BE7" w:rsidR="000B34D3" w:rsidRPr="00384ADF" w:rsidRDefault="000B34D3" w:rsidP="00453DF7">
            <w:pPr>
              <w:spacing w:line="312" w:lineRule="auto"/>
              <w:rPr>
                <w:rFonts w:cs="Arial"/>
              </w:rPr>
            </w:pPr>
            <w:r w:rsidRPr="00384ADF">
              <w:rPr>
                <w:rFonts w:cs="Arial"/>
              </w:rPr>
              <w:t xml:space="preserve">Level 2: Sustainability performance </w:t>
            </w:r>
            <w:r w:rsidR="005071F7" w:rsidRPr="00384ADF">
              <w:rPr>
                <w:rFonts w:cs="Arial"/>
              </w:rPr>
              <w:t xml:space="preserve">may </w:t>
            </w:r>
            <w:r w:rsidRPr="00384ADF">
              <w:rPr>
                <w:rFonts w:cs="Arial"/>
              </w:rPr>
              <w:t>be disaggregated into environmental, social, governance and economic performance, which become the underlying subject matter at this level. In this example, environmental performance is the underlying subject matter.</w:t>
            </w:r>
          </w:p>
        </w:tc>
        <w:tc>
          <w:tcPr>
            <w:tcW w:w="5196" w:type="dxa"/>
          </w:tcPr>
          <w:p w14:paraId="5C6A46CA" w14:textId="04E84781" w:rsidR="000B34D3" w:rsidRPr="00384ADF" w:rsidRDefault="000B34D3" w:rsidP="00453DF7">
            <w:pPr>
              <w:spacing w:line="312" w:lineRule="auto"/>
              <w:rPr>
                <w:rFonts w:cs="Arial"/>
              </w:rPr>
            </w:pPr>
            <w:r w:rsidRPr="00384ADF">
              <w:rPr>
                <w:rFonts w:cs="Arial"/>
              </w:rPr>
              <w:t xml:space="preserve">Level 2: Sustainability performance </w:t>
            </w:r>
            <w:r w:rsidR="005071F7" w:rsidRPr="00384ADF">
              <w:rPr>
                <w:rFonts w:cs="Arial"/>
              </w:rPr>
              <w:t xml:space="preserve">may </w:t>
            </w:r>
            <w:r w:rsidRPr="00384ADF">
              <w:rPr>
                <w:rFonts w:cs="Arial"/>
              </w:rPr>
              <w:t>be disaggregated into environmental, social, governance and economic performance, which become the underlying subject matter at this level. In this example, social performance is the underlying subject matter.</w:t>
            </w:r>
          </w:p>
        </w:tc>
      </w:tr>
      <w:tr w:rsidR="00234688" w:rsidRPr="00384ADF" w14:paraId="22A37F04" w14:textId="77777777" w:rsidTr="00633E5E">
        <w:tc>
          <w:tcPr>
            <w:tcW w:w="15588" w:type="dxa"/>
            <w:gridSpan w:val="3"/>
          </w:tcPr>
          <w:p w14:paraId="4BFF77CB" w14:textId="5E0BD9A2" w:rsidR="00234688" w:rsidRPr="00384ADF" w:rsidRDefault="00234688" w:rsidP="00453DF7">
            <w:pPr>
              <w:spacing w:line="312" w:lineRule="auto"/>
              <w:rPr>
                <w:rFonts w:cs="Arial"/>
                <w:b/>
              </w:rPr>
            </w:pPr>
            <w:r w:rsidRPr="00384ADF">
              <w:rPr>
                <w:rFonts w:cs="Arial"/>
                <w:b/>
              </w:rPr>
              <w:t xml:space="preserve">Paragraph </w:t>
            </w:r>
            <w:r w:rsidR="002319DE" w:rsidRPr="00384ADF">
              <w:rPr>
                <w:rFonts w:cs="Arial"/>
                <w:b/>
              </w:rPr>
              <w:t>41</w:t>
            </w:r>
          </w:p>
        </w:tc>
      </w:tr>
      <w:tr w:rsidR="000B34D3" w:rsidRPr="00384ADF" w14:paraId="4DD6AE6D" w14:textId="742AA173" w:rsidTr="00F14983">
        <w:tc>
          <w:tcPr>
            <w:tcW w:w="5196" w:type="dxa"/>
          </w:tcPr>
          <w:p w14:paraId="43E78523" w14:textId="6542AE3D" w:rsidR="000B34D3" w:rsidRPr="00384ADF" w:rsidRDefault="00234688" w:rsidP="00453DF7">
            <w:pPr>
              <w:pStyle w:val="NumList"/>
              <w:numPr>
                <w:ilvl w:val="0"/>
                <w:numId w:val="0"/>
              </w:numPr>
              <w:spacing w:line="312" w:lineRule="auto"/>
              <w:rPr>
                <w:rFonts w:cs="Arial"/>
              </w:rPr>
            </w:pPr>
            <w:r w:rsidRPr="00384ADF">
              <w:t>Level 3: In disaggregating social performance further, the underlying subject matter at this level may be, for example, health and safety, human rights or customer satisfaction. Customer satisfaction is used in this example.</w:t>
            </w:r>
          </w:p>
        </w:tc>
        <w:tc>
          <w:tcPr>
            <w:tcW w:w="5196" w:type="dxa"/>
          </w:tcPr>
          <w:p w14:paraId="23EB6775" w14:textId="4A234409" w:rsidR="000B34D3" w:rsidRPr="00384ADF" w:rsidRDefault="000B34D3" w:rsidP="00453DF7">
            <w:pPr>
              <w:spacing w:line="312" w:lineRule="auto"/>
              <w:rPr>
                <w:rFonts w:cs="Arial"/>
              </w:rPr>
            </w:pPr>
            <w:r w:rsidRPr="00384ADF">
              <w:rPr>
                <w:rFonts w:cs="Arial"/>
              </w:rPr>
              <w:t xml:space="preserve">Level 3: In disaggregating environmental performance further, the underlying subject matter at this level </w:t>
            </w:r>
            <w:r w:rsidR="005071F7" w:rsidRPr="00384ADF">
              <w:rPr>
                <w:rFonts w:cs="Arial"/>
              </w:rPr>
              <w:t xml:space="preserve">may </w:t>
            </w:r>
            <w:r w:rsidRPr="00384ADF">
              <w:rPr>
                <w:rFonts w:cs="Arial"/>
              </w:rPr>
              <w:t>be, for example, water performance, carbon footprint or waste generated. Water performance is used in this example.</w:t>
            </w:r>
          </w:p>
        </w:tc>
        <w:tc>
          <w:tcPr>
            <w:tcW w:w="5196" w:type="dxa"/>
          </w:tcPr>
          <w:p w14:paraId="2280B277" w14:textId="67484AFD" w:rsidR="000B34D3" w:rsidRPr="00384ADF" w:rsidRDefault="000B34D3" w:rsidP="00453DF7">
            <w:pPr>
              <w:spacing w:line="312" w:lineRule="auto"/>
              <w:rPr>
                <w:rFonts w:cs="Arial"/>
              </w:rPr>
            </w:pPr>
            <w:r w:rsidRPr="00384ADF">
              <w:rPr>
                <w:rFonts w:cs="Arial"/>
              </w:rPr>
              <w:t xml:space="preserve">Level 3: In disaggregating social performance further, the underlying subject matter at this level </w:t>
            </w:r>
            <w:r w:rsidR="005071F7" w:rsidRPr="00384ADF">
              <w:rPr>
                <w:rFonts w:cs="Arial"/>
              </w:rPr>
              <w:t xml:space="preserve">may </w:t>
            </w:r>
            <w:r w:rsidRPr="00384ADF">
              <w:rPr>
                <w:rFonts w:cs="Arial"/>
              </w:rPr>
              <w:t xml:space="preserve">be, for example, </w:t>
            </w:r>
            <w:r w:rsidR="0085445D" w:rsidRPr="00384ADF">
              <w:t>employee wellbeing</w:t>
            </w:r>
            <w:r w:rsidR="005071F7" w:rsidRPr="00384ADF">
              <w:t xml:space="preserve">, </w:t>
            </w:r>
            <w:r w:rsidR="006E2B89" w:rsidRPr="00384ADF">
              <w:t>non-d</w:t>
            </w:r>
            <w:r w:rsidR="00203412" w:rsidRPr="00384ADF">
              <w:t>iscrimination</w:t>
            </w:r>
            <w:r w:rsidR="005071F7" w:rsidRPr="00384ADF">
              <w:t xml:space="preserve"> or </w:t>
            </w:r>
            <w:r w:rsidR="00203412" w:rsidRPr="00384ADF">
              <w:t>employee ethics</w:t>
            </w:r>
            <w:r w:rsidRPr="00384ADF">
              <w:rPr>
                <w:rFonts w:cs="Arial"/>
              </w:rPr>
              <w:t xml:space="preserve">. </w:t>
            </w:r>
            <w:r w:rsidR="0085445D" w:rsidRPr="00384ADF">
              <w:rPr>
                <w:rFonts w:cs="Arial"/>
              </w:rPr>
              <w:t>Employee wellbeing</w:t>
            </w:r>
            <w:r w:rsidRPr="00384ADF">
              <w:rPr>
                <w:rFonts w:cs="Arial"/>
              </w:rPr>
              <w:t xml:space="preserve"> is used in this example.</w:t>
            </w:r>
          </w:p>
        </w:tc>
      </w:tr>
      <w:tr w:rsidR="000B34D3" w:rsidRPr="00384ADF" w14:paraId="7C14B2C9" w14:textId="3E4B321B" w:rsidTr="00F14983">
        <w:tc>
          <w:tcPr>
            <w:tcW w:w="15588" w:type="dxa"/>
            <w:gridSpan w:val="3"/>
          </w:tcPr>
          <w:p w14:paraId="72594219" w14:textId="07A8F76B" w:rsidR="00234688" w:rsidRPr="00384ADF" w:rsidRDefault="00234688" w:rsidP="00453DF7">
            <w:pPr>
              <w:pStyle w:val="NumList"/>
              <w:numPr>
                <w:ilvl w:val="0"/>
                <w:numId w:val="0"/>
              </w:numPr>
              <w:spacing w:line="312" w:lineRule="auto"/>
              <w:ind w:left="567" w:hanging="567"/>
              <w:rPr>
                <w:rFonts w:cs="Arial"/>
                <w:b/>
              </w:rPr>
            </w:pPr>
            <w:r w:rsidRPr="00384ADF">
              <w:rPr>
                <w:rFonts w:cs="Arial"/>
                <w:b/>
              </w:rPr>
              <w:t xml:space="preserve">Paragraph </w:t>
            </w:r>
            <w:r w:rsidR="002319DE" w:rsidRPr="00384ADF">
              <w:rPr>
                <w:rFonts w:cs="Arial"/>
                <w:b/>
              </w:rPr>
              <w:t>42</w:t>
            </w:r>
          </w:p>
          <w:p w14:paraId="3B7ADC6F" w14:textId="1FC790BA" w:rsidR="00234688" w:rsidRPr="00384ADF" w:rsidRDefault="00234688" w:rsidP="007358D4">
            <w:pPr>
              <w:pStyle w:val="NumList"/>
              <w:numPr>
                <w:ilvl w:val="0"/>
                <w:numId w:val="0"/>
              </w:numPr>
              <w:spacing w:line="312" w:lineRule="auto"/>
              <w:rPr>
                <w:rFonts w:cs="Arial"/>
              </w:rPr>
            </w:pPr>
            <w:r w:rsidRPr="00384ADF">
              <w:rPr>
                <w:rFonts w:eastAsia="Calibri" w:cs="Arial"/>
              </w:rPr>
              <w:t>The definition of criteria contained in ISAE 3000 (Revised) refers to the benchmarks used to measure or evaluate the underlying subject matter. In the context of sustainability reporting, it is recommended to distinguish between criteria for developing reporting content (scoping criteria) and criteria for measurement (measurement or evaluation criteria). The two may be defined as follows:</w:t>
            </w:r>
          </w:p>
          <w:p w14:paraId="736764CA" w14:textId="77777777" w:rsidR="00234688" w:rsidRPr="00384ADF" w:rsidRDefault="00234688" w:rsidP="006834EE">
            <w:pPr>
              <w:pStyle w:val="NumList"/>
              <w:numPr>
                <w:ilvl w:val="1"/>
                <w:numId w:val="2"/>
              </w:numPr>
              <w:tabs>
                <w:tab w:val="clear" w:pos="1134"/>
                <w:tab w:val="num" w:pos="743"/>
              </w:tabs>
              <w:spacing w:line="312" w:lineRule="auto"/>
              <w:ind w:left="743" w:hanging="425"/>
              <w:rPr>
                <w:rFonts w:cs="Arial"/>
              </w:rPr>
            </w:pPr>
            <w:r w:rsidRPr="00384ADF">
              <w:rPr>
                <w:rFonts w:cs="Arial"/>
              </w:rPr>
              <w:t>Scoping criteria: This considers which KPIs and/or disclosures may be used to evaluate performance pertaining to the underlying subject matter at the various levels, and which disclosed KPIs are scoped into the sustainability assurance engagement. This may be considered as part of determining whether the sustainability assurance engagement exhibits a rational purpose.</w:t>
            </w:r>
          </w:p>
          <w:p w14:paraId="65CE1C75" w14:textId="6900C67B" w:rsidR="000B34D3" w:rsidRPr="00384ADF" w:rsidDel="00F618B0" w:rsidRDefault="00234688" w:rsidP="00453DF7">
            <w:pPr>
              <w:pStyle w:val="NumList"/>
              <w:numPr>
                <w:ilvl w:val="1"/>
                <w:numId w:val="2"/>
              </w:numPr>
              <w:tabs>
                <w:tab w:val="clear" w:pos="1134"/>
                <w:tab w:val="num" w:pos="743"/>
              </w:tabs>
              <w:spacing w:line="312" w:lineRule="auto"/>
              <w:ind w:left="743" w:hanging="425"/>
              <w:rPr>
                <w:rFonts w:cs="Arial"/>
              </w:rPr>
            </w:pPr>
            <w:r w:rsidRPr="00384ADF">
              <w:rPr>
                <w:rFonts w:cs="Arial"/>
              </w:rPr>
              <w:t xml:space="preserve">Measurement or evaluation criteria: This considers measurement or evaluation protocols for identified KPIs and/or disclosures, i.e. the criteria used in the particular engagement to measure or evaluate the underlying subject matter. This may be considered as part of </w:t>
            </w:r>
            <w:r w:rsidRPr="00384ADF">
              <w:t xml:space="preserve">determining </w:t>
            </w:r>
            <w:r w:rsidRPr="00384ADF">
              <w:rPr>
                <w:rFonts w:cs="Arial"/>
              </w:rPr>
              <w:t>whether the sustainability assurance engagement exhibits the criteria that the practitioner expects to be applied in the preparation of the subject matter information are suitable for the engagement circumstances.</w:t>
            </w:r>
          </w:p>
        </w:tc>
      </w:tr>
      <w:tr w:rsidR="000B34D3" w:rsidRPr="00384ADF" w14:paraId="429A04C7" w14:textId="2F26AEDD" w:rsidTr="00F14983">
        <w:tc>
          <w:tcPr>
            <w:tcW w:w="15588" w:type="dxa"/>
            <w:gridSpan w:val="3"/>
          </w:tcPr>
          <w:p w14:paraId="5381096D" w14:textId="782875FF" w:rsidR="00E23EA9" w:rsidRPr="00384ADF" w:rsidRDefault="00E23EA9" w:rsidP="00453DF7">
            <w:pPr>
              <w:pStyle w:val="NumList"/>
              <w:numPr>
                <w:ilvl w:val="0"/>
                <w:numId w:val="0"/>
              </w:numPr>
              <w:spacing w:line="312" w:lineRule="auto"/>
              <w:ind w:left="567" w:hanging="567"/>
              <w:rPr>
                <w:rFonts w:eastAsia="Calibri" w:cs="Arial"/>
                <w:b/>
              </w:rPr>
            </w:pPr>
            <w:r w:rsidRPr="00384ADF">
              <w:rPr>
                <w:rFonts w:eastAsia="Calibri" w:cs="Arial"/>
                <w:b/>
              </w:rPr>
              <w:t xml:space="preserve">Paragraph </w:t>
            </w:r>
            <w:r w:rsidR="002319DE" w:rsidRPr="00384ADF">
              <w:rPr>
                <w:rFonts w:eastAsia="Calibri" w:cs="Arial"/>
                <w:b/>
              </w:rPr>
              <w:t>43</w:t>
            </w:r>
          </w:p>
          <w:p w14:paraId="7A0F1F83" w14:textId="4343A555" w:rsidR="000B34D3" w:rsidRPr="00384ADF" w:rsidRDefault="00E23EA9" w:rsidP="00453DF7">
            <w:pPr>
              <w:pStyle w:val="NumList"/>
              <w:numPr>
                <w:ilvl w:val="0"/>
                <w:numId w:val="0"/>
              </w:numPr>
              <w:spacing w:line="312" w:lineRule="auto"/>
              <w:rPr>
                <w:rFonts w:eastAsia="Calibri" w:cs="Arial"/>
              </w:rPr>
            </w:pPr>
            <w:r w:rsidRPr="00384ADF">
              <w:t>Unless specified, when this SAAEPS refers to criteria it refers to both the scoping criteria and measurement or evaluation criteria.</w:t>
            </w:r>
          </w:p>
        </w:tc>
      </w:tr>
      <w:tr w:rsidR="000B34D3" w:rsidRPr="00384ADF" w14:paraId="047D389A" w14:textId="3138CC84" w:rsidTr="00F14983">
        <w:tc>
          <w:tcPr>
            <w:tcW w:w="15588" w:type="dxa"/>
            <w:gridSpan w:val="3"/>
          </w:tcPr>
          <w:p w14:paraId="7019D1B8" w14:textId="152A84B9" w:rsidR="00E23EA9" w:rsidRPr="00384ADF" w:rsidRDefault="00E23EA9" w:rsidP="00453DF7">
            <w:pPr>
              <w:pStyle w:val="NumList"/>
              <w:numPr>
                <w:ilvl w:val="0"/>
                <w:numId w:val="0"/>
              </w:numPr>
              <w:spacing w:line="312" w:lineRule="auto"/>
              <w:ind w:left="567" w:hanging="567"/>
              <w:rPr>
                <w:rFonts w:eastAsia="Calibri" w:cs="Arial"/>
                <w:b/>
              </w:rPr>
            </w:pPr>
            <w:r w:rsidRPr="00384ADF">
              <w:rPr>
                <w:rFonts w:eastAsia="Calibri" w:cs="Arial"/>
                <w:b/>
              </w:rPr>
              <w:t xml:space="preserve">Paragraph </w:t>
            </w:r>
            <w:r w:rsidR="002319DE" w:rsidRPr="00384ADF">
              <w:rPr>
                <w:rFonts w:eastAsia="Calibri" w:cs="Arial"/>
                <w:b/>
              </w:rPr>
              <w:t>44</w:t>
            </w:r>
          </w:p>
          <w:p w14:paraId="6B0ABB64" w14:textId="4D7882EF" w:rsidR="000B34D3" w:rsidRPr="00384ADF" w:rsidRDefault="00126B9F" w:rsidP="00453DF7">
            <w:pPr>
              <w:pStyle w:val="NumList"/>
              <w:numPr>
                <w:ilvl w:val="0"/>
                <w:numId w:val="0"/>
              </w:numPr>
              <w:spacing w:line="312" w:lineRule="auto"/>
              <w:rPr>
                <w:rFonts w:eastAsia="Calibri" w:cs="Arial"/>
              </w:rPr>
            </w:pPr>
            <w:r w:rsidRPr="00384ADF">
              <w:rPr>
                <w:rFonts w:eastAsia="Calibri" w:cs="Arial"/>
              </w:rPr>
              <w:t xml:space="preserve">In the context of providing assurance on sustainability information, the </w:t>
            </w:r>
            <w:r w:rsidR="00773D3D">
              <w:rPr>
                <w:rFonts w:eastAsia="Calibri" w:cs="Arial"/>
              </w:rPr>
              <w:t>selection or</w:t>
            </w:r>
            <w:r w:rsidR="00773D3D" w:rsidRPr="00384ADF">
              <w:rPr>
                <w:rFonts w:eastAsia="Calibri" w:cs="Arial"/>
              </w:rPr>
              <w:t xml:space="preserve"> </w:t>
            </w:r>
            <w:r w:rsidRPr="00384ADF">
              <w:rPr>
                <w:rFonts w:eastAsia="Calibri" w:cs="Arial"/>
              </w:rPr>
              <w:t xml:space="preserve">development of criteria is the responsibility of the reporting entity. The practitioner’s responsibility is to </w:t>
            </w:r>
            <w:r w:rsidR="00E62585" w:rsidRPr="00384ADF">
              <w:rPr>
                <w:rFonts w:cs="Arial"/>
              </w:rPr>
              <w:t xml:space="preserve">determine </w:t>
            </w:r>
            <w:r w:rsidRPr="00384ADF">
              <w:rPr>
                <w:rFonts w:cs="Arial"/>
              </w:rPr>
              <w:t>whether the sustainability assurance engagement exhibits the criteria that the practitioner expects to be applied in the preparation of the subject matter information are suitable for the engagement circumstances</w:t>
            </w:r>
            <w:r w:rsidRPr="00384ADF">
              <w:rPr>
                <w:rFonts w:eastAsia="Calibri" w:cs="Arial"/>
              </w:rPr>
              <w:t>.</w:t>
            </w:r>
          </w:p>
        </w:tc>
      </w:tr>
      <w:tr w:rsidR="00126B9F" w:rsidRPr="00384ADF" w14:paraId="2B042315" w14:textId="77777777" w:rsidTr="00F14983">
        <w:tc>
          <w:tcPr>
            <w:tcW w:w="15588" w:type="dxa"/>
            <w:gridSpan w:val="3"/>
          </w:tcPr>
          <w:p w14:paraId="360CFAF4" w14:textId="79B368B6" w:rsidR="00126B9F" w:rsidRPr="00384ADF" w:rsidRDefault="00126B9F" w:rsidP="00453DF7">
            <w:pPr>
              <w:pStyle w:val="NumList"/>
              <w:numPr>
                <w:ilvl w:val="0"/>
                <w:numId w:val="0"/>
              </w:numPr>
              <w:spacing w:line="312" w:lineRule="auto"/>
              <w:ind w:left="567" w:hanging="567"/>
              <w:rPr>
                <w:rFonts w:eastAsia="Calibri" w:cs="Arial"/>
                <w:b/>
              </w:rPr>
            </w:pPr>
            <w:r w:rsidRPr="00384ADF">
              <w:rPr>
                <w:rFonts w:eastAsia="Calibri" w:cs="Arial"/>
                <w:b/>
              </w:rPr>
              <w:t xml:space="preserve">Paragraph </w:t>
            </w:r>
            <w:r w:rsidR="002319DE" w:rsidRPr="00384ADF">
              <w:rPr>
                <w:rFonts w:eastAsia="Calibri" w:cs="Arial"/>
                <w:b/>
              </w:rPr>
              <w:t>45</w:t>
            </w:r>
          </w:p>
        </w:tc>
      </w:tr>
      <w:tr w:rsidR="000B34D3" w:rsidRPr="00384ADF" w14:paraId="53778198" w14:textId="15C3EA8F" w:rsidTr="00F14983">
        <w:tc>
          <w:tcPr>
            <w:tcW w:w="5196" w:type="dxa"/>
          </w:tcPr>
          <w:p w14:paraId="52F116E1" w14:textId="1A6CC311" w:rsidR="000B34D3" w:rsidRPr="00384ADF" w:rsidRDefault="00126B9F" w:rsidP="00453DF7">
            <w:pPr>
              <w:pStyle w:val="NumList"/>
              <w:numPr>
                <w:ilvl w:val="0"/>
                <w:numId w:val="0"/>
              </w:numPr>
              <w:spacing w:line="312" w:lineRule="auto"/>
              <w:rPr>
                <w:rFonts w:cs="Arial"/>
              </w:rPr>
            </w:pPr>
            <w:r w:rsidRPr="00384ADF">
              <w:rPr>
                <w:rFonts w:eastAsia="Calibri" w:cs="Arial"/>
              </w:rPr>
              <w:t>Using the example of customer satisfaction, the application of scoping criteria may result in the selection by management of the most appropriate KPIs in the context of the reporting entity. An example may be the number of customer complaints resolved to the acknowledged satisfaction of the customer or the number of repeat purchases in the three months following the initial purchase. The measurement or evaluation criteria may provide measurement protocols</w:t>
            </w:r>
            <w:r w:rsidR="00E62585" w:rsidRPr="00384ADF">
              <w:rPr>
                <w:rFonts w:eastAsia="Calibri" w:cs="Arial"/>
              </w:rPr>
              <w:t xml:space="preserve"> that are</w:t>
            </w:r>
            <w:r w:rsidRPr="00384ADF">
              <w:rPr>
                <w:rFonts w:eastAsia="Calibri" w:cs="Arial"/>
              </w:rPr>
              <w:t xml:space="preserve"> relevant to both of these KPIs.</w:t>
            </w:r>
          </w:p>
        </w:tc>
        <w:tc>
          <w:tcPr>
            <w:tcW w:w="5196" w:type="dxa"/>
          </w:tcPr>
          <w:p w14:paraId="060792A7" w14:textId="3A50CB6B" w:rsidR="000B34D3" w:rsidRPr="00384ADF" w:rsidRDefault="000B34D3" w:rsidP="00453DF7">
            <w:pPr>
              <w:spacing w:line="312" w:lineRule="auto"/>
              <w:rPr>
                <w:rFonts w:cs="Arial"/>
              </w:rPr>
            </w:pPr>
            <w:r w:rsidRPr="00384ADF">
              <w:rPr>
                <w:rFonts w:eastAsia="Calibri" w:cs="Arial"/>
              </w:rPr>
              <w:t xml:space="preserve">Using the example of water performance, the application of scoping criteria </w:t>
            </w:r>
            <w:r w:rsidR="005071F7" w:rsidRPr="00384ADF">
              <w:rPr>
                <w:rFonts w:eastAsia="Calibri" w:cs="Arial"/>
              </w:rPr>
              <w:t xml:space="preserve">may </w:t>
            </w:r>
            <w:r w:rsidRPr="00384ADF">
              <w:rPr>
                <w:rFonts w:eastAsia="Calibri" w:cs="Arial"/>
              </w:rPr>
              <w:t xml:space="preserve">result in the selection by management of the most appropriate KPIs in the context of the reporting entity. An example </w:t>
            </w:r>
            <w:r w:rsidR="0085445D" w:rsidRPr="00384ADF">
              <w:rPr>
                <w:rFonts w:eastAsia="Calibri" w:cs="Arial"/>
              </w:rPr>
              <w:t xml:space="preserve">may </w:t>
            </w:r>
            <w:r w:rsidRPr="00384ADF">
              <w:rPr>
                <w:rFonts w:eastAsia="Calibri" w:cs="Arial"/>
              </w:rPr>
              <w:t xml:space="preserve">be the quantity of water recycled or the recycled water reintroduced into production. The measurement or evaluation criteria </w:t>
            </w:r>
            <w:r w:rsidR="0085445D" w:rsidRPr="00384ADF">
              <w:rPr>
                <w:rFonts w:eastAsia="Calibri" w:cs="Arial"/>
              </w:rPr>
              <w:t xml:space="preserve">may </w:t>
            </w:r>
            <w:r w:rsidRPr="00384ADF">
              <w:rPr>
                <w:rFonts w:eastAsia="Calibri" w:cs="Arial"/>
              </w:rPr>
              <w:t>provide measurement protocols</w:t>
            </w:r>
            <w:r w:rsidR="00E62585" w:rsidRPr="00384ADF">
              <w:rPr>
                <w:rFonts w:eastAsia="Calibri" w:cs="Arial"/>
              </w:rPr>
              <w:t xml:space="preserve"> that are</w:t>
            </w:r>
            <w:r w:rsidRPr="00384ADF">
              <w:rPr>
                <w:rFonts w:eastAsia="Calibri" w:cs="Arial"/>
              </w:rPr>
              <w:t xml:space="preserve"> relevant to both of these KPIs.</w:t>
            </w:r>
          </w:p>
        </w:tc>
        <w:tc>
          <w:tcPr>
            <w:tcW w:w="5196" w:type="dxa"/>
          </w:tcPr>
          <w:p w14:paraId="180A33E9" w14:textId="6C9E70FC" w:rsidR="000B34D3" w:rsidRPr="00384ADF" w:rsidRDefault="000B34D3" w:rsidP="00453DF7">
            <w:pPr>
              <w:spacing w:line="312" w:lineRule="auto"/>
              <w:rPr>
                <w:rFonts w:eastAsia="Calibri" w:cs="Arial"/>
              </w:rPr>
            </w:pPr>
            <w:r w:rsidRPr="00384ADF">
              <w:rPr>
                <w:rFonts w:eastAsia="Calibri" w:cs="Arial"/>
              </w:rPr>
              <w:t xml:space="preserve">Using the example of </w:t>
            </w:r>
            <w:r w:rsidR="00203412" w:rsidRPr="00384ADF">
              <w:rPr>
                <w:rFonts w:eastAsia="Calibri" w:cs="Arial"/>
              </w:rPr>
              <w:t>employee wellbeing</w:t>
            </w:r>
            <w:r w:rsidRPr="00384ADF">
              <w:rPr>
                <w:rFonts w:eastAsia="Calibri" w:cs="Arial"/>
              </w:rPr>
              <w:t xml:space="preserve">, the application of scoping criteria </w:t>
            </w:r>
            <w:r w:rsidR="00A03915" w:rsidRPr="00384ADF">
              <w:rPr>
                <w:rFonts w:eastAsia="Calibri" w:cs="Arial"/>
              </w:rPr>
              <w:t xml:space="preserve">may </w:t>
            </w:r>
            <w:r w:rsidRPr="00384ADF">
              <w:rPr>
                <w:rFonts w:eastAsia="Calibri" w:cs="Arial"/>
              </w:rPr>
              <w:t xml:space="preserve">result in the selection by management of the most appropriate KPIs in the context of the reporting entity. An example </w:t>
            </w:r>
            <w:r w:rsidR="0085445D" w:rsidRPr="00384ADF">
              <w:rPr>
                <w:rFonts w:eastAsia="Calibri" w:cs="Arial"/>
              </w:rPr>
              <w:t xml:space="preserve">may </w:t>
            </w:r>
            <w:r w:rsidRPr="00384ADF">
              <w:rPr>
                <w:rFonts w:eastAsia="Calibri" w:cs="Arial"/>
              </w:rPr>
              <w:t xml:space="preserve">be </w:t>
            </w:r>
            <w:r w:rsidR="0085445D" w:rsidRPr="00384ADF">
              <w:rPr>
                <w:rFonts w:eastAsia="Calibri" w:cs="Arial"/>
              </w:rPr>
              <w:t>compliance with the grievance policy of the reporting entity</w:t>
            </w:r>
            <w:r w:rsidRPr="00384ADF">
              <w:rPr>
                <w:rFonts w:eastAsia="Calibri" w:cs="Arial"/>
              </w:rPr>
              <w:t xml:space="preserve">. The measurement or evaluation criteria </w:t>
            </w:r>
            <w:r w:rsidR="0085445D" w:rsidRPr="00384ADF">
              <w:rPr>
                <w:rFonts w:eastAsia="Calibri" w:cs="Arial"/>
              </w:rPr>
              <w:t xml:space="preserve">may </w:t>
            </w:r>
            <w:r w:rsidRPr="00384ADF">
              <w:rPr>
                <w:rFonts w:eastAsia="Calibri" w:cs="Arial"/>
              </w:rPr>
              <w:t>provide measurement protocols</w:t>
            </w:r>
            <w:r w:rsidR="00E62585" w:rsidRPr="00384ADF">
              <w:rPr>
                <w:rFonts w:eastAsia="Calibri" w:cs="Arial"/>
              </w:rPr>
              <w:t xml:space="preserve"> that are</w:t>
            </w:r>
            <w:r w:rsidRPr="00384ADF">
              <w:rPr>
                <w:rFonts w:eastAsia="Calibri" w:cs="Arial"/>
              </w:rPr>
              <w:t xml:space="preserve"> relevant to </w:t>
            </w:r>
            <w:r w:rsidR="0085445D" w:rsidRPr="00384ADF">
              <w:rPr>
                <w:rFonts w:eastAsia="Calibri" w:cs="Arial"/>
              </w:rPr>
              <w:t>this</w:t>
            </w:r>
            <w:r w:rsidRPr="00384ADF">
              <w:rPr>
                <w:rFonts w:eastAsia="Calibri" w:cs="Arial"/>
              </w:rPr>
              <w:t xml:space="preserve"> KPI. </w:t>
            </w:r>
          </w:p>
        </w:tc>
      </w:tr>
      <w:tr w:rsidR="00324057" w:rsidRPr="00384ADF" w14:paraId="72786267" w14:textId="77777777" w:rsidTr="00633E5E">
        <w:tc>
          <w:tcPr>
            <w:tcW w:w="15588" w:type="dxa"/>
            <w:gridSpan w:val="3"/>
          </w:tcPr>
          <w:p w14:paraId="06728581" w14:textId="72C51A15" w:rsidR="00324057" w:rsidRPr="00384ADF" w:rsidRDefault="00324057" w:rsidP="00453DF7">
            <w:pPr>
              <w:spacing w:line="312" w:lineRule="auto"/>
              <w:rPr>
                <w:rFonts w:eastAsia="Calibri" w:cs="Arial"/>
                <w:b/>
              </w:rPr>
            </w:pPr>
            <w:r w:rsidRPr="00384ADF">
              <w:rPr>
                <w:rFonts w:eastAsia="Calibri" w:cs="Arial"/>
                <w:b/>
              </w:rPr>
              <w:t xml:space="preserve">Paragraph </w:t>
            </w:r>
            <w:r w:rsidR="002319DE" w:rsidRPr="00384ADF">
              <w:rPr>
                <w:rFonts w:eastAsia="Calibri" w:cs="Arial"/>
                <w:b/>
              </w:rPr>
              <w:t>46</w:t>
            </w:r>
          </w:p>
        </w:tc>
      </w:tr>
      <w:tr w:rsidR="000B34D3" w:rsidRPr="00384ADF" w14:paraId="2C07B470" w14:textId="5A7641D1" w:rsidTr="00F14983">
        <w:tc>
          <w:tcPr>
            <w:tcW w:w="5196" w:type="dxa"/>
          </w:tcPr>
          <w:p w14:paraId="2AB381F5" w14:textId="0BBE31B7" w:rsidR="000B34D3" w:rsidRPr="00384ADF" w:rsidRDefault="00324057" w:rsidP="00453DF7">
            <w:pPr>
              <w:pStyle w:val="NumList"/>
              <w:numPr>
                <w:ilvl w:val="0"/>
                <w:numId w:val="0"/>
              </w:numPr>
              <w:spacing w:line="312" w:lineRule="auto"/>
              <w:rPr>
                <w:rFonts w:cs="Arial"/>
              </w:rPr>
            </w:pPr>
            <w:r w:rsidRPr="00384ADF">
              <w:rPr>
                <w:rFonts w:eastAsia="Calibri" w:cs="Arial"/>
              </w:rPr>
              <w:t>An example of subject matter information in this case may be the actual number of customer complaints resolved to the acknowledged satisfaction of the customer (e.g. 20 customer complaints resolved), resulting from applying the relevant measurement or evaluation criteria.</w:t>
            </w:r>
          </w:p>
        </w:tc>
        <w:tc>
          <w:tcPr>
            <w:tcW w:w="5196" w:type="dxa"/>
          </w:tcPr>
          <w:p w14:paraId="438D5065" w14:textId="1A85F3B4" w:rsidR="000B34D3" w:rsidRPr="00384ADF" w:rsidRDefault="000B34D3" w:rsidP="00453DF7">
            <w:pPr>
              <w:spacing w:line="312" w:lineRule="auto"/>
              <w:rPr>
                <w:rFonts w:cs="Arial"/>
              </w:rPr>
            </w:pPr>
            <w:r w:rsidRPr="00384ADF">
              <w:rPr>
                <w:rFonts w:eastAsia="Calibri" w:cs="Arial"/>
              </w:rPr>
              <w:t xml:space="preserve">An example of subject matter information in this case </w:t>
            </w:r>
            <w:r w:rsidR="0085445D" w:rsidRPr="00384ADF">
              <w:rPr>
                <w:rFonts w:eastAsia="Calibri" w:cs="Arial"/>
              </w:rPr>
              <w:t xml:space="preserve">may </w:t>
            </w:r>
            <w:r w:rsidRPr="00384ADF">
              <w:rPr>
                <w:rFonts w:eastAsia="Calibri" w:cs="Arial"/>
              </w:rPr>
              <w:t>be the actual quantity of water recycled (e.g. 20,000 Kl of water), resulting from applying the relevant measurement or evaluation criteria.</w:t>
            </w:r>
          </w:p>
        </w:tc>
        <w:tc>
          <w:tcPr>
            <w:tcW w:w="5196" w:type="dxa"/>
          </w:tcPr>
          <w:p w14:paraId="05C7D668" w14:textId="0E867D29" w:rsidR="000B34D3" w:rsidRPr="00384ADF" w:rsidRDefault="000B34D3" w:rsidP="00453DF7">
            <w:pPr>
              <w:spacing w:line="312" w:lineRule="auto"/>
              <w:rPr>
                <w:rFonts w:eastAsia="Calibri" w:cs="Arial"/>
              </w:rPr>
            </w:pPr>
            <w:r w:rsidRPr="00384ADF">
              <w:rPr>
                <w:rFonts w:eastAsia="Calibri" w:cs="Arial"/>
              </w:rPr>
              <w:t xml:space="preserve">An example of subject matter information in this case </w:t>
            </w:r>
            <w:r w:rsidR="0085445D" w:rsidRPr="00384ADF">
              <w:rPr>
                <w:rFonts w:eastAsia="Calibri" w:cs="Arial"/>
              </w:rPr>
              <w:t xml:space="preserve">may </w:t>
            </w:r>
            <w:r w:rsidRPr="00384ADF">
              <w:rPr>
                <w:rFonts w:eastAsia="Calibri" w:cs="Arial"/>
              </w:rPr>
              <w:t xml:space="preserve">be </w:t>
            </w:r>
            <w:r w:rsidR="00203412" w:rsidRPr="00384ADF">
              <w:rPr>
                <w:rFonts w:eastAsia="Calibri" w:cs="Arial"/>
              </w:rPr>
              <w:t xml:space="preserve">a statement made by management of the reporting entity that </w:t>
            </w:r>
            <w:r w:rsidR="00E62585" w:rsidRPr="00384ADF">
              <w:rPr>
                <w:rFonts w:eastAsia="Calibri" w:cs="Arial"/>
              </w:rPr>
              <w:t>it has</w:t>
            </w:r>
            <w:r w:rsidR="00203412" w:rsidRPr="00384ADF">
              <w:rPr>
                <w:rFonts w:eastAsia="Calibri" w:cs="Arial"/>
              </w:rPr>
              <w:t xml:space="preserve"> fully complied with the grievance policy of the reporting entity</w:t>
            </w:r>
            <w:r w:rsidRPr="00384ADF">
              <w:rPr>
                <w:rFonts w:eastAsia="Calibri" w:cs="Arial"/>
              </w:rPr>
              <w:t>, resulting from applying the relevant measurement or evaluation criteria.</w:t>
            </w:r>
          </w:p>
        </w:tc>
      </w:tr>
      <w:tr w:rsidR="00B80D65" w:rsidRPr="00384ADF" w14:paraId="6C3F45A3" w14:textId="5E790156" w:rsidTr="00633E5E">
        <w:tc>
          <w:tcPr>
            <w:tcW w:w="15588" w:type="dxa"/>
            <w:gridSpan w:val="3"/>
          </w:tcPr>
          <w:p w14:paraId="63352ADD" w14:textId="587C462A" w:rsidR="00B80D65" w:rsidRPr="00384ADF" w:rsidRDefault="00B80D65" w:rsidP="00453DF7">
            <w:pPr>
              <w:spacing w:line="312" w:lineRule="auto"/>
              <w:rPr>
                <w:rFonts w:cs="Arial"/>
              </w:rPr>
            </w:pPr>
            <w:r w:rsidRPr="00384ADF">
              <w:rPr>
                <w:rFonts w:cs="Arial"/>
                <w:b/>
              </w:rPr>
              <w:t xml:space="preserve">Paragraph </w:t>
            </w:r>
            <w:r w:rsidR="002319DE" w:rsidRPr="00384ADF">
              <w:rPr>
                <w:rFonts w:cs="Arial"/>
                <w:b/>
              </w:rPr>
              <w:t>85</w:t>
            </w:r>
          </w:p>
        </w:tc>
      </w:tr>
      <w:tr w:rsidR="000B34D3" w:rsidRPr="00384ADF" w14:paraId="0A7C1AF5" w14:textId="09BA4C56" w:rsidTr="00F14983">
        <w:tc>
          <w:tcPr>
            <w:tcW w:w="5196" w:type="dxa"/>
          </w:tcPr>
          <w:p w14:paraId="248954C6" w14:textId="3E227C77" w:rsidR="00B80D65" w:rsidRPr="00384ADF" w:rsidRDefault="00B80D65" w:rsidP="007358D4">
            <w:pPr>
              <w:pStyle w:val="NumList"/>
              <w:numPr>
                <w:ilvl w:val="0"/>
                <w:numId w:val="0"/>
              </w:numPr>
              <w:spacing w:line="312" w:lineRule="auto"/>
            </w:pPr>
            <w:r w:rsidRPr="00384ADF">
              <w:t>To illustrate how</w:t>
            </w:r>
            <w:r w:rsidRPr="00384ADF">
              <w:rPr>
                <w:rFonts w:cs="Arial"/>
              </w:rPr>
              <w:t xml:space="preserve"> the determination of whether the sustainability assurance engagement exhibits</w:t>
            </w:r>
            <w:r w:rsidR="00E62585" w:rsidRPr="00384ADF">
              <w:rPr>
                <w:rFonts w:cs="Arial"/>
              </w:rPr>
              <w:t xml:space="preserve"> that</w:t>
            </w:r>
            <w:r w:rsidRPr="00384ADF">
              <w:rPr>
                <w:rFonts w:cs="Arial"/>
              </w:rPr>
              <w:t xml:space="preserve"> the underlying subject matter is appropriate</w:t>
            </w:r>
            <w:r w:rsidRPr="00384ADF">
              <w:t xml:space="preserve"> may work in practice, the example in ISAE 3000 (Revised)</w:t>
            </w:r>
            <w:r w:rsidRPr="00384ADF">
              <w:rPr>
                <w:rStyle w:val="FootnoteReference"/>
                <w:vertAlign w:val="superscript"/>
              </w:rPr>
              <w:footnoteReference w:id="42"/>
            </w:r>
            <w:r w:rsidRPr="00384ADF">
              <w:t xml:space="preserve"> is used. In the example, the measurement protocols used in relation to the number of customer complaints resolved to the acknowledged satisfaction of the customer </w:t>
            </w:r>
            <w:r w:rsidR="00E62585" w:rsidRPr="00384ADF">
              <w:t xml:space="preserve">are </w:t>
            </w:r>
            <w:r w:rsidRPr="00384ADF">
              <w:t xml:space="preserve">the </w:t>
            </w:r>
            <w:r w:rsidRPr="00384ADF">
              <w:rPr>
                <w:rFonts w:cs="Arial"/>
              </w:rPr>
              <w:t>measurement or evaluation</w:t>
            </w:r>
            <w:r w:rsidRPr="00384ADF">
              <w:t xml:space="preserve"> criteria, and customer satisfaction is the underlying subject matter</w:t>
            </w:r>
            <w:r w:rsidR="00E62585" w:rsidRPr="00384ADF">
              <w:t>.</w:t>
            </w:r>
          </w:p>
          <w:p w14:paraId="4385E7D4" w14:textId="4C0DC76F" w:rsidR="00B80D65" w:rsidRPr="00384ADF" w:rsidRDefault="00B80D65" w:rsidP="006834EE">
            <w:pPr>
              <w:pStyle w:val="NumList"/>
              <w:numPr>
                <w:ilvl w:val="1"/>
                <w:numId w:val="2"/>
              </w:numPr>
              <w:tabs>
                <w:tab w:val="clear" w:pos="1134"/>
                <w:tab w:val="num" w:pos="743"/>
              </w:tabs>
              <w:spacing w:line="312" w:lineRule="auto"/>
              <w:ind w:left="743" w:hanging="425"/>
              <w:rPr>
                <w:rFonts w:cs="Arial"/>
              </w:rPr>
            </w:pPr>
            <w:r w:rsidRPr="00384ADF">
              <w:rPr>
                <w:rFonts w:cs="Arial"/>
                <w:i/>
              </w:rPr>
              <w:t>Identifiable:</w:t>
            </w:r>
            <w:r w:rsidRPr="00384ADF">
              <w:rPr>
                <w:rFonts w:cs="Arial"/>
              </w:rPr>
              <w:t xml:space="preserve"> For customer satisfaction to be identifiable, it should be observable as existing or having occurred. It may be argued that customer satisfaction may take many forms, and its identifiability as an underlying subject matter may not be immediately apparent. However, if the practitioner notes that the underlying subject matter of customer satisfaction, in this case, is interpreted as the number of customer complaints resolved to the acknowledged satisfaction of the customer, this assists with the identifiability question because customer complaints may be identified and observed through the records of customer complaints. However, if the reporting entity requests the practitioner to, for example, assure a statement that reporting entity X has the highest level of customer satisfaction in its industry, the identifiability of the underlying subject matter may be challenging. In this case, the practitioner may not have enough information to identify the actual underlying subject matter. The practitioner may have difficulty in identifying the specific aspect of customer satisfaction that may be said to be better than reporting entity X’s competitors, i.e. one entity’s definition of customer satisfaction compared to that of another entity. Customer satisfaction may be interpreted as the number of repeat purchases in the three months following the initial purchase, customer complaints resolved to the acknowledged satisfaction of the customer or any other measurement. Without the detail of the measurement or evaluation criteria, the identifiability requirement may not be met.</w:t>
            </w:r>
          </w:p>
          <w:p w14:paraId="02A147B9" w14:textId="65AAD92D" w:rsidR="000B34D3" w:rsidRPr="00384ADF" w:rsidRDefault="00B80D65" w:rsidP="00453DF7">
            <w:pPr>
              <w:pStyle w:val="NumList"/>
              <w:numPr>
                <w:ilvl w:val="1"/>
                <w:numId w:val="2"/>
              </w:numPr>
              <w:tabs>
                <w:tab w:val="clear" w:pos="1134"/>
                <w:tab w:val="num" w:pos="743"/>
              </w:tabs>
              <w:spacing w:line="312" w:lineRule="auto"/>
              <w:ind w:left="743" w:hanging="425"/>
              <w:rPr>
                <w:rFonts w:cs="Arial"/>
              </w:rPr>
            </w:pPr>
            <w:r w:rsidRPr="00384ADF">
              <w:rPr>
                <w:rFonts w:cs="Arial"/>
                <w:i/>
              </w:rPr>
              <w:t>Capable of consistent measurement or evaluation:</w:t>
            </w:r>
            <w:r w:rsidRPr="00384ADF">
              <w:rPr>
                <w:rFonts w:cs="Arial"/>
              </w:rPr>
              <w:t xml:space="preserve"> In the case of the number of customer complaints resolved to the acknowledged satisfaction of the customer, it may be said that </w:t>
            </w:r>
            <w:r w:rsidR="00E62585" w:rsidRPr="00384ADF">
              <w:rPr>
                <w:rFonts w:cs="Arial"/>
              </w:rPr>
              <w:t xml:space="preserve">this </w:t>
            </w:r>
            <w:r w:rsidRPr="00384ADF">
              <w:rPr>
                <w:rFonts w:cs="Arial"/>
              </w:rPr>
              <w:t>is capable of consistent measurement or evaluation if a complaint is well defined and understood. The underlying subject matte</w:t>
            </w:r>
            <w:r w:rsidRPr="00384ADF">
              <w:t xml:space="preserve">r should also be observable to the extent that it allows consistent measurement or evaluation. Considerations </w:t>
            </w:r>
            <w:r w:rsidR="007711F1">
              <w:t>of</w:t>
            </w:r>
            <w:r w:rsidR="007711F1" w:rsidRPr="00384ADF">
              <w:t xml:space="preserve"> </w:t>
            </w:r>
            <w:r w:rsidRPr="00384ADF">
              <w:t>consistent measurement or evaluation may also assist if consensus exists around methodologies to measure or evaluate a specific underlying subject matter. It may then appear as if an underlying subject matter that is identifiable should be capable of consistent measurement or evaluation. However, even though there might be no dispute around the identifiability of an underlying subject matter, the method to consistently measure or evaluate the underlying subject matter may be disputed.</w:t>
            </w:r>
          </w:p>
        </w:tc>
        <w:tc>
          <w:tcPr>
            <w:tcW w:w="5196" w:type="dxa"/>
          </w:tcPr>
          <w:p w14:paraId="14465CBB" w14:textId="6453FFA8" w:rsidR="000B34D3" w:rsidRPr="00384ADF" w:rsidRDefault="000B34D3" w:rsidP="00453DF7">
            <w:pPr>
              <w:pStyle w:val="NumList"/>
              <w:numPr>
                <w:ilvl w:val="0"/>
                <w:numId w:val="0"/>
              </w:numPr>
              <w:spacing w:line="312" w:lineRule="auto"/>
              <w:rPr>
                <w:rFonts w:cs="Arial"/>
              </w:rPr>
            </w:pPr>
            <w:r w:rsidRPr="00384ADF">
              <w:rPr>
                <w:rFonts w:cs="Arial"/>
              </w:rPr>
              <w:t xml:space="preserve">In the example, the measurement protocols used in relation to </w:t>
            </w:r>
            <w:r w:rsidRPr="00384ADF">
              <w:rPr>
                <w:rFonts w:eastAsia="Calibri" w:cs="Arial"/>
              </w:rPr>
              <w:t>the quantity of water recycled</w:t>
            </w:r>
            <w:r w:rsidRPr="00384ADF">
              <w:rPr>
                <w:rFonts w:cs="Arial"/>
              </w:rPr>
              <w:t xml:space="preserve"> </w:t>
            </w:r>
            <w:r w:rsidR="00E62585" w:rsidRPr="00384ADF">
              <w:rPr>
                <w:rFonts w:cs="Arial"/>
              </w:rPr>
              <w:t xml:space="preserve">are </w:t>
            </w:r>
            <w:r w:rsidRPr="00384ADF">
              <w:rPr>
                <w:rFonts w:cs="Arial"/>
              </w:rPr>
              <w:t>the measurement or evaluation criteria, and water performance</w:t>
            </w:r>
            <w:r w:rsidR="008A0CB3" w:rsidRPr="00384ADF">
              <w:rPr>
                <w:rFonts w:cs="Arial"/>
              </w:rPr>
              <w:t xml:space="preserve"> </w:t>
            </w:r>
            <w:r w:rsidRPr="00384ADF">
              <w:rPr>
                <w:rFonts w:cs="Arial"/>
              </w:rPr>
              <w:t>is the underlying subject matter</w:t>
            </w:r>
            <w:r w:rsidR="00E62585" w:rsidRPr="00384ADF">
              <w:rPr>
                <w:rFonts w:cs="Arial"/>
              </w:rPr>
              <w:t xml:space="preserve">. </w:t>
            </w:r>
          </w:p>
          <w:p w14:paraId="6A602781" w14:textId="74C63CDE" w:rsidR="000B34D3" w:rsidRPr="00384ADF" w:rsidRDefault="000B34D3" w:rsidP="00453DF7">
            <w:pPr>
              <w:pStyle w:val="NumList"/>
              <w:numPr>
                <w:ilvl w:val="1"/>
                <w:numId w:val="2"/>
              </w:numPr>
              <w:tabs>
                <w:tab w:val="clear" w:pos="1134"/>
              </w:tabs>
              <w:spacing w:line="312" w:lineRule="auto"/>
              <w:ind w:left="633" w:hanging="446"/>
              <w:rPr>
                <w:rFonts w:cs="Arial"/>
              </w:rPr>
            </w:pPr>
            <w:r w:rsidRPr="00384ADF">
              <w:rPr>
                <w:rFonts w:cs="Arial"/>
                <w:i/>
              </w:rPr>
              <w:t>Identifiable:</w:t>
            </w:r>
            <w:r w:rsidRPr="00384ADF">
              <w:rPr>
                <w:rFonts w:cs="Arial"/>
              </w:rPr>
              <w:t xml:space="preserve"> For water performance to be identifiable, it must be observable as existing or having occurred. It </w:t>
            </w:r>
            <w:r w:rsidR="008A0CB3" w:rsidRPr="00384ADF">
              <w:rPr>
                <w:rFonts w:cs="Arial"/>
              </w:rPr>
              <w:t xml:space="preserve">may </w:t>
            </w:r>
            <w:r w:rsidRPr="00384ADF">
              <w:rPr>
                <w:rFonts w:cs="Arial"/>
              </w:rPr>
              <w:t xml:space="preserve">be argued that water performance may take many forms, and its identifiability as an underlying subject matter may not be immediately apparent. However, if the practitioner notes that the underlying subject matter of water performance, in this case, is interpreted as </w:t>
            </w:r>
            <w:r w:rsidRPr="00384ADF">
              <w:rPr>
                <w:rFonts w:eastAsia="Calibri" w:cs="Arial"/>
              </w:rPr>
              <w:t>the quantity of water recycled</w:t>
            </w:r>
            <w:r w:rsidRPr="00384ADF">
              <w:rPr>
                <w:rFonts w:cs="Arial"/>
              </w:rPr>
              <w:t xml:space="preserve">, this assists with the identifiability question because </w:t>
            </w:r>
            <w:r w:rsidRPr="00384ADF">
              <w:rPr>
                <w:rFonts w:eastAsia="Calibri" w:cs="Arial"/>
              </w:rPr>
              <w:t>the quantity of water recycled</w:t>
            </w:r>
            <w:r w:rsidRPr="00384ADF">
              <w:rPr>
                <w:rFonts w:cs="Arial"/>
              </w:rPr>
              <w:t xml:space="preserve"> can be identified and observed through the water measurement records. However, if the reporting entity requests the practitioner to, for example, assure a statement that reporting entity X has the best water performance in the industry, the identifiability of the underlying subject matter is challenging. In this case, the practitioner does not have enough information to identify the actual underlying subject matter. The practitioner will have trouble identifying the specific aspect of water performance that can be said to be better than reporting entity X’s competitors. Water performance could be interpreted as </w:t>
            </w:r>
            <w:r w:rsidRPr="00384ADF">
              <w:rPr>
                <w:rFonts w:eastAsia="Calibri" w:cs="Arial"/>
              </w:rPr>
              <w:t>the quantity of water recycled</w:t>
            </w:r>
            <w:r w:rsidRPr="00384ADF">
              <w:rPr>
                <w:rFonts w:cs="Arial"/>
              </w:rPr>
              <w:t xml:space="preserve">, </w:t>
            </w:r>
            <w:r w:rsidRPr="00384ADF">
              <w:rPr>
                <w:rFonts w:eastAsia="Calibri" w:cs="Arial"/>
              </w:rPr>
              <w:t>the recycled water reintroduced into production</w:t>
            </w:r>
            <w:r w:rsidRPr="00384ADF">
              <w:rPr>
                <w:rFonts w:cs="Arial"/>
              </w:rPr>
              <w:t xml:space="preserve"> or any other measurement. Without the detail of the criteria, the identifiability requirement cannot be met.</w:t>
            </w:r>
          </w:p>
          <w:p w14:paraId="00492A33" w14:textId="665A8277" w:rsidR="000B34D3" w:rsidRPr="00384ADF" w:rsidRDefault="000B34D3" w:rsidP="00453DF7">
            <w:pPr>
              <w:pStyle w:val="NumList"/>
              <w:numPr>
                <w:ilvl w:val="1"/>
                <w:numId w:val="2"/>
              </w:numPr>
              <w:tabs>
                <w:tab w:val="clear" w:pos="1134"/>
              </w:tabs>
              <w:spacing w:line="312" w:lineRule="auto"/>
              <w:ind w:left="642" w:hanging="450"/>
              <w:rPr>
                <w:rFonts w:cs="Arial"/>
              </w:rPr>
            </w:pPr>
            <w:r w:rsidRPr="00384ADF">
              <w:rPr>
                <w:rFonts w:cs="Arial"/>
                <w:i/>
              </w:rPr>
              <w:t>Capable of consistent measurement or evaluation:</w:t>
            </w:r>
            <w:r w:rsidRPr="00384ADF">
              <w:rPr>
                <w:rFonts w:cs="Arial"/>
              </w:rPr>
              <w:t xml:space="preserve"> In the case of </w:t>
            </w:r>
            <w:r w:rsidRPr="00384ADF">
              <w:rPr>
                <w:rFonts w:eastAsia="Calibri" w:cs="Arial"/>
              </w:rPr>
              <w:t>the quantity of water recycled</w:t>
            </w:r>
            <w:r w:rsidRPr="00384ADF">
              <w:rPr>
                <w:rFonts w:cs="Arial"/>
              </w:rPr>
              <w:t xml:space="preserve">, it </w:t>
            </w:r>
            <w:r w:rsidR="00E62585" w:rsidRPr="00384ADF">
              <w:rPr>
                <w:rFonts w:cs="Arial"/>
              </w:rPr>
              <w:t xml:space="preserve">may </w:t>
            </w:r>
            <w:r w:rsidRPr="00384ADF">
              <w:rPr>
                <w:rFonts w:cs="Arial"/>
              </w:rPr>
              <w:t xml:space="preserve">be said that </w:t>
            </w:r>
            <w:r w:rsidR="00E62585" w:rsidRPr="00384ADF">
              <w:rPr>
                <w:rFonts w:cs="Arial"/>
              </w:rPr>
              <w:t xml:space="preserve">this </w:t>
            </w:r>
            <w:r w:rsidRPr="00384ADF">
              <w:rPr>
                <w:rFonts w:cs="Arial"/>
              </w:rPr>
              <w:t xml:space="preserve">is capable of consistent measurement or evaluation if recycled water is well defined and understood. The underlying subject matter must also be observable to an extent that it allows consistent measurement or evaluation. Considerations </w:t>
            </w:r>
            <w:r w:rsidR="007711F1">
              <w:rPr>
                <w:rFonts w:cs="Arial"/>
              </w:rPr>
              <w:t>of</w:t>
            </w:r>
            <w:r w:rsidR="007711F1" w:rsidRPr="00384ADF">
              <w:rPr>
                <w:rFonts w:cs="Arial"/>
              </w:rPr>
              <w:t xml:space="preserve"> </w:t>
            </w:r>
            <w:r w:rsidRPr="00384ADF">
              <w:rPr>
                <w:rFonts w:cs="Arial"/>
              </w:rPr>
              <w:t>consistent measurement or evaluation can also assist if consensus exists around accepted methodologies to measure or evaluate a specific underlying subject matter. It would then appear as if an underlying subject matter that is identifiable should be capable of consistent measurement or evaluation. However, even though there might be no dispute around the identifiability of an underlying subject matter, the method to consistently measure or evaluate the underlying subject matter may be disputed.</w:t>
            </w:r>
          </w:p>
        </w:tc>
        <w:tc>
          <w:tcPr>
            <w:tcW w:w="5196" w:type="dxa"/>
          </w:tcPr>
          <w:p w14:paraId="0CECD1DA" w14:textId="6DD626E8" w:rsidR="000B34D3" w:rsidRPr="00384ADF" w:rsidRDefault="000B34D3" w:rsidP="00453DF7">
            <w:pPr>
              <w:pStyle w:val="NumList"/>
              <w:numPr>
                <w:ilvl w:val="0"/>
                <w:numId w:val="0"/>
              </w:numPr>
              <w:spacing w:line="312" w:lineRule="auto"/>
              <w:rPr>
                <w:rFonts w:cs="Arial"/>
              </w:rPr>
            </w:pPr>
            <w:r w:rsidRPr="00384ADF">
              <w:rPr>
                <w:rFonts w:cs="Arial"/>
              </w:rPr>
              <w:t xml:space="preserve">In the example, the measurement protocols used in relation to </w:t>
            </w:r>
            <w:r w:rsidR="008A0CB3" w:rsidRPr="00384ADF">
              <w:rPr>
                <w:rFonts w:eastAsia="Calibri" w:cs="Arial"/>
              </w:rPr>
              <w:t>compliance with the grievance policy of the reporting entity</w:t>
            </w:r>
            <w:r w:rsidRPr="00384ADF">
              <w:rPr>
                <w:rFonts w:cs="Arial"/>
              </w:rPr>
              <w:t xml:space="preserve"> </w:t>
            </w:r>
            <w:r w:rsidR="00E62585" w:rsidRPr="00384ADF">
              <w:rPr>
                <w:rFonts w:cs="Arial"/>
              </w:rPr>
              <w:t xml:space="preserve">are </w:t>
            </w:r>
            <w:r w:rsidRPr="00384ADF">
              <w:rPr>
                <w:rFonts w:cs="Arial"/>
              </w:rPr>
              <w:t xml:space="preserve">the measurement or evaluation criteria, and </w:t>
            </w:r>
            <w:r w:rsidR="008A0CB3" w:rsidRPr="00384ADF">
              <w:rPr>
                <w:rFonts w:cs="Arial"/>
              </w:rPr>
              <w:t>employee wellbeing</w:t>
            </w:r>
            <w:r w:rsidRPr="00384ADF">
              <w:rPr>
                <w:rFonts w:cs="Arial"/>
              </w:rPr>
              <w:t xml:space="preserve"> is the underlying subject matter</w:t>
            </w:r>
            <w:r w:rsidR="00E62585" w:rsidRPr="00384ADF">
              <w:rPr>
                <w:rFonts w:cs="Arial"/>
              </w:rPr>
              <w:t>.</w:t>
            </w:r>
          </w:p>
          <w:p w14:paraId="743B587B" w14:textId="57F18310" w:rsidR="000B34D3" w:rsidRPr="00384ADF" w:rsidRDefault="000B34D3" w:rsidP="00453DF7">
            <w:pPr>
              <w:pStyle w:val="NumList"/>
              <w:numPr>
                <w:ilvl w:val="1"/>
                <w:numId w:val="2"/>
              </w:numPr>
              <w:tabs>
                <w:tab w:val="clear" w:pos="1134"/>
                <w:tab w:val="num" w:pos="557"/>
              </w:tabs>
              <w:spacing w:line="312" w:lineRule="auto"/>
              <w:ind w:left="557" w:hanging="425"/>
              <w:rPr>
                <w:rFonts w:cs="Arial"/>
              </w:rPr>
            </w:pPr>
            <w:r w:rsidRPr="00384ADF">
              <w:rPr>
                <w:rFonts w:cs="Arial"/>
                <w:i/>
              </w:rPr>
              <w:t>Identifiable:</w:t>
            </w:r>
            <w:r w:rsidRPr="00384ADF">
              <w:rPr>
                <w:rFonts w:cs="Arial"/>
              </w:rPr>
              <w:t xml:space="preserve"> For </w:t>
            </w:r>
            <w:r w:rsidR="008C114A" w:rsidRPr="00384ADF">
              <w:rPr>
                <w:rFonts w:cs="Arial"/>
              </w:rPr>
              <w:t>employee wellbeing</w:t>
            </w:r>
            <w:r w:rsidRPr="00384ADF">
              <w:rPr>
                <w:rFonts w:cs="Arial"/>
              </w:rPr>
              <w:t xml:space="preserve"> to be identifiable, it must be observable as existing or having occurred. It </w:t>
            </w:r>
            <w:r w:rsidR="008A0CB3" w:rsidRPr="00384ADF">
              <w:rPr>
                <w:rFonts w:cs="Arial"/>
              </w:rPr>
              <w:t xml:space="preserve">may </w:t>
            </w:r>
            <w:r w:rsidRPr="00384ADF">
              <w:rPr>
                <w:rFonts w:cs="Arial"/>
              </w:rPr>
              <w:t xml:space="preserve">be argued that </w:t>
            </w:r>
            <w:r w:rsidR="008C114A" w:rsidRPr="00384ADF">
              <w:rPr>
                <w:rFonts w:cs="Arial"/>
              </w:rPr>
              <w:t>employee wellbeing</w:t>
            </w:r>
            <w:r w:rsidRPr="00384ADF">
              <w:rPr>
                <w:rFonts w:cs="Arial"/>
              </w:rPr>
              <w:t xml:space="preserve"> may take many forms, and its identifiability as an underlying subject matter may not be immediately apparent. However, if the practitioner notes that the underlying subject matter of </w:t>
            </w:r>
            <w:r w:rsidR="008C114A" w:rsidRPr="00384ADF">
              <w:rPr>
                <w:rFonts w:cs="Arial"/>
              </w:rPr>
              <w:t>employee wellbeing</w:t>
            </w:r>
            <w:r w:rsidRPr="00384ADF">
              <w:rPr>
                <w:rFonts w:cs="Arial"/>
              </w:rPr>
              <w:t xml:space="preserve">, in this case, is interpreted as </w:t>
            </w:r>
            <w:r w:rsidR="008C114A" w:rsidRPr="00384ADF">
              <w:rPr>
                <w:rFonts w:eastAsia="Calibri" w:cs="Arial"/>
              </w:rPr>
              <w:t>compliance with the grievance policy of the reporting entity</w:t>
            </w:r>
            <w:r w:rsidRPr="00384ADF">
              <w:rPr>
                <w:rFonts w:cs="Arial"/>
              </w:rPr>
              <w:t xml:space="preserve">, this assists with the identifiability question because </w:t>
            </w:r>
            <w:r w:rsidR="008C114A" w:rsidRPr="00384ADF">
              <w:rPr>
                <w:rFonts w:eastAsia="Calibri" w:cs="Arial"/>
              </w:rPr>
              <w:t>compliance with the grievance policy of the reporting entity</w:t>
            </w:r>
            <w:r w:rsidRPr="00384ADF">
              <w:rPr>
                <w:rFonts w:cs="Arial"/>
              </w:rPr>
              <w:t xml:space="preserve"> can be identified and observed through the records of </w:t>
            </w:r>
            <w:r w:rsidR="008C114A" w:rsidRPr="00384ADF">
              <w:rPr>
                <w:rFonts w:cs="Arial"/>
              </w:rPr>
              <w:t>employee grievances</w:t>
            </w:r>
            <w:r w:rsidRPr="00384ADF">
              <w:rPr>
                <w:rFonts w:cs="Arial"/>
              </w:rPr>
              <w:t xml:space="preserve">. </w:t>
            </w:r>
          </w:p>
          <w:p w14:paraId="4B0F2FDF" w14:textId="394BF762" w:rsidR="000B34D3" w:rsidRPr="00384ADF" w:rsidRDefault="000B34D3" w:rsidP="00453DF7">
            <w:pPr>
              <w:pStyle w:val="NumList"/>
              <w:numPr>
                <w:ilvl w:val="1"/>
                <w:numId w:val="2"/>
              </w:numPr>
              <w:tabs>
                <w:tab w:val="clear" w:pos="1134"/>
                <w:tab w:val="num" w:pos="557"/>
              </w:tabs>
              <w:spacing w:line="312" w:lineRule="auto"/>
              <w:ind w:left="557" w:hanging="425"/>
              <w:rPr>
                <w:rFonts w:cs="Arial"/>
              </w:rPr>
            </w:pPr>
            <w:r w:rsidRPr="00384ADF">
              <w:rPr>
                <w:rFonts w:cs="Arial"/>
              </w:rPr>
              <w:t>Capable</w:t>
            </w:r>
            <w:r w:rsidRPr="00384ADF">
              <w:rPr>
                <w:rFonts w:cs="Arial"/>
                <w:i/>
              </w:rPr>
              <w:t xml:space="preserve"> of consistent measurement or evaluation:</w:t>
            </w:r>
            <w:r w:rsidRPr="00384ADF">
              <w:rPr>
                <w:rFonts w:cs="Arial"/>
              </w:rPr>
              <w:t xml:space="preserve"> In the case of </w:t>
            </w:r>
            <w:r w:rsidR="00107A43" w:rsidRPr="00384ADF">
              <w:rPr>
                <w:rFonts w:eastAsia="Calibri" w:cs="Arial"/>
              </w:rPr>
              <w:t>compliance with the grievance policy of the reporting entity</w:t>
            </w:r>
            <w:r w:rsidRPr="00384ADF">
              <w:rPr>
                <w:rFonts w:cs="Arial"/>
              </w:rPr>
              <w:t xml:space="preserve">, it </w:t>
            </w:r>
            <w:r w:rsidR="00E62585" w:rsidRPr="00384ADF">
              <w:rPr>
                <w:rFonts w:cs="Arial"/>
              </w:rPr>
              <w:t xml:space="preserve">may </w:t>
            </w:r>
            <w:r w:rsidRPr="00384ADF">
              <w:rPr>
                <w:rFonts w:cs="Arial"/>
              </w:rPr>
              <w:t xml:space="preserve">be said that </w:t>
            </w:r>
            <w:r w:rsidR="00E62585" w:rsidRPr="00384ADF">
              <w:rPr>
                <w:rFonts w:cs="Arial"/>
              </w:rPr>
              <w:t xml:space="preserve">this </w:t>
            </w:r>
            <w:r w:rsidRPr="00384ADF">
              <w:rPr>
                <w:rFonts w:cs="Arial"/>
              </w:rPr>
              <w:t xml:space="preserve">is capable of consistent measurement or evaluation if </w:t>
            </w:r>
            <w:r w:rsidR="00107A43" w:rsidRPr="00384ADF">
              <w:rPr>
                <w:rFonts w:cs="Arial"/>
              </w:rPr>
              <w:t>the grievance policy</w:t>
            </w:r>
            <w:r w:rsidRPr="00384ADF">
              <w:rPr>
                <w:rFonts w:cs="Arial"/>
              </w:rPr>
              <w:t xml:space="preserve"> is well defined and understood. The underlying subject matter must also be observable to an extent that it allows consistent measurement or evaluation. Considerations </w:t>
            </w:r>
            <w:r w:rsidR="007711F1">
              <w:rPr>
                <w:rFonts w:cs="Arial"/>
              </w:rPr>
              <w:t>of</w:t>
            </w:r>
            <w:r w:rsidR="007711F1" w:rsidRPr="00384ADF">
              <w:rPr>
                <w:rFonts w:cs="Arial"/>
              </w:rPr>
              <w:t xml:space="preserve"> </w:t>
            </w:r>
            <w:r w:rsidRPr="00384ADF">
              <w:rPr>
                <w:rFonts w:cs="Arial"/>
              </w:rPr>
              <w:t>consistent measurement or evaluation can also assist if consensus exists around accepted methodologies to measure or evaluate a specific underlying subject matter. It would then appear as if an underlying subject matter that is identifiable should be capable of consistent measurement or evaluation. However, even though there might be no dispute around the identifiability of an underlying subject matter, the method to consistently measure or evaluate the underlying subject matter may be disputed.</w:t>
            </w:r>
          </w:p>
        </w:tc>
      </w:tr>
    </w:tbl>
    <w:p w14:paraId="572536BC" w14:textId="77777777" w:rsidR="0067436E" w:rsidRPr="00384ADF" w:rsidRDefault="0067436E" w:rsidP="007358D4">
      <w:pPr>
        <w:pStyle w:val="NumList"/>
        <w:numPr>
          <w:ilvl w:val="0"/>
          <w:numId w:val="0"/>
        </w:numPr>
        <w:spacing w:line="312" w:lineRule="auto"/>
        <w:sectPr w:rsidR="0067436E" w:rsidRPr="00384ADF" w:rsidSect="00AD3206">
          <w:pgSz w:w="16838" w:h="11906" w:orient="landscape"/>
          <w:pgMar w:top="1440" w:right="709" w:bottom="1440" w:left="851" w:header="708" w:footer="708" w:gutter="0"/>
          <w:cols w:space="720"/>
          <w:docGrid w:linePitch="360"/>
        </w:sectPr>
      </w:pPr>
    </w:p>
    <w:tbl>
      <w:tblPr>
        <w:tblStyle w:val="TableGrid"/>
        <w:tblW w:w="15588" w:type="dxa"/>
        <w:tblLayout w:type="fixed"/>
        <w:tblLook w:val="04A0" w:firstRow="1" w:lastRow="0" w:firstColumn="1" w:lastColumn="0" w:noHBand="0" w:noVBand="1"/>
      </w:tblPr>
      <w:tblGrid>
        <w:gridCol w:w="5196"/>
        <w:gridCol w:w="5196"/>
        <w:gridCol w:w="5196"/>
      </w:tblGrid>
      <w:tr w:rsidR="0067436E" w:rsidRPr="00384ADF" w14:paraId="1EB42090" w14:textId="77777777" w:rsidTr="0067436E">
        <w:trPr>
          <w:trHeight w:val="872"/>
        </w:trPr>
        <w:tc>
          <w:tcPr>
            <w:tcW w:w="5196" w:type="dxa"/>
          </w:tcPr>
          <w:p w14:paraId="2179EE2E" w14:textId="546B59B1" w:rsidR="0067436E" w:rsidRPr="00384ADF" w:rsidRDefault="0067436E" w:rsidP="0067436E">
            <w:pPr>
              <w:pStyle w:val="NumList"/>
              <w:numPr>
                <w:ilvl w:val="0"/>
                <w:numId w:val="0"/>
              </w:numPr>
              <w:spacing w:line="312" w:lineRule="auto"/>
            </w:pPr>
            <w:r w:rsidRPr="00384ADF">
              <w:rPr>
                <w:rFonts w:cs="Arial"/>
                <w:b/>
              </w:rPr>
              <w:t xml:space="preserve">Example of customer satisfaction used in this SAAEPS (Social) – Quantitative </w:t>
            </w:r>
          </w:p>
        </w:tc>
        <w:tc>
          <w:tcPr>
            <w:tcW w:w="5196" w:type="dxa"/>
          </w:tcPr>
          <w:p w14:paraId="5DB30E2F" w14:textId="355CB657" w:rsidR="0067436E" w:rsidRPr="00384ADF" w:rsidRDefault="0067436E" w:rsidP="0067436E">
            <w:pPr>
              <w:pStyle w:val="NumList"/>
              <w:numPr>
                <w:ilvl w:val="0"/>
                <w:numId w:val="0"/>
              </w:numPr>
              <w:spacing w:line="312" w:lineRule="auto"/>
              <w:rPr>
                <w:rFonts w:cs="Arial"/>
              </w:rPr>
            </w:pPr>
            <w:r w:rsidRPr="00384ADF">
              <w:rPr>
                <w:rFonts w:cs="Arial"/>
                <w:b/>
              </w:rPr>
              <w:t xml:space="preserve">Example of Water Performance (Environmental) – Quantitative </w:t>
            </w:r>
          </w:p>
        </w:tc>
        <w:tc>
          <w:tcPr>
            <w:tcW w:w="5196" w:type="dxa"/>
          </w:tcPr>
          <w:p w14:paraId="3934191C" w14:textId="40CBF5AE" w:rsidR="0067436E" w:rsidRPr="00384ADF" w:rsidRDefault="0067436E" w:rsidP="0067436E">
            <w:pPr>
              <w:pStyle w:val="NumList"/>
              <w:numPr>
                <w:ilvl w:val="0"/>
                <w:numId w:val="0"/>
              </w:numPr>
              <w:spacing w:line="312" w:lineRule="auto"/>
              <w:rPr>
                <w:rFonts w:cs="Arial"/>
              </w:rPr>
            </w:pPr>
            <w:r w:rsidRPr="00384ADF">
              <w:rPr>
                <w:rFonts w:cs="Arial"/>
                <w:b/>
              </w:rPr>
              <w:t>Example of Employee Wellbeing (Social) – Qualitative</w:t>
            </w:r>
          </w:p>
        </w:tc>
      </w:tr>
      <w:tr w:rsidR="0067436E" w:rsidRPr="00384ADF" w14:paraId="15CB1228" w14:textId="77777777" w:rsidTr="0067436E">
        <w:trPr>
          <w:trHeight w:val="350"/>
        </w:trPr>
        <w:tc>
          <w:tcPr>
            <w:tcW w:w="15588" w:type="dxa"/>
            <w:gridSpan w:val="3"/>
          </w:tcPr>
          <w:p w14:paraId="2C6E1291" w14:textId="159D2FEF" w:rsidR="0067436E" w:rsidRPr="00384ADF" w:rsidRDefault="0067436E" w:rsidP="0067436E">
            <w:pPr>
              <w:pStyle w:val="NumList"/>
              <w:numPr>
                <w:ilvl w:val="0"/>
                <w:numId w:val="0"/>
              </w:numPr>
              <w:spacing w:line="312" w:lineRule="auto"/>
              <w:rPr>
                <w:rFonts w:cs="Arial"/>
                <w:b/>
              </w:rPr>
            </w:pPr>
            <w:r w:rsidRPr="00384ADF">
              <w:rPr>
                <w:rFonts w:cs="Arial"/>
                <w:b/>
              </w:rPr>
              <w:t>Paragraph 99</w:t>
            </w:r>
          </w:p>
        </w:tc>
      </w:tr>
      <w:tr w:rsidR="0067436E" w:rsidRPr="005279E7" w14:paraId="0B17E782" w14:textId="1D6D117E" w:rsidTr="0067436E">
        <w:trPr>
          <w:trHeight w:val="1682"/>
        </w:trPr>
        <w:tc>
          <w:tcPr>
            <w:tcW w:w="5196" w:type="dxa"/>
          </w:tcPr>
          <w:p w14:paraId="1726D4EB" w14:textId="5B9DFDFA" w:rsidR="0067436E" w:rsidRPr="00384ADF" w:rsidRDefault="0067436E" w:rsidP="0067436E">
            <w:pPr>
              <w:pStyle w:val="NumList"/>
              <w:numPr>
                <w:ilvl w:val="0"/>
                <w:numId w:val="0"/>
              </w:numPr>
              <w:spacing w:line="312" w:lineRule="auto"/>
            </w:pPr>
            <w:r w:rsidRPr="00384ADF">
              <w:t>The example of customer satisfaction is used to illustrate what a practitioner may encounter in a sustainability assurance engagement. In this example, the underlying subject matter is customer satisfaction and the subject matter information is the actual number of complaints resolved to the acknowledged satisfaction of the customer. In this case, the measurement or evaluation criteria may be the benchmarks (or measurement or evaluation protocols) used to arrive at the actual number of complaints resolved to the acknowledged satisfaction of the customer. The following considerations may be found in the reporting entity’s reporting policies (or equivalent):</w:t>
            </w:r>
          </w:p>
          <w:p w14:paraId="47C306F9" w14:textId="111C76D3" w:rsidR="0067436E" w:rsidRPr="00384ADF" w:rsidRDefault="0067436E" w:rsidP="0067436E">
            <w:pPr>
              <w:pStyle w:val="NumList"/>
              <w:numPr>
                <w:ilvl w:val="1"/>
                <w:numId w:val="2"/>
              </w:numPr>
              <w:tabs>
                <w:tab w:val="clear" w:pos="1134"/>
                <w:tab w:val="num" w:pos="743"/>
              </w:tabs>
              <w:spacing w:line="312" w:lineRule="auto"/>
              <w:ind w:left="743" w:hanging="425"/>
              <w:rPr>
                <w:rFonts w:cs="Arial"/>
              </w:rPr>
            </w:pPr>
            <w:r w:rsidRPr="00384ADF">
              <w:rPr>
                <w:rFonts w:cs="Arial"/>
                <w:i/>
              </w:rPr>
              <w:t>Relevance:</w:t>
            </w:r>
            <w:r w:rsidRPr="00384ADF">
              <w:rPr>
                <w:rFonts w:cs="Arial"/>
              </w:rPr>
              <w:t xml:space="preserve"> Is the way that the measurement or evaluation is defined relevant to assist the decision-making of the intended users? In this example, it may be relevant to measure or evaluate customer satisfaction by way of the resolution of complaints to the acknowledged satisfaction of the customer, since that provides decision-useful information about customer satisfaction. However, if the measure or evaluation was the number of returned calls to aggrieved customers, this is unlikely to be a relevant measure or evaluation because a return call may not have completely resolved the complaint and may therefore not provide decision-useful information about customer satisfaction.</w:t>
            </w:r>
          </w:p>
          <w:p w14:paraId="1FEF62DD" w14:textId="0C073779" w:rsidR="0067436E" w:rsidRPr="00384ADF" w:rsidRDefault="0067436E" w:rsidP="0067436E">
            <w:pPr>
              <w:pStyle w:val="NumList"/>
              <w:numPr>
                <w:ilvl w:val="1"/>
                <w:numId w:val="2"/>
              </w:numPr>
              <w:tabs>
                <w:tab w:val="clear" w:pos="1134"/>
                <w:tab w:val="num" w:pos="743"/>
              </w:tabs>
              <w:spacing w:line="312" w:lineRule="auto"/>
              <w:ind w:left="743" w:hanging="425"/>
              <w:rPr>
                <w:rFonts w:cs="Arial"/>
              </w:rPr>
            </w:pPr>
            <w:r w:rsidRPr="00384ADF">
              <w:rPr>
                <w:rFonts w:cs="Arial"/>
                <w:i/>
              </w:rPr>
              <w:t>Completeness:</w:t>
            </w:r>
            <w:r w:rsidRPr="00384ADF">
              <w:rPr>
                <w:rFonts w:cs="Arial"/>
              </w:rPr>
              <w:t xml:space="preserve"> Do the measurement or evaluation criteria omit any relevant factors that may reasonably be expected to affect the decisions the intended users made on the basis of that subject matter information? For example, the measurement or evaluation of the number of complaints resolved to the acknowledged satisfaction of the customer may rely on information from a variety of sources. Complete criteria includes an appropriate description of all the sources that are to be included as part of the measurement or evaluation. Complete measurement or evaluation thereof would not omit information from any of the relevant sources.</w:t>
            </w:r>
          </w:p>
          <w:p w14:paraId="3DB07B0C" w14:textId="6277D71F" w:rsidR="0067436E" w:rsidRPr="00384ADF" w:rsidRDefault="0067436E" w:rsidP="0067436E">
            <w:pPr>
              <w:pStyle w:val="NumList"/>
              <w:numPr>
                <w:ilvl w:val="1"/>
                <w:numId w:val="2"/>
              </w:numPr>
              <w:tabs>
                <w:tab w:val="clear" w:pos="1134"/>
                <w:tab w:val="num" w:pos="743"/>
              </w:tabs>
              <w:spacing w:line="312" w:lineRule="auto"/>
              <w:ind w:left="743" w:hanging="425"/>
              <w:rPr>
                <w:rFonts w:cs="Arial"/>
              </w:rPr>
            </w:pPr>
            <w:r w:rsidRPr="00384ADF">
              <w:rPr>
                <w:rFonts w:cs="Arial"/>
                <w:i/>
              </w:rPr>
              <w:t>Reliability:</w:t>
            </w:r>
            <w:r w:rsidRPr="00384ADF">
              <w:rPr>
                <w:rFonts w:cs="Arial"/>
              </w:rPr>
              <w:t xml:space="preserve"> This characteristic </w:t>
            </w:r>
            <w:r w:rsidR="00552E5F" w:rsidRPr="00384ADF">
              <w:rPr>
                <w:rFonts w:cs="Arial"/>
              </w:rPr>
              <w:t xml:space="preserve">applies </w:t>
            </w:r>
            <w:r w:rsidRPr="00384ADF">
              <w:rPr>
                <w:rFonts w:cs="Arial"/>
              </w:rPr>
              <w:t>more to the robustness of the actual measurement or evaluation protocol. The practitioner assesses whether the measurement or evaluation effectively describes the sources of information and how the calculation should be performed to ensure that results are consistent and not dependent on prior knowledge of the topic by the preparer or practitioner. In the example above, the way that the number of complaints resolved to the acknowledged satisfaction of the customer is defined may determine whether the practitioner is satisfied that the reliability characteristic is met.</w:t>
            </w:r>
          </w:p>
          <w:p w14:paraId="366D4F21" w14:textId="7C7FE946" w:rsidR="0067436E" w:rsidRPr="00384ADF" w:rsidRDefault="0067436E" w:rsidP="0067436E">
            <w:pPr>
              <w:pStyle w:val="NumList"/>
              <w:numPr>
                <w:ilvl w:val="1"/>
                <w:numId w:val="2"/>
              </w:numPr>
              <w:tabs>
                <w:tab w:val="clear" w:pos="1134"/>
                <w:tab w:val="num" w:pos="743"/>
              </w:tabs>
              <w:spacing w:line="312" w:lineRule="auto"/>
              <w:ind w:left="743" w:hanging="425"/>
              <w:rPr>
                <w:rFonts w:cs="Arial"/>
              </w:rPr>
            </w:pPr>
            <w:r w:rsidRPr="00384ADF">
              <w:rPr>
                <w:rFonts w:cs="Arial"/>
                <w:i/>
              </w:rPr>
              <w:t>Neutrality:</w:t>
            </w:r>
            <w:r w:rsidRPr="00384ADF">
              <w:rPr>
                <w:rFonts w:cs="Arial"/>
              </w:rPr>
              <w:t xml:space="preserve"> Management may define a specific measurement or evaluation in such a way that it slants the result and sheds a favourable light on a specific area of performance. For example, management may define the number of complaints resolved to the acknowledged satisfaction of the customer as a return call to a customer. However, a return call may not have completely resolved the complaint. Even though this definition may be reliable, it may not be free from bias and may not be said to be neutral. Neutrality speaks to how information is identified, collated, summarised, adjusted and presented (quantitatively and qualitatively), and how any bias in this is recognised and managed. Once again, an understanding of the information needs of the intended users may assist the practitioner in this assessment.</w:t>
            </w:r>
          </w:p>
          <w:p w14:paraId="023819E3" w14:textId="0BE7E6FD" w:rsidR="0067436E" w:rsidRPr="00384ADF" w:rsidRDefault="0067436E" w:rsidP="0067436E">
            <w:pPr>
              <w:pStyle w:val="NumList"/>
              <w:numPr>
                <w:ilvl w:val="1"/>
                <w:numId w:val="2"/>
              </w:numPr>
              <w:tabs>
                <w:tab w:val="clear" w:pos="1134"/>
                <w:tab w:val="num" w:pos="743"/>
              </w:tabs>
              <w:spacing w:line="312" w:lineRule="auto"/>
              <w:ind w:left="743" w:hanging="425"/>
              <w:rPr>
                <w:rFonts w:cs="Arial"/>
              </w:rPr>
            </w:pPr>
            <w:r w:rsidRPr="00384ADF">
              <w:rPr>
                <w:rFonts w:cs="Arial"/>
                <w:i/>
              </w:rPr>
              <w:t>Understandability:</w:t>
            </w:r>
            <w:r w:rsidRPr="00384ADF">
              <w:rPr>
                <w:rFonts w:cs="Arial"/>
              </w:rPr>
              <w:t xml:space="preserve"> To reach a conclusion on the understandability characteristic, the practitioner matches the information needs of the intended users to the complexity of the measurement or evaluation, i.e. whether the resulting subject matter information may be understood by the intended users, including that it is not presented and disclosed in such a way that it may adversely affect the user’s interpretation and understanding of the message being communicated. This judgment may largely be based on the knowledge of the intended users and the industry of the reporting entity.</w:t>
            </w:r>
          </w:p>
        </w:tc>
        <w:tc>
          <w:tcPr>
            <w:tcW w:w="5196" w:type="dxa"/>
          </w:tcPr>
          <w:p w14:paraId="4FA9F6E7" w14:textId="14B67C63" w:rsidR="0067436E" w:rsidRPr="00384ADF" w:rsidRDefault="0067436E" w:rsidP="0067436E">
            <w:pPr>
              <w:pStyle w:val="NumList"/>
              <w:numPr>
                <w:ilvl w:val="0"/>
                <w:numId w:val="0"/>
              </w:numPr>
              <w:spacing w:line="312" w:lineRule="auto"/>
              <w:rPr>
                <w:rFonts w:cs="Arial"/>
              </w:rPr>
            </w:pPr>
            <w:r w:rsidRPr="00384ADF">
              <w:rPr>
                <w:rFonts w:cs="Arial"/>
              </w:rPr>
              <w:t xml:space="preserve">The example of water performance is used to illustrate what a practitioner may encounter in a sustainability assurance engagement. In this example, the underlying subject matter is water performance and the subject matter information is </w:t>
            </w:r>
            <w:r w:rsidRPr="00384ADF">
              <w:rPr>
                <w:rFonts w:eastAsia="Calibri" w:cs="Arial"/>
              </w:rPr>
              <w:t>the actual quantity of water recycled</w:t>
            </w:r>
            <w:r w:rsidRPr="00384ADF">
              <w:rPr>
                <w:rFonts w:cs="Arial"/>
              </w:rPr>
              <w:t xml:space="preserve">. In this case, the measurement or evaluation criteria may be the benchmarks (or measurement or evaluation protocols) used to arrive at </w:t>
            </w:r>
            <w:r w:rsidRPr="00384ADF">
              <w:rPr>
                <w:rFonts w:eastAsia="Calibri" w:cs="Arial"/>
              </w:rPr>
              <w:t>the actual quantity of water recycled</w:t>
            </w:r>
            <w:r w:rsidRPr="00384ADF">
              <w:rPr>
                <w:rFonts w:cs="Arial"/>
              </w:rPr>
              <w:t>. The following considerations may be typical:</w:t>
            </w:r>
          </w:p>
          <w:p w14:paraId="4671D336" w14:textId="5A953D11" w:rsidR="0067436E" w:rsidRPr="00384ADF" w:rsidRDefault="0067436E" w:rsidP="0067436E">
            <w:pPr>
              <w:pStyle w:val="NumList"/>
              <w:numPr>
                <w:ilvl w:val="1"/>
                <w:numId w:val="2"/>
              </w:numPr>
              <w:tabs>
                <w:tab w:val="clear" w:pos="1134"/>
              </w:tabs>
              <w:spacing w:line="312" w:lineRule="auto"/>
              <w:ind w:left="642" w:hanging="450"/>
              <w:rPr>
                <w:rFonts w:cs="Arial"/>
              </w:rPr>
            </w:pPr>
            <w:r w:rsidRPr="00384ADF">
              <w:rPr>
                <w:rFonts w:cs="Arial"/>
                <w:i/>
              </w:rPr>
              <w:t>Relevance:</w:t>
            </w:r>
            <w:r w:rsidRPr="00384ADF">
              <w:rPr>
                <w:rFonts w:cs="Arial"/>
              </w:rPr>
              <w:t xml:space="preserve"> Is the way that the measurement or evaluation is defined relevant to assist the decision-making of the intended users? In this example, the relevant measure or evaluation is recycled water that can be reused as drinking water, which is relevant since that measures or evaluates recycled water quality to a desired standard. However, if the measure or evaluation was </w:t>
            </w:r>
            <w:r w:rsidRPr="00384ADF">
              <w:rPr>
                <w:rFonts w:eastAsia="Calibri" w:cs="Arial"/>
              </w:rPr>
              <w:t>the recycled water reintroduced into production</w:t>
            </w:r>
            <w:r w:rsidRPr="00384ADF">
              <w:rPr>
                <w:rFonts w:cs="Arial"/>
              </w:rPr>
              <w:t>, this is unlikely to be a relevant measure or evaluation because the quality standards relating to recycled water that is reintroduced into production may be different (higher/lower) from those needed for recycled water that can be reused as drinking water.</w:t>
            </w:r>
          </w:p>
          <w:p w14:paraId="17C0898C" w14:textId="2A54A81E" w:rsidR="0067436E" w:rsidRPr="00384ADF" w:rsidRDefault="0067436E" w:rsidP="0067436E">
            <w:pPr>
              <w:pStyle w:val="NumList"/>
              <w:numPr>
                <w:ilvl w:val="1"/>
                <w:numId w:val="2"/>
              </w:numPr>
              <w:tabs>
                <w:tab w:val="clear" w:pos="1134"/>
              </w:tabs>
              <w:spacing w:line="312" w:lineRule="auto"/>
              <w:ind w:left="641" w:hanging="448"/>
              <w:rPr>
                <w:rFonts w:cs="Arial"/>
              </w:rPr>
            </w:pPr>
            <w:r w:rsidRPr="00384ADF">
              <w:rPr>
                <w:rFonts w:cs="Arial"/>
                <w:i/>
              </w:rPr>
              <w:t>Completeness:</w:t>
            </w:r>
            <w:r w:rsidRPr="00384ADF">
              <w:rPr>
                <w:rFonts w:cs="Arial"/>
              </w:rPr>
              <w:t xml:space="preserve"> Do the measurement or evaluation criteria omit any relevant factors that could reasonably be expected to affect the decisions the intended users made on the basis of that subject matter information? For example, the measurement or evaluation of </w:t>
            </w:r>
            <w:r w:rsidRPr="00384ADF">
              <w:rPr>
                <w:rFonts w:eastAsia="Calibri" w:cs="Arial"/>
              </w:rPr>
              <w:t>the quantity of water recycled</w:t>
            </w:r>
            <w:r w:rsidRPr="00384ADF">
              <w:rPr>
                <w:rFonts w:cs="Arial"/>
              </w:rPr>
              <w:t xml:space="preserve"> may rely on information from a variety of sources. Complete criteria should include an adequate description of all the sources that are to be included as part of the measurement or evaluation. Complete measurement or evaluation thereof would not omit information from any of the relevant sources.</w:t>
            </w:r>
          </w:p>
          <w:p w14:paraId="50698BE9" w14:textId="3F5483DF" w:rsidR="0067436E" w:rsidRPr="00384ADF" w:rsidRDefault="0067436E" w:rsidP="0067436E">
            <w:pPr>
              <w:pStyle w:val="NumList"/>
              <w:numPr>
                <w:ilvl w:val="1"/>
                <w:numId w:val="2"/>
              </w:numPr>
              <w:tabs>
                <w:tab w:val="clear" w:pos="1134"/>
              </w:tabs>
              <w:spacing w:line="312" w:lineRule="auto"/>
              <w:ind w:left="641" w:hanging="448"/>
              <w:rPr>
                <w:rFonts w:cs="Arial"/>
              </w:rPr>
            </w:pPr>
            <w:r w:rsidRPr="00384ADF">
              <w:rPr>
                <w:rFonts w:cs="Arial"/>
                <w:i/>
              </w:rPr>
              <w:t>Reliability:</w:t>
            </w:r>
            <w:r w:rsidRPr="00384ADF">
              <w:rPr>
                <w:rFonts w:cs="Arial"/>
              </w:rPr>
              <w:t xml:space="preserve"> This characteristic </w:t>
            </w:r>
            <w:r w:rsidR="00552E5F" w:rsidRPr="00384ADF">
              <w:rPr>
                <w:rFonts w:cs="Arial"/>
              </w:rPr>
              <w:t xml:space="preserve">applies </w:t>
            </w:r>
            <w:r w:rsidRPr="00384ADF">
              <w:rPr>
                <w:rFonts w:cs="Arial"/>
              </w:rPr>
              <w:t xml:space="preserve">more to the robustness of the actual measurement or evaluation protocol. The practitioner assesses whether the measurement or evaluation effectively describes the sources of information and how the calculation should be performed to ensure that results are consistent and not dependent on prior knowledge of the topic by the preparer or practitioner. In the example above, the way that </w:t>
            </w:r>
            <w:r w:rsidRPr="00384ADF">
              <w:rPr>
                <w:rFonts w:eastAsia="Calibri" w:cs="Arial"/>
              </w:rPr>
              <w:t>the quantity of water recycled</w:t>
            </w:r>
            <w:r w:rsidRPr="00384ADF">
              <w:rPr>
                <w:rFonts w:cs="Arial"/>
              </w:rPr>
              <w:t xml:space="preserve"> is defined may determine whether the practitioner is satisfied that the reliability characteristic is met.</w:t>
            </w:r>
          </w:p>
          <w:p w14:paraId="7C29517E" w14:textId="2ABFB122" w:rsidR="0067436E" w:rsidRPr="00384ADF" w:rsidRDefault="0067436E" w:rsidP="0067436E">
            <w:pPr>
              <w:pStyle w:val="NumList"/>
              <w:numPr>
                <w:ilvl w:val="1"/>
                <w:numId w:val="2"/>
              </w:numPr>
              <w:tabs>
                <w:tab w:val="clear" w:pos="1134"/>
              </w:tabs>
              <w:spacing w:line="312" w:lineRule="auto"/>
              <w:ind w:left="641" w:hanging="448"/>
              <w:rPr>
                <w:rFonts w:cs="Arial"/>
              </w:rPr>
            </w:pPr>
            <w:r w:rsidRPr="00384ADF">
              <w:rPr>
                <w:rFonts w:cs="Arial"/>
                <w:i/>
              </w:rPr>
              <w:t>Neutrality:</w:t>
            </w:r>
            <w:r w:rsidRPr="00384ADF">
              <w:rPr>
                <w:rFonts w:cs="Arial"/>
              </w:rPr>
              <w:t xml:space="preserve"> Management may define a specific measurement or evaluation in such a way that it slants the result and sheds a favourable light on a specific area of performance. For example, management may define </w:t>
            </w:r>
            <w:r w:rsidRPr="00384ADF">
              <w:rPr>
                <w:rFonts w:eastAsia="Calibri" w:cs="Arial"/>
              </w:rPr>
              <w:t>the quantity of water recycled</w:t>
            </w:r>
            <w:r w:rsidRPr="00384ADF">
              <w:rPr>
                <w:rFonts w:cs="Arial"/>
              </w:rPr>
              <w:t xml:space="preserve"> as </w:t>
            </w:r>
            <w:r w:rsidRPr="00384ADF">
              <w:rPr>
                <w:rFonts w:eastAsia="Calibri" w:cs="Arial"/>
              </w:rPr>
              <w:t>the recycled water reintroduced into production</w:t>
            </w:r>
            <w:r w:rsidRPr="00384ADF">
              <w:rPr>
                <w:rFonts w:cs="Arial"/>
              </w:rPr>
              <w:t xml:space="preserve">. However, </w:t>
            </w:r>
            <w:r w:rsidRPr="00384ADF">
              <w:rPr>
                <w:rFonts w:eastAsia="Calibri" w:cs="Arial"/>
              </w:rPr>
              <w:t>the recycled water reintroduced into production</w:t>
            </w:r>
            <w:r w:rsidRPr="00384ADF">
              <w:rPr>
                <w:rFonts w:cs="Arial"/>
              </w:rPr>
              <w:t xml:space="preserve"> may not be reusable as drinking water. Even though this definition may be reliable, it will not be free from bias and cannot be said to be neutral. Neutrality speaks to how information is required to be identified, collated, summarised, adjusted and presented (quantitatively and qualitatively), and how any bias in this is recognised and managed. Once again, a sound understanding of the information needs of the intended users may assist the practitioner in this assessment.</w:t>
            </w:r>
          </w:p>
          <w:p w14:paraId="3D45C67F" w14:textId="200F25A0" w:rsidR="0067436E" w:rsidRPr="00384ADF" w:rsidRDefault="0067436E" w:rsidP="0067436E">
            <w:pPr>
              <w:pStyle w:val="NumList"/>
              <w:numPr>
                <w:ilvl w:val="1"/>
                <w:numId w:val="2"/>
              </w:numPr>
              <w:tabs>
                <w:tab w:val="clear" w:pos="1134"/>
              </w:tabs>
              <w:spacing w:line="312" w:lineRule="auto"/>
              <w:ind w:left="641" w:hanging="448"/>
              <w:rPr>
                <w:rFonts w:cs="Arial"/>
              </w:rPr>
            </w:pPr>
            <w:r w:rsidRPr="00384ADF">
              <w:rPr>
                <w:rFonts w:cs="Arial"/>
                <w:i/>
              </w:rPr>
              <w:t>Understandability:</w:t>
            </w:r>
            <w:r w:rsidRPr="00384ADF">
              <w:rPr>
                <w:rFonts w:cs="Arial"/>
              </w:rPr>
              <w:t xml:space="preserve"> To reach a conclusion on the understandability characteristic, the practitioner needs to match the information needs of the intended users to the complexity of the measurement or evaluation. This judgment will be largely based on the knowledge of the intended users and the industry of the reporting entity.</w:t>
            </w:r>
          </w:p>
        </w:tc>
        <w:tc>
          <w:tcPr>
            <w:tcW w:w="5196" w:type="dxa"/>
          </w:tcPr>
          <w:p w14:paraId="5E4D4C5F" w14:textId="15EF5C64" w:rsidR="0067436E" w:rsidRPr="00384ADF" w:rsidRDefault="0067436E" w:rsidP="0067436E">
            <w:pPr>
              <w:pStyle w:val="NumList"/>
              <w:numPr>
                <w:ilvl w:val="0"/>
                <w:numId w:val="0"/>
              </w:numPr>
              <w:spacing w:line="312" w:lineRule="auto"/>
              <w:rPr>
                <w:rFonts w:cs="Arial"/>
              </w:rPr>
            </w:pPr>
            <w:r w:rsidRPr="00384ADF">
              <w:rPr>
                <w:rFonts w:cs="Arial"/>
              </w:rPr>
              <w:t xml:space="preserve">The example of employee wellbeing is used to illustrate what a practitioner may encounter in a sustainability assurance engagement. In this example, the underlying subject matter is employee wellbeing and the subject matter information is </w:t>
            </w:r>
            <w:r w:rsidRPr="00384ADF">
              <w:rPr>
                <w:rFonts w:eastAsia="Calibri" w:cs="Arial"/>
              </w:rPr>
              <w:t>a statement made by management of the reporting entity that it has fully complied with the grievance policy of the reporting entity</w:t>
            </w:r>
            <w:r w:rsidRPr="00384ADF">
              <w:rPr>
                <w:rFonts w:cs="Arial"/>
              </w:rPr>
              <w:t xml:space="preserve">. In this case, the measurement or evaluation criteria may be the benchmarks (or measurement or evaluation protocols) used to arrive at </w:t>
            </w:r>
            <w:r w:rsidRPr="00384ADF">
              <w:rPr>
                <w:rFonts w:eastAsia="Calibri" w:cs="Arial"/>
              </w:rPr>
              <w:t>a statement made by management of the reporting entity that it has fully complied with the grievance policy of the reporting entity</w:t>
            </w:r>
            <w:r w:rsidRPr="00384ADF">
              <w:rPr>
                <w:rFonts w:cs="Arial"/>
              </w:rPr>
              <w:t>. The following considerations may be typical:</w:t>
            </w:r>
          </w:p>
          <w:p w14:paraId="5677C2C2" w14:textId="0E9F2739" w:rsidR="0067436E" w:rsidRPr="00384ADF" w:rsidRDefault="0067436E" w:rsidP="0067436E">
            <w:pPr>
              <w:pStyle w:val="NumList"/>
              <w:numPr>
                <w:ilvl w:val="1"/>
                <w:numId w:val="2"/>
              </w:numPr>
              <w:tabs>
                <w:tab w:val="clear" w:pos="1134"/>
              </w:tabs>
              <w:spacing w:line="312" w:lineRule="auto"/>
              <w:ind w:left="642" w:hanging="450"/>
              <w:rPr>
                <w:rFonts w:cs="Arial"/>
                <w:i/>
              </w:rPr>
            </w:pPr>
            <w:r w:rsidRPr="00384ADF">
              <w:rPr>
                <w:rFonts w:cs="Arial"/>
                <w:i/>
              </w:rPr>
              <w:t xml:space="preserve">Relevance: </w:t>
            </w:r>
            <w:r w:rsidRPr="00384ADF">
              <w:rPr>
                <w:rFonts w:cs="Arial"/>
              </w:rPr>
              <w:t xml:space="preserve">Is the way that the measurement or evaluation is defined relevant to assist the decision-making of the intended users? In this example, </w:t>
            </w:r>
            <w:r w:rsidRPr="00384ADF">
              <w:rPr>
                <w:rFonts w:eastAsia="Calibri" w:cs="Arial"/>
              </w:rPr>
              <w:t>compliance with the grievance policy of the reporting entity</w:t>
            </w:r>
            <w:r w:rsidRPr="00384ADF">
              <w:rPr>
                <w:rFonts w:cs="Arial"/>
              </w:rPr>
              <w:t xml:space="preserve"> is unlikely to be a relevant measure or evaluation criteria. However, an employee satisfaction survey may be a more relevant measure or evaluation criteria.</w:t>
            </w:r>
          </w:p>
          <w:p w14:paraId="4B777C0B" w14:textId="1AB81A9C" w:rsidR="0067436E" w:rsidRPr="00384ADF" w:rsidRDefault="0067436E" w:rsidP="0067436E">
            <w:pPr>
              <w:pStyle w:val="NumList"/>
              <w:numPr>
                <w:ilvl w:val="1"/>
                <w:numId w:val="2"/>
              </w:numPr>
              <w:tabs>
                <w:tab w:val="clear" w:pos="1134"/>
              </w:tabs>
              <w:spacing w:line="312" w:lineRule="auto"/>
              <w:ind w:left="641" w:hanging="448"/>
              <w:rPr>
                <w:rFonts w:cs="Arial"/>
                <w:i/>
              </w:rPr>
            </w:pPr>
            <w:r w:rsidRPr="00384ADF">
              <w:rPr>
                <w:rFonts w:cs="Arial"/>
                <w:i/>
              </w:rPr>
              <w:t xml:space="preserve">Completeness: </w:t>
            </w:r>
            <w:r w:rsidRPr="00384ADF">
              <w:rPr>
                <w:rFonts w:cs="Arial"/>
              </w:rPr>
              <w:t xml:space="preserve">Do the measurement or evaluation criteria omit any relevant factors that could reasonably be expected to affect the decisions the intended users made on the basis of that subject matter information? For example, the measurement or evaluation of </w:t>
            </w:r>
            <w:r w:rsidRPr="00384ADF">
              <w:rPr>
                <w:rFonts w:eastAsia="Calibri" w:cs="Arial"/>
              </w:rPr>
              <w:t>compliance with the grievance policy of the reporting entity</w:t>
            </w:r>
            <w:r w:rsidRPr="00384ADF">
              <w:rPr>
                <w:rFonts w:cs="Arial"/>
              </w:rPr>
              <w:t xml:space="preserve"> may rely on information from a variety of sources. Complete criteria should include an adequate description of all the sources that are to be included as part of the measurement or evaluation. Complete measurement or evaluation thereof would not omit information from any of the relevant sources.</w:t>
            </w:r>
          </w:p>
          <w:p w14:paraId="41DE9D98" w14:textId="3470C881" w:rsidR="0067436E" w:rsidRPr="00384ADF" w:rsidRDefault="0067436E" w:rsidP="0067436E">
            <w:pPr>
              <w:pStyle w:val="NumList"/>
              <w:numPr>
                <w:ilvl w:val="1"/>
                <w:numId w:val="2"/>
              </w:numPr>
              <w:tabs>
                <w:tab w:val="clear" w:pos="1134"/>
              </w:tabs>
              <w:spacing w:line="312" w:lineRule="auto"/>
              <w:ind w:left="641" w:hanging="448"/>
              <w:rPr>
                <w:rFonts w:cs="Arial"/>
                <w:i/>
              </w:rPr>
            </w:pPr>
            <w:r w:rsidRPr="00384ADF">
              <w:rPr>
                <w:rFonts w:cs="Arial"/>
                <w:i/>
              </w:rPr>
              <w:t xml:space="preserve">Reliability: </w:t>
            </w:r>
            <w:r w:rsidRPr="00384ADF">
              <w:rPr>
                <w:rFonts w:cs="Arial"/>
              </w:rPr>
              <w:t xml:space="preserve">This characteristic </w:t>
            </w:r>
            <w:r w:rsidR="00552E5F" w:rsidRPr="00384ADF">
              <w:rPr>
                <w:rFonts w:cs="Arial"/>
              </w:rPr>
              <w:t xml:space="preserve">applies </w:t>
            </w:r>
            <w:r w:rsidRPr="00384ADF">
              <w:rPr>
                <w:rFonts w:cs="Arial"/>
              </w:rPr>
              <w:t xml:space="preserve">more to the robustness of the actual measurement or evaluation protocol. The practitioner assesses whether the measurement or evaluation effectively describes the sources of information and how the calculation should be performed to ensure that results are consistent and not dependent on prior knowledge of the topic by the preparer or practitioner. In the example above, the way that </w:t>
            </w:r>
            <w:r w:rsidRPr="00384ADF">
              <w:rPr>
                <w:rFonts w:eastAsia="Calibri" w:cs="Arial"/>
              </w:rPr>
              <w:t>compliance with the grievance policy of the reporting entity</w:t>
            </w:r>
            <w:r w:rsidRPr="00384ADF">
              <w:rPr>
                <w:rFonts w:cs="Arial"/>
              </w:rPr>
              <w:t xml:space="preserve"> is defined may determine whether the practitioner is satisfied that the reliability characteristic is met.</w:t>
            </w:r>
          </w:p>
          <w:p w14:paraId="1450A3C4" w14:textId="3FF47F9D" w:rsidR="0067436E" w:rsidRPr="00384ADF" w:rsidRDefault="0067436E" w:rsidP="0067436E">
            <w:pPr>
              <w:pStyle w:val="NumList"/>
              <w:numPr>
                <w:ilvl w:val="1"/>
                <w:numId w:val="2"/>
              </w:numPr>
              <w:tabs>
                <w:tab w:val="clear" w:pos="1134"/>
              </w:tabs>
              <w:spacing w:line="312" w:lineRule="auto"/>
              <w:ind w:left="641" w:hanging="448"/>
              <w:rPr>
                <w:rFonts w:cs="Arial"/>
                <w:i/>
              </w:rPr>
            </w:pPr>
            <w:r w:rsidRPr="00384ADF">
              <w:rPr>
                <w:rFonts w:cs="Arial"/>
                <w:i/>
              </w:rPr>
              <w:t xml:space="preserve">Neutrality: </w:t>
            </w:r>
            <w:r w:rsidRPr="00384ADF">
              <w:rPr>
                <w:rFonts w:cs="Arial"/>
              </w:rPr>
              <w:t xml:space="preserve">Management may define a specific measurement or evaluation in such a way that it slants the result and sheds a favourable light on a specific area of performance. For example, management may make a </w:t>
            </w:r>
            <w:r w:rsidRPr="00384ADF">
              <w:rPr>
                <w:rFonts w:eastAsia="Calibri" w:cs="Arial"/>
              </w:rPr>
              <w:t>statement in the reporting entity’s sustainability report that it has fully complied with the grievance policy.</w:t>
            </w:r>
            <w:r w:rsidRPr="00384ADF">
              <w:rPr>
                <w:rFonts w:cs="Arial"/>
              </w:rPr>
              <w:t xml:space="preserve"> However, an employee satisfaction survey may provide a more neutral measurement or evaluation. Even though this definition may be reliable, it will not be free from bias and cannot be said to be neutral. Neutrality speaks to how information is required to be identified, collated, summarised, adjusted and presented (quantitatively and qualitatively), and how any bias in this is recognised and managed. Once again, a sound understanding of the information needs of the intended users may assist the practitioner in this assessment.</w:t>
            </w:r>
          </w:p>
          <w:p w14:paraId="7C44C6E4" w14:textId="209127EA" w:rsidR="0067436E" w:rsidRPr="00384ADF" w:rsidRDefault="0067436E" w:rsidP="0067436E">
            <w:pPr>
              <w:pStyle w:val="NumList"/>
              <w:numPr>
                <w:ilvl w:val="1"/>
                <w:numId w:val="2"/>
              </w:numPr>
              <w:tabs>
                <w:tab w:val="clear" w:pos="1134"/>
              </w:tabs>
              <w:spacing w:line="312" w:lineRule="auto"/>
              <w:ind w:left="641" w:hanging="448"/>
              <w:rPr>
                <w:rFonts w:cs="Arial"/>
              </w:rPr>
            </w:pPr>
            <w:r w:rsidRPr="00384ADF">
              <w:rPr>
                <w:rFonts w:cs="Arial"/>
                <w:i/>
              </w:rPr>
              <w:t xml:space="preserve">Understandability: </w:t>
            </w:r>
            <w:r w:rsidRPr="00384ADF">
              <w:rPr>
                <w:rFonts w:cs="Arial"/>
              </w:rPr>
              <w:t>To reach a conclusion on the understandability characteristic, the practitioner needs to match the information needs of the intended users to the complexity of the measurement or evaluation. This judgment will be largely based on the knowledge of the intended users and the industry of the reporting entity.</w:t>
            </w:r>
          </w:p>
        </w:tc>
      </w:tr>
    </w:tbl>
    <w:p w14:paraId="38D7353E" w14:textId="77777777" w:rsidR="00B90ACB" w:rsidRPr="00B90ACB" w:rsidRDefault="00B90ACB" w:rsidP="007358D4">
      <w:pPr>
        <w:spacing w:line="312" w:lineRule="auto"/>
        <w:rPr>
          <w:lang w:eastAsia="en-US"/>
        </w:rPr>
      </w:pPr>
    </w:p>
    <w:sectPr w:rsidR="00B90ACB" w:rsidRPr="00B90ACB" w:rsidSect="00AD3206">
      <w:pgSz w:w="16838" w:h="11906" w:orient="landscape"/>
      <w:pgMar w:top="1440" w:right="709" w:bottom="1440" w:left="851" w:header="708" w:footer="708"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0">
      <wne:acd wne:acdName="acd1"/>
    </wne:keymap>
    <wne:keymap wne:kcmPrimary="0431">
      <wne:acd wne:acdName="acd0"/>
    </wne:keymap>
    <wne:keymap wne:kcmPrimary="0442">
      <wne:acd wne:acdName="acd2"/>
    </wne:keymap>
    <wne:keymap wne:kcmPrimary="044E">
      <wne:acd wne:acdName="acd1"/>
    </wne:keymap>
  </wne:keymaps>
  <wne:toolbars>
    <wne:acdManifest>
      <wne:acdEntry wne:acdName="acd0"/>
      <wne:acdEntry wne:acdName="acd1"/>
      <wne:acdEntry wne:acdName="acd2"/>
    </wne:acdManifest>
  </wne:toolbars>
  <wne:acds>
    <wne:acd wne:argValue="AQAAAAEA" wne:acdName="acd0" wne:fciIndexBasedOn="0065"/>
    <wne:acd wne:argValue="AgBOAHUAbQBiAGUAcgBlAGQAIABQAGEAcgBhAGcAcgBhAHAAaAA=" wne:acdName="acd1" wne:fciIndexBasedOn="0065"/>
    <wne:acd wne:argValue="AgBOAHUAbQBiAGUAcgBlAGQAIABQAGEAcgBhAGcAcgBhAHAAaAAgAC0AIABCAHUAbABsAGUAdABl&#10;ACAAbABpAHMAdAAgACsAIABMAGUAZgB0ADoAIAAgADAAIgAgAEYAaQByAHMAdAAgAGwAaQBuAGUA&#10;OgAgACAAMAAiA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23751" w14:textId="77777777" w:rsidR="005A7C55" w:rsidRDefault="005A7C55" w:rsidP="008F6B31">
      <w:r>
        <w:separator/>
      </w:r>
    </w:p>
  </w:endnote>
  <w:endnote w:type="continuationSeparator" w:id="0">
    <w:p w14:paraId="32245BAB" w14:textId="77777777" w:rsidR="005A7C55" w:rsidRDefault="005A7C55" w:rsidP="008F6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EYInterstate">
    <w:altName w:val="Calibri"/>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31A58" w14:textId="77777777" w:rsidR="00AB355B" w:rsidRDefault="00AB355B" w:rsidP="007D1F8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14:paraId="0B4695D0" w14:textId="77777777" w:rsidR="00AB355B" w:rsidRPr="00AD791C" w:rsidRDefault="00AB355B" w:rsidP="00EF6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DD34" w14:textId="088705E8" w:rsidR="00AB355B" w:rsidRPr="00C06972" w:rsidRDefault="00AB355B" w:rsidP="00837304">
    <w:pPr>
      <w:pStyle w:val="Footer"/>
      <w:jc w:val="center"/>
      <w:rPr>
        <w:rFonts w:cs="Arial"/>
        <w:sz w:val="18"/>
        <w:szCs w:val="18"/>
      </w:rPr>
    </w:pPr>
    <w:r w:rsidRPr="00C06972">
      <w:rPr>
        <w:rFonts w:cs="Arial"/>
        <w:sz w:val="18"/>
        <w:szCs w:val="18"/>
      </w:rPr>
      <w:t xml:space="preserve">Page </w:t>
    </w:r>
    <w:r w:rsidRPr="00C06972">
      <w:rPr>
        <w:rStyle w:val="PageNumber"/>
        <w:rFonts w:cs="Arial"/>
        <w:sz w:val="18"/>
        <w:szCs w:val="18"/>
      </w:rPr>
      <w:fldChar w:fldCharType="begin"/>
    </w:r>
    <w:r w:rsidRPr="00C06972">
      <w:rPr>
        <w:rStyle w:val="PageNumber"/>
        <w:rFonts w:cs="Arial"/>
        <w:sz w:val="18"/>
        <w:szCs w:val="18"/>
      </w:rPr>
      <w:instrText xml:space="preserve"> PAGE </w:instrText>
    </w:r>
    <w:r w:rsidRPr="00C06972">
      <w:rPr>
        <w:rStyle w:val="PageNumber"/>
        <w:rFonts w:cs="Arial"/>
        <w:sz w:val="18"/>
        <w:szCs w:val="18"/>
      </w:rPr>
      <w:fldChar w:fldCharType="separate"/>
    </w:r>
    <w:r>
      <w:rPr>
        <w:rStyle w:val="PageNumber"/>
        <w:rFonts w:cs="Arial"/>
        <w:noProof/>
        <w:sz w:val="18"/>
        <w:szCs w:val="18"/>
      </w:rPr>
      <w:t>4</w:t>
    </w:r>
    <w:r w:rsidRPr="00C06972">
      <w:rPr>
        <w:rStyle w:val="PageNumber"/>
        <w:rFonts w:cs="Arial"/>
        <w:sz w:val="18"/>
        <w:szCs w:val="18"/>
      </w:rPr>
      <w:fldChar w:fldCharType="end"/>
    </w:r>
    <w:r w:rsidRPr="00C06972">
      <w:rPr>
        <w:rStyle w:val="PageNumber"/>
        <w:rFonts w:cs="Arial"/>
        <w:sz w:val="18"/>
        <w:szCs w:val="18"/>
      </w:rPr>
      <w:t xml:space="preserve"> of </w:t>
    </w:r>
    <w:r w:rsidRPr="00C06972">
      <w:rPr>
        <w:rStyle w:val="PageNumber"/>
        <w:rFonts w:cs="Arial"/>
        <w:sz w:val="18"/>
        <w:szCs w:val="18"/>
      </w:rPr>
      <w:fldChar w:fldCharType="begin"/>
    </w:r>
    <w:r w:rsidRPr="00C06972">
      <w:rPr>
        <w:rStyle w:val="PageNumber"/>
        <w:rFonts w:cs="Arial"/>
        <w:sz w:val="18"/>
        <w:szCs w:val="18"/>
      </w:rPr>
      <w:instrText xml:space="preserve"> NUMPAGES </w:instrText>
    </w:r>
    <w:r w:rsidRPr="00C06972">
      <w:rPr>
        <w:rStyle w:val="PageNumber"/>
        <w:rFonts w:cs="Arial"/>
        <w:sz w:val="18"/>
        <w:szCs w:val="18"/>
      </w:rPr>
      <w:fldChar w:fldCharType="separate"/>
    </w:r>
    <w:r>
      <w:rPr>
        <w:rStyle w:val="PageNumber"/>
        <w:rFonts w:cs="Arial"/>
        <w:noProof/>
        <w:sz w:val="18"/>
        <w:szCs w:val="18"/>
      </w:rPr>
      <w:t>59</w:t>
    </w:r>
    <w:r w:rsidRPr="00C06972">
      <w:rPr>
        <w:rStyle w:val="PageNumber"/>
        <w:rFonts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391814721"/>
      <w:docPartObj>
        <w:docPartGallery w:val="Page Numbers (Bottom of Page)"/>
        <w:docPartUnique/>
      </w:docPartObj>
    </w:sdtPr>
    <w:sdtEndPr/>
    <w:sdtContent>
      <w:sdt>
        <w:sdtPr>
          <w:rPr>
            <w:sz w:val="20"/>
            <w:szCs w:val="20"/>
          </w:rPr>
          <w:id w:val="801499356"/>
          <w:docPartObj>
            <w:docPartGallery w:val="Page Numbers (Top of Page)"/>
            <w:docPartUnique/>
          </w:docPartObj>
        </w:sdtPr>
        <w:sdtEndPr/>
        <w:sdtContent>
          <w:p w14:paraId="4FC92176" w14:textId="030B63C4" w:rsidR="00AB355B" w:rsidRPr="000055FE" w:rsidRDefault="00AB355B" w:rsidP="00ED6603">
            <w:pPr>
              <w:pStyle w:val="Footer"/>
              <w:spacing w:before="80" w:after="0"/>
              <w:jc w:val="center"/>
              <w:rPr>
                <w:sz w:val="20"/>
                <w:szCs w:val="20"/>
              </w:rPr>
            </w:pPr>
            <w:r w:rsidRPr="00726778">
              <w:rPr>
                <w:rFonts w:cs="Arial"/>
                <w:sz w:val="18"/>
                <w:szCs w:val="18"/>
              </w:rPr>
              <w:t xml:space="preserve">Page </w:t>
            </w:r>
            <w:r w:rsidRPr="00726778">
              <w:rPr>
                <w:rFonts w:cs="Arial"/>
                <w:sz w:val="18"/>
                <w:szCs w:val="18"/>
              </w:rPr>
              <w:fldChar w:fldCharType="begin"/>
            </w:r>
            <w:r w:rsidRPr="00726778">
              <w:rPr>
                <w:rFonts w:cs="Arial"/>
                <w:sz w:val="18"/>
                <w:szCs w:val="18"/>
              </w:rPr>
              <w:instrText xml:space="preserve"> PAGE </w:instrText>
            </w:r>
            <w:r w:rsidRPr="00726778">
              <w:rPr>
                <w:rFonts w:cs="Arial"/>
                <w:sz w:val="18"/>
                <w:szCs w:val="18"/>
              </w:rPr>
              <w:fldChar w:fldCharType="separate"/>
            </w:r>
            <w:r>
              <w:rPr>
                <w:rFonts w:cs="Arial"/>
                <w:noProof/>
                <w:sz w:val="18"/>
                <w:szCs w:val="18"/>
              </w:rPr>
              <w:t>39</w:t>
            </w:r>
            <w:r w:rsidRPr="00726778">
              <w:rPr>
                <w:rFonts w:cs="Arial"/>
                <w:sz w:val="18"/>
                <w:szCs w:val="18"/>
              </w:rPr>
              <w:fldChar w:fldCharType="end"/>
            </w:r>
            <w:r w:rsidRPr="00726778">
              <w:rPr>
                <w:rFonts w:cs="Arial"/>
                <w:sz w:val="18"/>
                <w:szCs w:val="18"/>
              </w:rPr>
              <w:t xml:space="preserve"> of </w:t>
            </w:r>
            <w:r w:rsidRPr="00726778">
              <w:rPr>
                <w:rFonts w:cs="Arial"/>
                <w:sz w:val="18"/>
                <w:szCs w:val="18"/>
              </w:rPr>
              <w:fldChar w:fldCharType="begin"/>
            </w:r>
            <w:r w:rsidRPr="00726778">
              <w:rPr>
                <w:rFonts w:cs="Arial"/>
                <w:sz w:val="18"/>
                <w:szCs w:val="18"/>
              </w:rPr>
              <w:instrText xml:space="preserve"> NUMPAGES  </w:instrText>
            </w:r>
            <w:r w:rsidRPr="00726778">
              <w:rPr>
                <w:rFonts w:cs="Arial"/>
                <w:sz w:val="18"/>
                <w:szCs w:val="18"/>
              </w:rPr>
              <w:fldChar w:fldCharType="separate"/>
            </w:r>
            <w:r>
              <w:rPr>
                <w:rFonts w:cs="Arial"/>
                <w:noProof/>
                <w:sz w:val="18"/>
                <w:szCs w:val="18"/>
              </w:rPr>
              <w:t>59</w:t>
            </w:r>
            <w:r w:rsidRPr="00726778">
              <w:rPr>
                <w:rFonts w:cs="Arial"/>
                <w:sz w:val="18"/>
                <w:szCs w:val="18"/>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358340043"/>
      <w:docPartObj>
        <w:docPartGallery w:val="Page Numbers (Bottom of Page)"/>
        <w:docPartUnique/>
      </w:docPartObj>
    </w:sdtPr>
    <w:sdtEndPr/>
    <w:sdtContent>
      <w:sdt>
        <w:sdtPr>
          <w:rPr>
            <w:sz w:val="18"/>
            <w:szCs w:val="18"/>
          </w:rPr>
          <w:id w:val="472641990"/>
          <w:docPartObj>
            <w:docPartGallery w:val="Page Numbers (Top of Page)"/>
            <w:docPartUnique/>
          </w:docPartObj>
        </w:sdtPr>
        <w:sdtEndPr/>
        <w:sdtContent>
          <w:p w14:paraId="46AD0F03" w14:textId="2C0E2FEE" w:rsidR="00AB355B" w:rsidRPr="00A7102F" w:rsidRDefault="00AB355B" w:rsidP="00E156CC">
            <w:pPr>
              <w:pStyle w:val="Footer"/>
              <w:jc w:val="center"/>
              <w:rPr>
                <w:sz w:val="18"/>
                <w:szCs w:val="18"/>
              </w:rPr>
            </w:pPr>
            <w:r w:rsidRPr="00A7102F">
              <w:rPr>
                <w:sz w:val="18"/>
                <w:szCs w:val="18"/>
              </w:rPr>
              <w:t xml:space="preserve">Page </w:t>
            </w:r>
            <w:r w:rsidRPr="00A7102F">
              <w:rPr>
                <w:bCs/>
                <w:sz w:val="18"/>
                <w:szCs w:val="18"/>
              </w:rPr>
              <w:fldChar w:fldCharType="begin"/>
            </w:r>
            <w:r w:rsidRPr="00A7102F">
              <w:rPr>
                <w:bCs/>
                <w:sz w:val="18"/>
                <w:szCs w:val="18"/>
              </w:rPr>
              <w:instrText xml:space="preserve"> PAGE </w:instrText>
            </w:r>
            <w:r w:rsidRPr="00A7102F">
              <w:rPr>
                <w:bCs/>
                <w:sz w:val="18"/>
                <w:szCs w:val="18"/>
              </w:rPr>
              <w:fldChar w:fldCharType="separate"/>
            </w:r>
            <w:r w:rsidRPr="00A7102F">
              <w:rPr>
                <w:bCs/>
                <w:noProof/>
                <w:sz w:val="18"/>
                <w:szCs w:val="18"/>
              </w:rPr>
              <w:t>43</w:t>
            </w:r>
            <w:r w:rsidRPr="00A7102F">
              <w:rPr>
                <w:bCs/>
                <w:sz w:val="18"/>
                <w:szCs w:val="18"/>
              </w:rPr>
              <w:fldChar w:fldCharType="end"/>
            </w:r>
            <w:r w:rsidRPr="00A7102F">
              <w:rPr>
                <w:sz w:val="18"/>
                <w:szCs w:val="18"/>
              </w:rPr>
              <w:t xml:space="preserve"> of </w:t>
            </w:r>
            <w:r w:rsidRPr="00A7102F">
              <w:rPr>
                <w:bCs/>
                <w:sz w:val="18"/>
                <w:szCs w:val="18"/>
              </w:rPr>
              <w:fldChar w:fldCharType="begin"/>
            </w:r>
            <w:r w:rsidRPr="00A7102F">
              <w:rPr>
                <w:bCs/>
                <w:sz w:val="18"/>
                <w:szCs w:val="18"/>
              </w:rPr>
              <w:instrText xml:space="preserve"> NUMPAGES  </w:instrText>
            </w:r>
            <w:r w:rsidRPr="00A7102F">
              <w:rPr>
                <w:bCs/>
                <w:sz w:val="18"/>
                <w:szCs w:val="18"/>
              </w:rPr>
              <w:fldChar w:fldCharType="separate"/>
            </w:r>
            <w:r w:rsidRPr="00A7102F">
              <w:rPr>
                <w:bCs/>
                <w:noProof/>
                <w:sz w:val="18"/>
                <w:szCs w:val="18"/>
              </w:rPr>
              <w:t>59</w:t>
            </w:r>
            <w:r w:rsidRPr="00A7102F">
              <w:rPr>
                <w:bCs/>
                <w:sz w:val="18"/>
                <w:szCs w:val="18"/>
              </w:rPr>
              <w:fldChar w:fldCharType="end"/>
            </w:r>
          </w:p>
        </w:sdtContent>
      </w:sdt>
    </w:sdtContent>
  </w:sdt>
  <w:p w14:paraId="0502BA1D" w14:textId="77777777" w:rsidR="00AB355B" w:rsidRDefault="00AB35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F0B92" w14:textId="77777777" w:rsidR="005A7C55" w:rsidRDefault="005A7C55" w:rsidP="008F6B31">
      <w:r>
        <w:separator/>
      </w:r>
    </w:p>
  </w:footnote>
  <w:footnote w:type="continuationSeparator" w:id="0">
    <w:p w14:paraId="54C2DB61" w14:textId="77777777" w:rsidR="005A7C55" w:rsidRDefault="005A7C55" w:rsidP="008F6B31">
      <w:r>
        <w:continuationSeparator/>
      </w:r>
    </w:p>
  </w:footnote>
  <w:footnote w:id="1">
    <w:p w14:paraId="7F0FD93F" w14:textId="77777777" w:rsidR="00AB355B" w:rsidRPr="0078082D" w:rsidRDefault="00AB355B" w:rsidP="00BC49B3">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22(c)(i).</w:t>
      </w:r>
    </w:p>
  </w:footnote>
  <w:footnote w:id="2">
    <w:p w14:paraId="1E0E3981" w14:textId="77777777" w:rsidR="00AB355B" w:rsidRPr="001E4F3B" w:rsidRDefault="00AB355B" w:rsidP="00BC49B3">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xml:space="preserve">. </w:t>
      </w:r>
      <w:r w:rsidRPr="001E4F3B">
        <w:rPr>
          <w:rFonts w:ascii="Arial" w:hAnsi="Arial" w:cs="Arial"/>
          <w:sz w:val="18"/>
          <w:szCs w:val="18"/>
          <w:lang w:val="en-US"/>
        </w:rPr>
        <w:t>ISAE 3000 (Revised), paragraph 24.</w:t>
      </w:r>
    </w:p>
  </w:footnote>
  <w:footnote w:id="3">
    <w:p w14:paraId="529B46BE" w14:textId="52969801" w:rsidR="00AB355B" w:rsidRPr="0078082D" w:rsidRDefault="00AB355B" w:rsidP="007D43E2">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ISAE 3000 (Revised), paragraph 24(b)(vi) and paragraph A56. [In full, </w:t>
      </w:r>
      <w:r w:rsidRPr="0078082D">
        <w:rPr>
          <w:rFonts w:ascii="Arial" w:hAnsi="Arial" w:cs="Arial"/>
          <w:sz w:val="18"/>
          <w:szCs w:val="18"/>
          <w:lang w:val="en-US"/>
        </w:rPr>
        <w:t>ISAE 3000 (Revised), paragraph 24(b)(vi) states: “</w:t>
      </w:r>
      <w:r w:rsidRPr="0078082D">
        <w:rPr>
          <w:rFonts w:ascii="Arial" w:hAnsi="Arial" w:cs="Arial"/>
          <w:i/>
          <w:sz w:val="18"/>
          <w:szCs w:val="18"/>
          <w:lang w:val="en-US"/>
        </w:rPr>
        <w:t xml:space="preserve">A rational purpose </w:t>
      </w:r>
      <w:r w:rsidRPr="0078082D">
        <w:rPr>
          <w:rFonts w:ascii="Arial" w:hAnsi="Arial" w:cs="Arial"/>
          <w:b/>
          <w:i/>
          <w:sz w:val="18"/>
          <w:szCs w:val="18"/>
          <w:lang w:val="en-US"/>
        </w:rPr>
        <w:t>including, in the case of a limited assurance engagement, that the practitioner expects to be able to obtain a meaningful level of assurance</w:t>
      </w:r>
      <w:r w:rsidRPr="0078082D">
        <w:rPr>
          <w:rFonts w:ascii="Arial" w:hAnsi="Arial" w:cs="Arial"/>
          <w:sz w:val="18"/>
          <w:szCs w:val="18"/>
          <w:lang w:val="en-US"/>
        </w:rPr>
        <w:t xml:space="preserve">”. The part of the paragraph highlighted in </w:t>
      </w:r>
      <w:r w:rsidRPr="0078082D">
        <w:rPr>
          <w:rFonts w:ascii="Arial" w:hAnsi="Arial" w:cs="Arial"/>
          <w:b/>
          <w:sz w:val="18"/>
          <w:szCs w:val="18"/>
          <w:lang w:val="en-US"/>
        </w:rPr>
        <w:t>bold</w:t>
      </w:r>
      <w:r w:rsidRPr="0078082D">
        <w:rPr>
          <w:rFonts w:ascii="Arial" w:hAnsi="Arial" w:cs="Arial"/>
          <w:sz w:val="18"/>
          <w:szCs w:val="18"/>
          <w:lang w:val="en-US"/>
        </w:rPr>
        <w:t xml:space="preserve"> is not addressed in this SAAEPS. The onus is on the practitioner to make such a determination based on preliminary knowledge of the engagement circumstances.]</w:t>
      </w:r>
    </w:p>
  </w:footnote>
  <w:footnote w:id="4">
    <w:p w14:paraId="32BE92F7" w14:textId="7D76B6CE" w:rsidR="00AB355B" w:rsidRPr="0078082D" w:rsidRDefault="00AB355B" w:rsidP="0078082D">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ISAE 3000 (Revised), paragraph A56. </w:t>
      </w:r>
    </w:p>
  </w:footnote>
  <w:footnote w:id="5">
    <w:p w14:paraId="1FB9C62D" w14:textId="4E4FEE80" w:rsidR="00AB355B" w:rsidRPr="0078082D" w:rsidRDefault="00AB355B" w:rsidP="0078082D">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24(b)(i).</w:t>
      </w:r>
    </w:p>
  </w:footnote>
  <w:footnote w:id="6">
    <w:p w14:paraId="41B2FB9B" w14:textId="6B7D9377" w:rsidR="00AB355B" w:rsidRPr="0078082D" w:rsidRDefault="00AB355B" w:rsidP="0078082D">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24(b)(ii).</w:t>
      </w:r>
    </w:p>
  </w:footnote>
  <w:footnote w:id="7">
    <w:p w14:paraId="0D131949" w14:textId="77777777" w:rsidR="00AB355B" w:rsidRPr="001B6391" w:rsidRDefault="00AB355B" w:rsidP="00D11696">
      <w:pPr>
        <w:pStyle w:val="FootnoteText"/>
        <w:spacing w:after="120"/>
        <w:rPr>
          <w:rFonts w:ascii="Arial" w:hAnsi="Arial" w:cs="Arial"/>
          <w:sz w:val="18"/>
          <w:szCs w:val="18"/>
          <w:lang w:val="en-US"/>
        </w:rPr>
      </w:pPr>
      <w:r w:rsidRPr="001B6391">
        <w:rPr>
          <w:rStyle w:val="FootnoteReference"/>
          <w:rFonts w:ascii="Arial" w:hAnsi="Arial" w:cs="Arial"/>
          <w:sz w:val="18"/>
          <w:szCs w:val="18"/>
        </w:rPr>
        <w:footnoteRef/>
      </w:r>
      <w:r w:rsidRPr="001B6391">
        <w:rPr>
          <w:rFonts w:ascii="Arial" w:hAnsi="Arial" w:cs="Arial"/>
          <w:sz w:val="18"/>
          <w:szCs w:val="18"/>
        </w:rPr>
        <w:t>. ISAE 3000 (Revised), paragraph 24(a)</w:t>
      </w:r>
      <w:r>
        <w:rPr>
          <w:rFonts w:ascii="Arial" w:hAnsi="Arial" w:cs="Arial"/>
          <w:sz w:val="18"/>
          <w:szCs w:val="18"/>
        </w:rPr>
        <w:t>.</w:t>
      </w:r>
    </w:p>
  </w:footnote>
  <w:footnote w:id="8">
    <w:p w14:paraId="30BDC835" w14:textId="77777777" w:rsidR="00AB355B" w:rsidRPr="001E4F3B" w:rsidRDefault="00AB355B" w:rsidP="00D11696">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xml:space="preserve">. </w:t>
      </w:r>
      <w:r w:rsidRPr="001E4F3B">
        <w:rPr>
          <w:rFonts w:ascii="Arial" w:hAnsi="Arial" w:cs="Arial"/>
          <w:sz w:val="18"/>
          <w:szCs w:val="18"/>
          <w:lang w:val="en-US"/>
        </w:rPr>
        <w:t xml:space="preserve">ISAE 3000 (Revised), </w:t>
      </w:r>
      <w:r w:rsidRPr="001E4F3B">
        <w:rPr>
          <w:rFonts w:ascii="Arial" w:hAnsi="Arial" w:cs="Arial"/>
          <w:sz w:val="18"/>
          <w:szCs w:val="18"/>
        </w:rPr>
        <w:t>paragraph 24(b)(iii).</w:t>
      </w:r>
    </w:p>
  </w:footnote>
  <w:footnote w:id="9">
    <w:p w14:paraId="7BB6660D" w14:textId="77777777" w:rsidR="00AB355B" w:rsidRPr="001E4F3B" w:rsidRDefault="00AB355B" w:rsidP="00D11696">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ISAE 3000 (Revised), paragraph 24(b)(iv).</w:t>
      </w:r>
    </w:p>
  </w:footnote>
  <w:footnote w:id="10">
    <w:p w14:paraId="1F7607E5" w14:textId="77777777" w:rsidR="00AB355B" w:rsidRPr="001E4F3B" w:rsidRDefault="00AB355B" w:rsidP="00D11696">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ISAE 3000 (Revised), paragraph 24(b)(v).</w:t>
      </w:r>
    </w:p>
  </w:footnote>
  <w:footnote w:id="11">
    <w:p w14:paraId="0E19A9BF" w14:textId="77777777" w:rsidR="00AB355B" w:rsidRPr="001E4F3B" w:rsidRDefault="00AB355B" w:rsidP="00D11696">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xml:space="preserve"> </w:t>
      </w:r>
      <w:r w:rsidRPr="001E4F3B">
        <w:rPr>
          <w:rFonts w:ascii="Arial" w:hAnsi="Arial" w:cs="Arial"/>
          <w:sz w:val="18"/>
          <w:szCs w:val="18"/>
          <w:lang w:val="en-US"/>
        </w:rPr>
        <w:t>ISAE 3000 (Revised), paragraph A56.</w:t>
      </w:r>
    </w:p>
  </w:footnote>
  <w:footnote w:id="12">
    <w:p w14:paraId="0D9808CE" w14:textId="0035656B" w:rsidR="00AB355B" w:rsidRPr="00CB46BA" w:rsidRDefault="00AB355B" w:rsidP="00CB46BA">
      <w:pPr>
        <w:pStyle w:val="FootnoteText"/>
        <w:spacing w:after="120"/>
        <w:rPr>
          <w:rFonts w:ascii="Arial" w:hAnsi="Arial" w:cs="Arial"/>
          <w:sz w:val="18"/>
          <w:szCs w:val="18"/>
          <w:lang w:val="en-US"/>
        </w:rPr>
      </w:pPr>
      <w:r w:rsidRPr="00CB46BA">
        <w:rPr>
          <w:rStyle w:val="FootnoteReference"/>
          <w:rFonts w:ascii="Arial" w:hAnsi="Arial" w:cs="Arial"/>
          <w:sz w:val="18"/>
          <w:szCs w:val="18"/>
        </w:rPr>
        <w:footnoteRef/>
      </w:r>
      <w:r>
        <w:rPr>
          <w:rFonts w:ascii="Arial" w:hAnsi="Arial" w:cs="Arial"/>
          <w:sz w:val="18"/>
          <w:szCs w:val="18"/>
        </w:rPr>
        <w:t xml:space="preserve">. </w:t>
      </w:r>
      <w:r w:rsidRPr="00CB46BA">
        <w:rPr>
          <w:rFonts w:ascii="Arial" w:hAnsi="Arial" w:cs="Arial"/>
          <w:sz w:val="18"/>
          <w:szCs w:val="18"/>
        </w:rPr>
        <w:t xml:space="preserve"> Key performance indicators (KPIs) are not mentioned in ISAE 3000 (Revised), but typically, at this point in time, in a sustainability engagement the assurance scope is to report on selected KPIs.  </w:t>
      </w:r>
    </w:p>
  </w:footnote>
  <w:footnote w:id="13">
    <w:p w14:paraId="6B5E0A0D" w14:textId="5EE218FD" w:rsidR="00AB355B" w:rsidRPr="001E4F3B" w:rsidRDefault="00AB355B" w:rsidP="001E4F3B">
      <w:pPr>
        <w:pStyle w:val="FootnoteText"/>
        <w:spacing w:after="120"/>
        <w:jc w:val="both"/>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xml:space="preserve">. </w:t>
      </w:r>
      <w:r w:rsidRPr="00B85A40">
        <w:rPr>
          <w:rFonts w:ascii="Arial" w:hAnsi="Arial" w:cs="Arial"/>
          <w:sz w:val="18"/>
          <w:szCs w:val="18"/>
        </w:rPr>
        <w:t xml:space="preserve">ISAE 3000 (Revised), paragraph 24(b)(vi) and paragraph A56. [In full, </w:t>
      </w:r>
      <w:r w:rsidRPr="00B85A40">
        <w:rPr>
          <w:rFonts w:ascii="Arial" w:hAnsi="Arial" w:cs="Arial"/>
          <w:sz w:val="18"/>
          <w:szCs w:val="18"/>
          <w:lang w:val="en-US"/>
        </w:rPr>
        <w:t>ISAE 3000 (Revised), paragraph 24(b)(vi) states: “</w:t>
      </w:r>
      <w:r w:rsidRPr="007D7C21">
        <w:rPr>
          <w:rFonts w:ascii="Arial" w:hAnsi="Arial" w:cs="Arial"/>
          <w:i/>
          <w:sz w:val="18"/>
          <w:szCs w:val="18"/>
          <w:lang w:val="en-US"/>
        </w:rPr>
        <w:t xml:space="preserve">A rational purpose </w:t>
      </w:r>
      <w:r w:rsidRPr="007D7C21">
        <w:rPr>
          <w:rFonts w:ascii="Arial" w:hAnsi="Arial" w:cs="Arial"/>
          <w:b/>
          <w:i/>
          <w:sz w:val="18"/>
          <w:szCs w:val="18"/>
          <w:lang w:val="en-US"/>
        </w:rPr>
        <w:t>including, in the case of a limited assurance engagement, that the practitioner expects to be able to obtain a meaningful level of assurance</w:t>
      </w:r>
      <w:r w:rsidRPr="007D7C21">
        <w:rPr>
          <w:rFonts w:ascii="Arial" w:hAnsi="Arial" w:cs="Arial"/>
          <w:sz w:val="18"/>
          <w:szCs w:val="18"/>
          <w:lang w:val="en-US"/>
        </w:rPr>
        <w:t xml:space="preserve">”. The part of the paragraph highlighted in </w:t>
      </w:r>
      <w:r w:rsidRPr="007D7C21">
        <w:rPr>
          <w:rFonts w:ascii="Arial" w:hAnsi="Arial" w:cs="Arial"/>
          <w:b/>
          <w:sz w:val="18"/>
          <w:szCs w:val="18"/>
          <w:lang w:val="en-US"/>
        </w:rPr>
        <w:t>bold</w:t>
      </w:r>
      <w:r w:rsidRPr="007D7C21">
        <w:rPr>
          <w:rFonts w:ascii="Arial" w:hAnsi="Arial" w:cs="Arial"/>
          <w:sz w:val="18"/>
          <w:szCs w:val="18"/>
          <w:lang w:val="en-US"/>
        </w:rPr>
        <w:t xml:space="preserve"> is not addressed in this SAAEPS. The onus is on the practitioner to make such a determination based on preliminary knowledge of the engagement circumstances.]</w:t>
      </w:r>
      <w:r w:rsidRPr="001E4F3B">
        <w:rPr>
          <w:rFonts w:ascii="Arial" w:hAnsi="Arial" w:cs="Arial"/>
          <w:sz w:val="18"/>
          <w:szCs w:val="18"/>
        </w:rPr>
        <w:t xml:space="preserve"> </w:t>
      </w:r>
    </w:p>
  </w:footnote>
  <w:footnote w:id="14">
    <w:p w14:paraId="53DAC826" w14:textId="22C45E57" w:rsidR="00AB355B" w:rsidRPr="001E4F3B" w:rsidRDefault="00AB355B" w:rsidP="001E4F3B">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xml:space="preserve">. </w:t>
      </w:r>
      <w:r w:rsidRPr="007D7C21">
        <w:rPr>
          <w:rFonts w:ascii="Arial" w:hAnsi="Arial" w:cs="Arial"/>
          <w:sz w:val="18"/>
          <w:szCs w:val="18"/>
        </w:rPr>
        <w:t>ISAE 3000 (Revised), paragraph 24(b)(i).</w:t>
      </w:r>
      <w:r w:rsidRPr="001E4F3B">
        <w:rPr>
          <w:rFonts w:ascii="Arial" w:hAnsi="Arial" w:cs="Arial"/>
          <w:sz w:val="18"/>
          <w:szCs w:val="18"/>
        </w:rPr>
        <w:t xml:space="preserve"> </w:t>
      </w:r>
    </w:p>
  </w:footnote>
  <w:footnote w:id="15">
    <w:p w14:paraId="750E8D1D" w14:textId="0BB4FEC5" w:rsidR="00AB355B" w:rsidRPr="001E4F3B" w:rsidRDefault="00AB355B" w:rsidP="001E4F3B">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xml:space="preserve">. </w:t>
      </w:r>
      <w:r w:rsidRPr="007D7C21">
        <w:rPr>
          <w:rFonts w:ascii="Arial" w:hAnsi="Arial" w:cs="Arial"/>
          <w:sz w:val="18"/>
          <w:szCs w:val="18"/>
        </w:rPr>
        <w:t>ISAE 3000 (Revised), paragraph 24(b)(ii).</w:t>
      </w:r>
    </w:p>
  </w:footnote>
  <w:footnote w:id="16">
    <w:p w14:paraId="52213DF5" w14:textId="5EE0AE8D" w:rsidR="00AB355B" w:rsidRPr="0078082D" w:rsidRDefault="00AB355B" w:rsidP="00317C81">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12(a).</w:t>
      </w:r>
    </w:p>
  </w:footnote>
  <w:footnote w:id="17">
    <w:p w14:paraId="69046775" w14:textId="6C954A50" w:rsidR="00AB355B" w:rsidRPr="0078082D" w:rsidRDefault="00AB355B" w:rsidP="00317C81">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12(c).</w:t>
      </w:r>
    </w:p>
  </w:footnote>
  <w:footnote w:id="18">
    <w:p w14:paraId="3D7E637E" w14:textId="3650C45E" w:rsidR="00AB355B" w:rsidRPr="0078082D" w:rsidRDefault="00AB355B" w:rsidP="00317C81">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12(d).</w:t>
      </w:r>
    </w:p>
  </w:footnote>
  <w:footnote w:id="19">
    <w:p w14:paraId="4C01E8B3" w14:textId="538A13CD" w:rsidR="00AB355B" w:rsidRPr="0078082D" w:rsidRDefault="00AB355B" w:rsidP="00317C81">
      <w:pPr>
        <w:pStyle w:val="FootnoteText"/>
        <w:spacing w:after="120"/>
        <w:jc w:val="both"/>
        <w:rPr>
          <w:rFonts w:ascii="Arial" w:hAnsi="Arial" w:cs="Arial"/>
          <w:sz w:val="18"/>
          <w:szCs w:val="18"/>
        </w:rPr>
      </w:pPr>
      <w:r w:rsidRPr="0078082D">
        <w:rPr>
          <w:rFonts w:ascii="Arial" w:hAnsi="Arial" w:cs="Arial"/>
          <w:sz w:val="18"/>
          <w:szCs w:val="18"/>
        </w:rPr>
        <w:footnoteRef/>
      </w:r>
      <w:r w:rsidRPr="0078082D">
        <w:rPr>
          <w:rFonts w:ascii="Arial" w:hAnsi="Arial" w:cs="Arial"/>
          <w:sz w:val="18"/>
          <w:szCs w:val="18"/>
        </w:rPr>
        <w:t>. ISAE 3000 (Revised), paragraph 12(m).</w:t>
      </w:r>
    </w:p>
  </w:footnote>
  <w:footnote w:id="20">
    <w:p w14:paraId="5C1EB006" w14:textId="73268E83" w:rsidR="00AB355B" w:rsidRPr="0078082D" w:rsidRDefault="00AB355B" w:rsidP="00317C81">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12(x).</w:t>
      </w:r>
    </w:p>
  </w:footnote>
  <w:footnote w:id="21">
    <w:p w14:paraId="3DCF94B7" w14:textId="29363F23" w:rsidR="00AB355B" w:rsidRPr="0078082D" w:rsidRDefault="00AB355B" w:rsidP="00317C81">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12(y).</w:t>
      </w:r>
    </w:p>
  </w:footnote>
  <w:footnote w:id="22">
    <w:p w14:paraId="39DE73A2" w14:textId="77777777" w:rsidR="00AB355B" w:rsidRPr="0078082D" w:rsidRDefault="00AB355B" w:rsidP="00D37E00">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r w:rsidRPr="0078082D">
        <w:rPr>
          <w:rFonts w:ascii="Arial" w:hAnsi="Arial" w:cs="Arial"/>
          <w:iCs/>
          <w:sz w:val="18"/>
          <w:szCs w:val="18"/>
          <w:lang w:val="en-US"/>
        </w:rPr>
        <w:t>Source:</w:t>
      </w:r>
      <w:r w:rsidRPr="0078082D">
        <w:rPr>
          <w:rFonts w:ascii="Arial" w:hAnsi="Arial" w:cs="Arial"/>
          <w:i/>
          <w:iCs/>
          <w:sz w:val="18"/>
          <w:szCs w:val="18"/>
          <w:lang w:val="en-US"/>
        </w:rPr>
        <w:t xml:space="preserve"> </w:t>
      </w:r>
      <w:hyperlink r:id="rId1" w:history="1">
        <w:r w:rsidRPr="0078082D">
          <w:rPr>
            <w:rStyle w:val="Hyperlink"/>
            <w:rFonts w:ascii="Arial" w:hAnsi="Arial" w:cs="Arial"/>
            <w:i/>
            <w:iCs/>
            <w:sz w:val="18"/>
            <w:szCs w:val="18"/>
            <w:lang w:val="en-US"/>
          </w:rPr>
          <w:t>GRI Standards Glossary 2016</w:t>
        </w:r>
      </w:hyperlink>
      <w:r w:rsidRPr="0078082D">
        <w:rPr>
          <w:rFonts w:ascii="Arial" w:hAnsi="Arial" w:cs="Arial"/>
          <w:i/>
          <w:iCs/>
          <w:sz w:val="18"/>
          <w:szCs w:val="18"/>
          <w:lang w:val="en-US"/>
        </w:rPr>
        <w:t xml:space="preserve">, </w:t>
      </w:r>
      <w:r w:rsidRPr="0078082D">
        <w:rPr>
          <w:rFonts w:ascii="Arial" w:hAnsi="Arial" w:cs="Arial"/>
          <w:iCs/>
          <w:sz w:val="18"/>
          <w:szCs w:val="18"/>
          <w:lang w:val="en-US"/>
        </w:rPr>
        <w:t>page 16.</w:t>
      </w:r>
    </w:p>
  </w:footnote>
  <w:footnote w:id="23">
    <w:p w14:paraId="7022B4D2" w14:textId="161AA14A" w:rsidR="00AB355B" w:rsidRPr="0078082D" w:rsidRDefault="00AB355B" w:rsidP="00317C81">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hyperlink r:id="rId2" w:history="1">
        <w:r w:rsidRPr="0078082D">
          <w:rPr>
            <w:rStyle w:val="Hyperlink"/>
            <w:rFonts w:ascii="Arial" w:hAnsi="Arial" w:cs="Arial"/>
            <w:sz w:val="18"/>
            <w:szCs w:val="18"/>
          </w:rPr>
          <w:t>https://www.globalreporting.org/standards/</w:t>
        </w:r>
      </w:hyperlink>
      <w:r w:rsidRPr="0078082D">
        <w:rPr>
          <w:rStyle w:val="Hyperlink"/>
          <w:rFonts w:ascii="Arial" w:hAnsi="Arial" w:cs="Arial"/>
          <w:sz w:val="18"/>
          <w:szCs w:val="18"/>
        </w:rPr>
        <w:t>.</w:t>
      </w:r>
    </w:p>
  </w:footnote>
  <w:footnote w:id="24">
    <w:p w14:paraId="26220EAC" w14:textId="16AA60D6" w:rsidR="00AB355B" w:rsidRPr="0078082D" w:rsidRDefault="00AB355B" w:rsidP="00317C81">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hyperlink r:id="rId3" w:history="1">
        <w:r w:rsidRPr="0078082D">
          <w:rPr>
            <w:rStyle w:val="Hyperlink"/>
            <w:rFonts w:ascii="Arial" w:hAnsi="Arial" w:cs="Arial"/>
            <w:sz w:val="18"/>
            <w:szCs w:val="18"/>
          </w:rPr>
          <w:t>http://www.ghgprotocol.org/</w:t>
        </w:r>
      </w:hyperlink>
      <w:r w:rsidRPr="0078082D">
        <w:rPr>
          <w:rStyle w:val="Hyperlink"/>
          <w:rFonts w:ascii="Arial" w:hAnsi="Arial" w:cs="Arial"/>
          <w:sz w:val="18"/>
          <w:szCs w:val="18"/>
        </w:rPr>
        <w:t>.</w:t>
      </w:r>
    </w:p>
  </w:footnote>
  <w:footnote w:id="25">
    <w:p w14:paraId="654AA445" w14:textId="2151BA20" w:rsidR="00AB355B" w:rsidRPr="0078082D" w:rsidRDefault="00AB355B" w:rsidP="00317C81">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hyperlink r:id="rId4" w:history="1">
        <w:r w:rsidRPr="0078082D">
          <w:rPr>
            <w:rStyle w:val="Hyperlink"/>
            <w:rFonts w:ascii="Arial" w:hAnsi="Arial" w:cs="Arial"/>
            <w:sz w:val="18"/>
            <w:szCs w:val="18"/>
          </w:rPr>
          <w:t>https://www.unglobalcompact.org/</w:t>
        </w:r>
      </w:hyperlink>
      <w:r w:rsidRPr="0078082D">
        <w:rPr>
          <w:rStyle w:val="Hyperlink"/>
          <w:rFonts w:ascii="Arial" w:hAnsi="Arial" w:cs="Arial"/>
          <w:sz w:val="18"/>
          <w:szCs w:val="18"/>
        </w:rPr>
        <w:t>.</w:t>
      </w:r>
    </w:p>
  </w:footnote>
  <w:footnote w:id="26">
    <w:p w14:paraId="650C12EF" w14:textId="229D3DDC" w:rsidR="00AB355B" w:rsidRPr="0078082D" w:rsidRDefault="00AB355B" w:rsidP="00437A23">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12(c).</w:t>
      </w:r>
    </w:p>
  </w:footnote>
  <w:footnote w:id="27">
    <w:p w14:paraId="36ED1934" w14:textId="3A46274A" w:rsidR="00AB355B" w:rsidRPr="0078082D" w:rsidRDefault="00AB355B" w:rsidP="00317C81">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ISAE 3000 (Revised), paragraph A56, contains six considerations that may be relevant in determining whether the engagement has a rational purpose. Except for the two considerations dealt with in this SAAEPS, all other considerations are beyond the scope of this SAAEPS. </w:t>
      </w:r>
      <w:r w:rsidRPr="0078082D">
        <w:rPr>
          <w:rFonts w:ascii="Arial" w:hAnsi="Arial" w:cs="Arial"/>
          <w:sz w:val="18"/>
          <w:szCs w:val="18"/>
          <w:lang w:val="en-US"/>
        </w:rPr>
        <w:t>The onus is on the practitioner to make such a determination, based on a preliminary knowledge of the engagement circumstances, to address the remaining four considerations</w:t>
      </w:r>
      <w:r>
        <w:rPr>
          <w:rFonts w:ascii="Arial" w:hAnsi="Arial" w:cs="Arial"/>
          <w:sz w:val="18"/>
          <w:szCs w:val="18"/>
          <w:lang w:val="en-US"/>
        </w:rPr>
        <w:t xml:space="preserve"> or any other relevant considerations</w:t>
      </w:r>
      <w:r w:rsidRPr="0078082D">
        <w:rPr>
          <w:rFonts w:ascii="Arial" w:hAnsi="Arial" w:cs="Arial"/>
          <w:sz w:val="18"/>
          <w:szCs w:val="18"/>
          <w:lang w:val="en-US"/>
        </w:rPr>
        <w:t>.</w:t>
      </w:r>
    </w:p>
  </w:footnote>
  <w:footnote w:id="28">
    <w:p w14:paraId="1DCCAEAE" w14:textId="47E56E4A" w:rsidR="00AB355B" w:rsidRPr="0078082D" w:rsidRDefault="00AB355B">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hyperlink r:id="rId5" w:history="1">
        <w:r w:rsidRPr="0078082D">
          <w:rPr>
            <w:rStyle w:val="Hyperlink"/>
            <w:rFonts w:ascii="Arial" w:hAnsi="Arial" w:cs="Arial"/>
            <w:sz w:val="18"/>
            <w:szCs w:val="18"/>
          </w:rPr>
          <w:t>King IV Report on Corporate Governance for South Africa 2016</w:t>
        </w:r>
      </w:hyperlink>
      <w:r w:rsidRPr="0078082D">
        <w:rPr>
          <w:rFonts w:ascii="Arial" w:hAnsi="Arial" w:cs="Arial"/>
          <w:sz w:val="18"/>
          <w:szCs w:val="18"/>
        </w:rPr>
        <w:t>, Part 5.2, Strategy, Performance and Reporting, Principle 5 Reporting Recommended Practices.</w:t>
      </w:r>
      <w:r>
        <w:rPr>
          <w:rFonts w:ascii="Arial" w:hAnsi="Arial" w:cs="Arial"/>
          <w:sz w:val="18"/>
          <w:szCs w:val="18"/>
        </w:rPr>
        <w:t xml:space="preserve"> This would include where certain aspects are covered by other elements of the combined assurance model.</w:t>
      </w:r>
    </w:p>
  </w:footnote>
  <w:footnote w:id="29">
    <w:p w14:paraId="63E8DEDB" w14:textId="68F1FC6E" w:rsidR="00AB355B" w:rsidRPr="007C715D" w:rsidRDefault="00AB355B" w:rsidP="007C715D">
      <w:pPr>
        <w:pStyle w:val="FootnoteText"/>
        <w:spacing w:after="120"/>
        <w:jc w:val="both"/>
        <w:rPr>
          <w:lang w:val="en-US"/>
        </w:rPr>
      </w:pPr>
      <w:r w:rsidRPr="007C715D">
        <w:rPr>
          <w:rStyle w:val="FootnoteReference"/>
          <w:rFonts w:ascii="Arial" w:hAnsi="Arial" w:cs="Arial"/>
          <w:sz w:val="18"/>
          <w:szCs w:val="18"/>
        </w:rPr>
        <w:footnoteRef/>
      </w:r>
      <w:r w:rsidRPr="007C715D">
        <w:rPr>
          <w:rFonts w:ascii="Arial" w:hAnsi="Arial" w:cs="Arial"/>
          <w:sz w:val="18"/>
          <w:szCs w:val="18"/>
        </w:rPr>
        <w:t xml:space="preserve"> Paragraph A56 of ISAE 3000 (Revised) sets out relevant considerations in determining whether the assurance engagement </w:t>
      </w:r>
      <w:r>
        <w:rPr>
          <w:rFonts w:ascii="Arial" w:hAnsi="Arial" w:cs="Arial"/>
          <w:sz w:val="18"/>
          <w:szCs w:val="18"/>
        </w:rPr>
        <w:t>exhibits</w:t>
      </w:r>
      <w:r w:rsidRPr="007C715D">
        <w:rPr>
          <w:rFonts w:ascii="Arial" w:hAnsi="Arial" w:cs="Arial"/>
          <w:sz w:val="18"/>
          <w:szCs w:val="18"/>
        </w:rPr>
        <w:t xml:space="preserve"> a rational purpose. These considerations may also be considered individually and collectively and no individual consideration may necessarily indicate that the engagement has a rational purpose. The practitioner may apply professional judgment in evaluating the impact of the relevant considerations in the circumstances of a</w:t>
      </w:r>
      <w:r>
        <w:rPr>
          <w:rFonts w:ascii="Arial" w:hAnsi="Arial" w:cs="Arial"/>
          <w:sz w:val="18"/>
          <w:szCs w:val="18"/>
        </w:rPr>
        <w:t xml:space="preserve"> sustainability</w:t>
      </w:r>
      <w:r w:rsidRPr="007C715D">
        <w:rPr>
          <w:rFonts w:ascii="Arial" w:hAnsi="Arial" w:cs="Arial"/>
          <w:sz w:val="18"/>
          <w:szCs w:val="18"/>
        </w:rPr>
        <w:t xml:space="preserve"> assurance engagement</w:t>
      </w:r>
      <w:r>
        <w:rPr>
          <w:rFonts w:ascii="Arial" w:hAnsi="Arial" w:cs="Arial"/>
          <w:sz w:val="18"/>
          <w:szCs w:val="18"/>
        </w:rPr>
        <w:t>.</w:t>
      </w:r>
    </w:p>
  </w:footnote>
  <w:footnote w:id="30">
    <w:p w14:paraId="4A585892" w14:textId="16487750" w:rsidR="00AB355B" w:rsidRPr="007C715D" w:rsidRDefault="00AB355B" w:rsidP="007C715D">
      <w:pPr>
        <w:pStyle w:val="FootnoteText"/>
        <w:spacing w:after="120"/>
        <w:rPr>
          <w:lang w:val="en-US"/>
        </w:rPr>
      </w:pPr>
      <w:r w:rsidRPr="007C715D">
        <w:rPr>
          <w:rStyle w:val="FootnoteReference"/>
          <w:rFonts w:ascii="Arial" w:hAnsi="Arial" w:cs="Arial"/>
          <w:sz w:val="18"/>
          <w:szCs w:val="18"/>
        </w:rPr>
        <w:footnoteRef/>
      </w:r>
      <w:r w:rsidRPr="007C715D">
        <w:rPr>
          <w:rFonts w:ascii="Arial" w:hAnsi="Arial" w:cs="Arial"/>
          <w:sz w:val="18"/>
          <w:szCs w:val="18"/>
        </w:rPr>
        <w:t xml:space="preserve"> </w:t>
      </w:r>
      <w:r w:rsidRPr="00E831E8">
        <w:rPr>
          <w:rFonts w:ascii="Arial" w:hAnsi="Arial" w:cs="Arial"/>
          <w:sz w:val="18"/>
          <w:szCs w:val="18"/>
          <w:lang w:val="en-US"/>
        </w:rPr>
        <w:t>ISAE 3000 (Revised), paragraph</w:t>
      </w:r>
      <w:r w:rsidRPr="00D170D1">
        <w:rPr>
          <w:rFonts w:ascii="Arial" w:hAnsi="Arial" w:cs="Arial"/>
          <w:sz w:val="18"/>
          <w:szCs w:val="18"/>
          <w:lang w:val="en-US"/>
        </w:rPr>
        <w:t xml:space="preserve"> A40.</w:t>
      </w:r>
    </w:p>
  </w:footnote>
  <w:footnote w:id="31">
    <w:p w14:paraId="1029D87F" w14:textId="3E396FA5" w:rsidR="00AB355B" w:rsidRPr="0078082D" w:rsidRDefault="00AB355B" w:rsidP="00C72611">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r w:rsidRPr="0078082D">
        <w:rPr>
          <w:rFonts w:ascii="Arial" w:hAnsi="Arial" w:cs="Arial"/>
          <w:sz w:val="18"/>
          <w:szCs w:val="18"/>
          <w:lang w:val="en-US"/>
        </w:rPr>
        <w:t>ISAE 3000 (Revised), paragraph A10.</w:t>
      </w:r>
    </w:p>
  </w:footnote>
  <w:footnote w:id="32">
    <w:p w14:paraId="354F5167" w14:textId="71223906" w:rsidR="00AB355B" w:rsidRPr="0078082D" w:rsidRDefault="00AB355B" w:rsidP="0042750A">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A45.</w:t>
      </w:r>
    </w:p>
  </w:footnote>
  <w:footnote w:id="33">
    <w:p w14:paraId="172D50D3" w14:textId="48F2873A" w:rsidR="00AB355B" w:rsidRPr="0078082D" w:rsidRDefault="00AB355B" w:rsidP="0042750A">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A49.</w:t>
      </w:r>
    </w:p>
  </w:footnote>
  <w:footnote w:id="34">
    <w:p w14:paraId="4A17CA0D" w14:textId="1B3A9337" w:rsidR="00AB355B" w:rsidRPr="0078082D" w:rsidRDefault="00AB355B" w:rsidP="005F27B6">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r w:rsidRPr="0078082D">
        <w:rPr>
          <w:rFonts w:ascii="Arial" w:hAnsi="Arial" w:cs="Arial"/>
          <w:sz w:val="18"/>
          <w:szCs w:val="18"/>
          <w:lang w:val="en-US"/>
        </w:rPr>
        <w:t>ISAE 3000 (Revised), paragraph A49.</w:t>
      </w:r>
    </w:p>
  </w:footnote>
  <w:footnote w:id="35">
    <w:p w14:paraId="47998A2D" w14:textId="27BFE9DA" w:rsidR="00AB355B" w:rsidRPr="008A514C" w:rsidRDefault="00AB355B" w:rsidP="008A514C">
      <w:pPr>
        <w:pStyle w:val="FootnoteText"/>
        <w:spacing w:after="120"/>
        <w:jc w:val="both"/>
        <w:rPr>
          <w:rFonts w:ascii="Arial" w:hAnsi="Arial" w:cs="Arial"/>
          <w:sz w:val="18"/>
          <w:szCs w:val="18"/>
          <w:lang w:val="en-US"/>
        </w:rPr>
      </w:pPr>
      <w:r w:rsidRPr="008A514C">
        <w:rPr>
          <w:rStyle w:val="FootnoteReference"/>
          <w:rFonts w:ascii="Arial" w:hAnsi="Arial" w:cs="Arial"/>
          <w:sz w:val="18"/>
          <w:szCs w:val="18"/>
        </w:rPr>
        <w:footnoteRef/>
      </w:r>
      <w:r w:rsidRPr="008A514C">
        <w:rPr>
          <w:rFonts w:ascii="Arial" w:hAnsi="Arial" w:cs="Arial"/>
          <w:sz w:val="18"/>
          <w:szCs w:val="18"/>
        </w:rPr>
        <w:t>. ISAE 3000 (Revised), paragraph 24(b)(ii).</w:t>
      </w:r>
    </w:p>
  </w:footnote>
  <w:footnote w:id="36">
    <w:p w14:paraId="796299B8" w14:textId="77AC7114" w:rsidR="00AB355B" w:rsidRPr="008A514C" w:rsidRDefault="00AB355B" w:rsidP="008A514C">
      <w:pPr>
        <w:pStyle w:val="FootnoteText"/>
        <w:spacing w:after="120"/>
        <w:jc w:val="both"/>
        <w:rPr>
          <w:rFonts w:ascii="Arial" w:hAnsi="Arial" w:cs="Arial"/>
          <w:sz w:val="18"/>
          <w:szCs w:val="18"/>
          <w:lang w:val="en-US"/>
        </w:rPr>
      </w:pPr>
      <w:r w:rsidRPr="008A514C">
        <w:rPr>
          <w:rStyle w:val="FootnoteReference"/>
          <w:rFonts w:ascii="Arial" w:hAnsi="Arial" w:cs="Arial"/>
          <w:sz w:val="18"/>
          <w:szCs w:val="18"/>
        </w:rPr>
        <w:footnoteRef/>
      </w:r>
      <w:r w:rsidRPr="008A514C">
        <w:rPr>
          <w:rFonts w:ascii="Arial" w:hAnsi="Arial" w:cs="Arial"/>
          <w:sz w:val="18"/>
          <w:szCs w:val="18"/>
        </w:rPr>
        <w:t xml:space="preserve">. </w:t>
      </w:r>
      <w:r w:rsidRPr="008A514C">
        <w:rPr>
          <w:rFonts w:ascii="Arial" w:hAnsi="Arial" w:cs="Arial"/>
          <w:sz w:val="18"/>
          <w:szCs w:val="18"/>
          <w:lang w:val="en-US"/>
        </w:rPr>
        <w:t>ISAE 3000 (Revised), paragraph 25.</w:t>
      </w:r>
    </w:p>
  </w:footnote>
  <w:footnote w:id="37">
    <w:p w14:paraId="7ACA619D" w14:textId="2D7AF671" w:rsidR="00AB355B" w:rsidRPr="008A514C" w:rsidRDefault="00AB355B" w:rsidP="008A514C">
      <w:pPr>
        <w:pStyle w:val="FootnoteText"/>
        <w:spacing w:after="120"/>
        <w:jc w:val="both"/>
        <w:rPr>
          <w:rFonts w:ascii="Arial" w:hAnsi="Arial" w:cs="Arial"/>
          <w:sz w:val="18"/>
          <w:szCs w:val="18"/>
          <w:lang w:val="en-US"/>
        </w:rPr>
      </w:pPr>
      <w:r w:rsidRPr="008A514C">
        <w:rPr>
          <w:rStyle w:val="FootnoteReference"/>
          <w:rFonts w:ascii="Arial" w:hAnsi="Arial" w:cs="Arial"/>
          <w:sz w:val="18"/>
          <w:szCs w:val="18"/>
        </w:rPr>
        <w:footnoteRef/>
      </w:r>
      <w:r w:rsidRPr="008A514C">
        <w:rPr>
          <w:rFonts w:ascii="Arial" w:hAnsi="Arial" w:cs="Arial"/>
          <w:sz w:val="18"/>
          <w:szCs w:val="18"/>
        </w:rPr>
        <w:t xml:space="preserve">. </w:t>
      </w:r>
      <w:r w:rsidRPr="008A514C">
        <w:rPr>
          <w:rFonts w:ascii="Arial" w:hAnsi="Arial" w:cs="Arial"/>
          <w:sz w:val="18"/>
          <w:szCs w:val="18"/>
          <w:lang w:val="en-US"/>
        </w:rPr>
        <w:t xml:space="preserve">ISRS 4400, </w:t>
      </w:r>
      <w:r w:rsidRPr="008A514C">
        <w:rPr>
          <w:rFonts w:ascii="Arial" w:hAnsi="Arial" w:cs="Arial"/>
          <w:i/>
          <w:sz w:val="18"/>
          <w:szCs w:val="18"/>
          <w:lang w:val="en-US"/>
        </w:rPr>
        <w:t>Engagements to Perform Agreed-upon Procedures Regarding Financial Information</w:t>
      </w:r>
      <w:r w:rsidRPr="008A514C">
        <w:rPr>
          <w:rFonts w:ascii="Arial" w:hAnsi="Arial" w:cs="Arial"/>
          <w:sz w:val="18"/>
          <w:szCs w:val="18"/>
          <w:lang w:val="en-US"/>
        </w:rPr>
        <w:t>.</w:t>
      </w:r>
    </w:p>
  </w:footnote>
  <w:footnote w:id="38">
    <w:p w14:paraId="3CD9E77A" w14:textId="77777777" w:rsidR="00AB355B" w:rsidRPr="00EE0AC2" w:rsidRDefault="00AB355B" w:rsidP="00A441CF">
      <w:pPr>
        <w:pStyle w:val="FootnoteText"/>
        <w:spacing w:after="120"/>
        <w:rPr>
          <w:rFonts w:ascii="Arial" w:hAnsi="Arial" w:cs="Arial"/>
          <w:sz w:val="18"/>
          <w:szCs w:val="18"/>
          <w:lang w:val="en-US"/>
        </w:rPr>
      </w:pPr>
      <w:r w:rsidRPr="00EE0AC2">
        <w:rPr>
          <w:rStyle w:val="FootnoteReference"/>
          <w:rFonts w:ascii="Arial" w:hAnsi="Arial" w:cs="Arial"/>
          <w:sz w:val="18"/>
          <w:szCs w:val="18"/>
        </w:rPr>
        <w:footnoteRef/>
      </w:r>
      <w:r w:rsidRPr="00EE0AC2">
        <w:rPr>
          <w:rFonts w:ascii="Arial" w:hAnsi="Arial" w:cs="Arial"/>
          <w:sz w:val="18"/>
          <w:szCs w:val="18"/>
        </w:rPr>
        <w:t xml:space="preserve">. </w:t>
      </w:r>
      <w:r w:rsidRPr="00EE0AC2">
        <w:rPr>
          <w:rFonts w:ascii="Arial" w:hAnsi="Arial" w:cs="Arial"/>
          <w:sz w:val="18"/>
          <w:szCs w:val="18"/>
          <w:lang w:val="en-US"/>
        </w:rPr>
        <w:t>ISAE 3000 (Revised), paragraph 21.</w:t>
      </w:r>
    </w:p>
  </w:footnote>
  <w:footnote w:id="39">
    <w:p w14:paraId="79558B5F" w14:textId="6FE7F189" w:rsidR="00AB355B" w:rsidRPr="008A514C" w:rsidRDefault="00AB355B" w:rsidP="008A514C">
      <w:pPr>
        <w:pStyle w:val="FootnoteText"/>
        <w:spacing w:after="120"/>
        <w:jc w:val="both"/>
        <w:rPr>
          <w:rFonts w:ascii="Arial" w:hAnsi="Arial" w:cs="Arial"/>
          <w:sz w:val="18"/>
          <w:szCs w:val="18"/>
          <w:lang w:val="en-US"/>
        </w:rPr>
      </w:pPr>
      <w:r w:rsidRPr="008A514C">
        <w:rPr>
          <w:rStyle w:val="FootnoteReference"/>
          <w:rFonts w:ascii="Arial" w:hAnsi="Arial" w:cs="Arial"/>
          <w:sz w:val="18"/>
          <w:szCs w:val="18"/>
        </w:rPr>
        <w:footnoteRef/>
      </w:r>
      <w:r w:rsidRPr="008A514C">
        <w:rPr>
          <w:rFonts w:ascii="Arial" w:hAnsi="Arial" w:cs="Arial"/>
          <w:sz w:val="18"/>
          <w:szCs w:val="18"/>
        </w:rPr>
        <w:t xml:space="preserve">. </w:t>
      </w:r>
      <w:r w:rsidRPr="008A514C">
        <w:rPr>
          <w:rFonts w:ascii="Arial" w:hAnsi="Arial" w:cs="Arial"/>
          <w:sz w:val="18"/>
          <w:szCs w:val="18"/>
          <w:lang w:val="en-US"/>
        </w:rPr>
        <w:t>ISAE 3000 (Revised), paragraph 79(a).</w:t>
      </w:r>
    </w:p>
  </w:footnote>
  <w:footnote w:id="40">
    <w:p w14:paraId="0C19FC24" w14:textId="6453331B" w:rsidR="00AB355B" w:rsidRPr="008A514C" w:rsidRDefault="00AB355B" w:rsidP="008A514C">
      <w:pPr>
        <w:pStyle w:val="FootnoteText"/>
        <w:spacing w:after="120"/>
        <w:jc w:val="both"/>
        <w:rPr>
          <w:rFonts w:ascii="Arial" w:hAnsi="Arial" w:cs="Arial"/>
          <w:sz w:val="18"/>
          <w:szCs w:val="18"/>
          <w:lang w:val="en-US"/>
        </w:rPr>
      </w:pPr>
      <w:r w:rsidRPr="008A514C">
        <w:rPr>
          <w:rStyle w:val="FootnoteReference"/>
          <w:rFonts w:ascii="Arial" w:hAnsi="Arial" w:cs="Arial"/>
          <w:sz w:val="18"/>
          <w:szCs w:val="18"/>
        </w:rPr>
        <w:footnoteRef/>
      </w:r>
      <w:r w:rsidRPr="008A514C">
        <w:rPr>
          <w:rFonts w:ascii="Arial" w:hAnsi="Arial" w:cs="Arial"/>
          <w:sz w:val="18"/>
          <w:szCs w:val="18"/>
        </w:rPr>
        <w:t xml:space="preserve">. </w:t>
      </w:r>
      <w:r w:rsidRPr="008A514C">
        <w:rPr>
          <w:rFonts w:ascii="Arial" w:hAnsi="Arial" w:cs="Arial"/>
          <w:sz w:val="18"/>
          <w:szCs w:val="18"/>
          <w:lang w:val="en-US"/>
        </w:rPr>
        <w:t>ISAE 3000 (Revised), paragraph A193.</w:t>
      </w:r>
    </w:p>
  </w:footnote>
  <w:footnote w:id="41">
    <w:p w14:paraId="1A6B0ED7" w14:textId="66DC8838" w:rsidR="00AB355B" w:rsidRPr="008A514C" w:rsidRDefault="00AB355B" w:rsidP="008A514C">
      <w:pPr>
        <w:pStyle w:val="FootnoteText"/>
        <w:spacing w:after="120"/>
        <w:jc w:val="both"/>
        <w:rPr>
          <w:rFonts w:ascii="Arial" w:hAnsi="Arial" w:cs="Arial"/>
          <w:sz w:val="18"/>
          <w:szCs w:val="18"/>
          <w:lang w:val="en-US"/>
        </w:rPr>
      </w:pPr>
      <w:r w:rsidRPr="008A514C">
        <w:rPr>
          <w:rStyle w:val="FootnoteReference"/>
          <w:rFonts w:ascii="Arial" w:hAnsi="Arial" w:cs="Arial"/>
          <w:sz w:val="18"/>
          <w:szCs w:val="18"/>
        </w:rPr>
        <w:footnoteRef/>
      </w:r>
      <w:r w:rsidRPr="008A514C">
        <w:rPr>
          <w:rFonts w:ascii="Arial" w:hAnsi="Arial" w:cs="Arial"/>
          <w:sz w:val="18"/>
          <w:szCs w:val="18"/>
        </w:rPr>
        <w:t xml:space="preserve">. </w:t>
      </w:r>
      <w:r w:rsidRPr="008A514C">
        <w:rPr>
          <w:rFonts w:ascii="Arial" w:hAnsi="Arial" w:cs="Arial"/>
          <w:sz w:val="18"/>
          <w:szCs w:val="18"/>
          <w:lang w:val="en-US"/>
        </w:rPr>
        <w:t>ISAE 3000 (Revised), paragraph A195.</w:t>
      </w:r>
    </w:p>
  </w:footnote>
  <w:footnote w:id="42">
    <w:p w14:paraId="4FAA4914" w14:textId="77777777" w:rsidR="00AB355B" w:rsidRPr="0078082D" w:rsidRDefault="00AB355B" w:rsidP="00B80D65">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r w:rsidRPr="0078082D">
        <w:rPr>
          <w:rFonts w:ascii="Arial" w:hAnsi="Arial" w:cs="Arial"/>
          <w:sz w:val="18"/>
          <w:szCs w:val="18"/>
          <w:lang w:val="en-US"/>
        </w:rPr>
        <w:t>ISAE 3000 (Revised), paragraph A10.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A1F3" w14:textId="77777777" w:rsidR="00AB355B" w:rsidRPr="00AD791C" w:rsidRDefault="00AB355B" w:rsidP="008F6B31">
    <w:pPr>
      <w:pStyle w:val="Header"/>
    </w:pPr>
    <w:r w:rsidRPr="00AD791C">
      <w:t>FINANCIAL REPORTING FRAMEWORKS AND AUDIT OPINIONS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2E393" w14:textId="00A956DD" w:rsidR="00AB355B" w:rsidRPr="008B12E1" w:rsidRDefault="00AB355B" w:rsidP="00EF67DB">
    <w:pPr>
      <w:pStyle w:val="Header"/>
      <w:jc w:val="center"/>
    </w:pPr>
    <w:r w:rsidRPr="008B12E1">
      <w:rPr>
        <w:lang w:val="en-US"/>
      </w:rPr>
      <w:t>REQUEST FOR COMMENTS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F1B27" w14:textId="5B323C64" w:rsidR="00E02035" w:rsidRPr="00C92B25" w:rsidRDefault="00046794" w:rsidP="00046794">
    <w:pPr>
      <w:pStyle w:val="Header"/>
      <w:rPr>
        <w:b/>
        <w:bCs/>
        <w:sz w:val="24"/>
        <w:szCs w:val="24"/>
        <w:lang w:val="en-US"/>
      </w:rPr>
    </w:pPr>
    <w:r>
      <w:rPr>
        <w:b/>
        <w:bCs/>
        <w:sz w:val="24"/>
        <w:szCs w:val="24"/>
        <w:lang w:val="en-US"/>
      </w:rPr>
      <w:tab/>
    </w:r>
    <w:r>
      <w:rPr>
        <w:b/>
        <w:bCs/>
        <w:sz w:val="24"/>
        <w:szCs w:val="24"/>
        <w:lang w:val="en-U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D6CDB" w14:textId="40A41E9F" w:rsidR="00AB355B" w:rsidRDefault="00AB355B" w:rsidP="00EF67DB">
    <w:pPr>
      <w:pStyle w:val="Header"/>
      <w:jc w:val="center"/>
      <w:rPr>
        <w:rFonts w:cs="Arial"/>
      </w:rPr>
    </w:pPr>
    <w:r>
      <w:rPr>
        <w:rFonts w:cs="Arial"/>
      </w:rPr>
      <w:t xml:space="preserve">SOUTH AFRICAN ASSURANCE ENGAGEMENTS PRACTICE STATEMENT (SAAEPS) </w:t>
    </w:r>
    <w:r w:rsidRPr="005D5DE3">
      <w:rPr>
        <w:rFonts w:cs="Arial"/>
      </w:rPr>
      <w:t xml:space="preserve">1 </w:t>
    </w:r>
  </w:p>
  <w:p w14:paraId="1A232095" w14:textId="514957E0" w:rsidR="00AB355B" w:rsidRDefault="00AB355B" w:rsidP="00EF67DB">
    <w:pPr>
      <w:pStyle w:val="Header"/>
      <w:jc w:val="center"/>
      <w:rPr>
        <w:rFonts w:cs="Arial"/>
      </w:rPr>
    </w:pPr>
    <w:r>
      <w:rPr>
        <w:rFonts w:cs="Arial"/>
      </w:rPr>
      <w:t xml:space="preserve">SUSTAINABILITY </w:t>
    </w:r>
    <w:r w:rsidRPr="00C50F32">
      <w:t>ASSURANCE</w:t>
    </w:r>
    <w:r>
      <w:t xml:space="preserve"> ENGAGEMENTS</w:t>
    </w:r>
    <w:r w:rsidRPr="00C50F32">
      <w:t xml:space="preserve">: </w:t>
    </w:r>
    <w:r w:rsidRPr="00C50F32">
      <w:rPr>
        <w:rFonts w:cs="Arial"/>
      </w:rPr>
      <w:t>RATIONAL PURPOSE, APPROPRIATENESS OF UNDERLYING SUBJECT MATTER AND SUITABILITY OF CRITERIA</w:t>
    </w:r>
  </w:p>
  <w:p w14:paraId="76CE08A0" w14:textId="77777777" w:rsidR="00AB355B" w:rsidRPr="005D5DE3" w:rsidRDefault="00AB355B" w:rsidP="00EF67D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3B18"/>
    <w:multiLevelType w:val="hybridMultilevel"/>
    <w:tmpl w:val="73285B68"/>
    <w:lvl w:ilvl="0" w:tplc="B64E5E60">
      <w:start w:val="1"/>
      <w:numFmt w:val="decimal"/>
      <w:lvlText w:val="Example %1"/>
      <w:lvlJc w:val="left"/>
      <w:pPr>
        <w:tabs>
          <w:tab w:val="num" w:pos="1080"/>
        </w:tabs>
        <w:ind w:left="720" w:hanging="720"/>
      </w:pPr>
      <w:rPr>
        <w:b/>
        <w:i w:val="0"/>
        <w:sz w:val="22"/>
      </w:rPr>
    </w:lvl>
    <w:lvl w:ilvl="1" w:tplc="12129D92">
      <w:start w:val="1"/>
      <w:numFmt w:val="bullet"/>
      <w:pStyle w:val="bullet"/>
      <w:lvlText w:val=""/>
      <w:lvlJc w:val="left"/>
      <w:pPr>
        <w:tabs>
          <w:tab w:val="num" w:pos="1440"/>
        </w:tabs>
        <w:ind w:left="1440" w:hanging="360"/>
      </w:pPr>
      <w:rPr>
        <w:rFonts w:ascii="Wingdings" w:hAnsi="Wingdings" w:hint="default"/>
        <w:sz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3297001"/>
    <w:multiLevelType w:val="hybridMultilevel"/>
    <w:tmpl w:val="42D09A76"/>
    <w:lvl w:ilvl="0" w:tplc="1C090003">
      <w:start w:val="1"/>
      <w:numFmt w:val="bullet"/>
      <w:lvlText w:val="o"/>
      <w:lvlJc w:val="left"/>
      <w:pPr>
        <w:ind w:left="1854" w:hanging="360"/>
      </w:pPr>
      <w:rPr>
        <w:rFonts w:ascii="Courier New" w:hAnsi="Courier New" w:cs="Courier New" w:hint="default"/>
      </w:rPr>
    </w:lvl>
    <w:lvl w:ilvl="1" w:tplc="1C090003">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2" w15:restartNumberingAfterBreak="0">
    <w:nsid w:val="0AFD3C59"/>
    <w:multiLevelType w:val="multilevel"/>
    <w:tmpl w:val="08424CEE"/>
    <w:lvl w:ilvl="0">
      <w:start w:val="1"/>
      <w:numFmt w:val="decimal"/>
      <w:lvlText w:val="%1."/>
      <w:lvlJc w:val="left"/>
      <w:pPr>
        <w:tabs>
          <w:tab w:val="num" w:pos="567"/>
        </w:tabs>
        <w:ind w:left="567" w:hanging="567"/>
      </w:pPr>
      <w:rPr>
        <w:rFonts w:ascii="Arial Narrow" w:hAnsi="Arial Narrow" w:cs="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o"/>
      <w:lvlJc w:val="left"/>
      <w:pPr>
        <w:tabs>
          <w:tab w:val="num" w:pos="2268"/>
        </w:tabs>
        <w:ind w:left="2268" w:hanging="567"/>
      </w:pPr>
      <w:rPr>
        <w:rFonts w:ascii="Courier New" w:hAnsi="Courier New" w:cs="Courier New" w:hint="default"/>
      </w:rPr>
    </w:lvl>
    <w:lvl w:ilvl="4">
      <w:start w:val="1"/>
      <w:numFmt w:val="decimal"/>
      <w:lvlText w:val="%1.%2.%3.%4.%5"/>
      <w:lvlJc w:val="left"/>
      <w:pPr>
        <w:tabs>
          <w:tab w:val="num" w:pos="3915"/>
        </w:tabs>
        <w:ind w:left="3402" w:hanging="567"/>
      </w:pPr>
      <w:rPr>
        <w:rFonts w:hint="default"/>
      </w:rPr>
    </w:lvl>
    <w:lvl w:ilvl="5">
      <w:start w:val="1"/>
      <w:numFmt w:val="decimal"/>
      <w:lvlText w:val="%1.%2.%3.%4.%5.%6"/>
      <w:lvlJc w:val="left"/>
      <w:pPr>
        <w:tabs>
          <w:tab w:val="num" w:pos="4482"/>
        </w:tabs>
        <w:ind w:left="3969" w:hanging="567"/>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3" w15:restartNumberingAfterBreak="0">
    <w:nsid w:val="0D1C19BB"/>
    <w:multiLevelType w:val="hybridMultilevel"/>
    <w:tmpl w:val="DDB89918"/>
    <w:lvl w:ilvl="0" w:tplc="D0A4D058">
      <w:start w:val="1"/>
      <w:numFmt w:val="decimal"/>
      <w:pStyle w:val="IFACNumberAndLetterHB"/>
      <w:lvlText w:val="A%1."/>
      <w:lvlJc w:val="left"/>
      <w:pPr>
        <w:ind w:left="547" w:hanging="360"/>
      </w:pPr>
      <w:rPr>
        <w:rFonts w:ascii="Times New Roman" w:hAnsi="Times New Roman" w:cs="Arial" w:hint="default"/>
        <w:b w:val="0"/>
        <w:i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F335229"/>
    <w:multiLevelType w:val="hybridMultilevel"/>
    <w:tmpl w:val="C85AC49E"/>
    <w:lvl w:ilvl="0" w:tplc="86CA6CD2">
      <w:start w:val="1"/>
      <w:numFmt w:val="bullet"/>
      <w:pStyle w:val="EYBulletedtext1"/>
      <w:lvlText w:val="•"/>
      <w:lvlJc w:val="left"/>
      <w:pPr>
        <w:ind w:left="360" w:hanging="360"/>
      </w:pPr>
      <w:rPr>
        <w:rFonts w:ascii="EYInterstate" w:hAnsi="EYInterstate" w:hint="default"/>
        <w:color w:val="FFE600"/>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4B2AD2"/>
    <w:multiLevelType w:val="hybridMultilevel"/>
    <w:tmpl w:val="EE62EE7A"/>
    <w:lvl w:ilvl="0" w:tplc="1C090001">
      <w:start w:val="1"/>
      <w:numFmt w:val="bullet"/>
      <w:lvlText w:val=""/>
      <w:lvlJc w:val="left"/>
      <w:pPr>
        <w:ind w:left="720" w:hanging="360"/>
      </w:pPr>
      <w:rPr>
        <w:rFonts w:ascii="Symbol" w:hAnsi="Symbol"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2B2F5D1F"/>
    <w:multiLevelType w:val="hybridMultilevel"/>
    <w:tmpl w:val="0A94469E"/>
    <w:lvl w:ilvl="0" w:tplc="1C09000F">
      <w:start w:val="37"/>
      <w:numFmt w:val="decimal"/>
      <w:lvlText w:val="%1."/>
      <w:lvlJc w:val="left"/>
      <w:pPr>
        <w:ind w:left="720" w:hanging="360"/>
      </w:pPr>
      <w:rPr>
        <w:rFonts w:cs="Times New Roman"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2BBE47B1"/>
    <w:multiLevelType w:val="hybridMultilevel"/>
    <w:tmpl w:val="29CAA27E"/>
    <w:lvl w:ilvl="0" w:tplc="1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B82CC9"/>
    <w:multiLevelType w:val="hybridMultilevel"/>
    <w:tmpl w:val="D050357C"/>
    <w:lvl w:ilvl="0" w:tplc="A02642E8">
      <w:start w:val="1"/>
      <w:numFmt w:val="decimal"/>
      <w:lvlText w:val="%1."/>
      <w:lvlJc w:val="left"/>
      <w:pPr>
        <w:ind w:left="1440" w:hanging="360"/>
      </w:pPr>
      <w:rPr>
        <w:rFonts w:ascii="Arial" w:hAnsi="Arial" w:hint="default"/>
        <w:b w:val="0"/>
        <w:i w:val="0"/>
        <w:color w:val="auto"/>
        <w:sz w:val="22"/>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9" w15:restartNumberingAfterBreak="0">
    <w:nsid w:val="335D3492"/>
    <w:multiLevelType w:val="hybridMultilevel"/>
    <w:tmpl w:val="2070AA12"/>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3F74A12"/>
    <w:multiLevelType w:val="multilevel"/>
    <w:tmpl w:val="A6E8B214"/>
    <w:lvl w:ilvl="0">
      <w:start w:val="1"/>
      <w:numFmt w:val="decimal"/>
      <w:lvlText w:val="%1."/>
      <w:lvlJc w:val="left"/>
      <w:pPr>
        <w:tabs>
          <w:tab w:val="num" w:pos="567"/>
        </w:tabs>
        <w:ind w:left="567" w:hanging="567"/>
      </w:pPr>
      <w:rPr>
        <w:rFonts w:ascii="Arial Narrow" w:hAnsi="Arial Narrow" w:cs="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134"/>
        </w:tabs>
        <w:ind w:left="1134" w:hanging="567"/>
      </w:pPr>
      <w:rPr>
        <w:rFonts w:ascii="Courier New" w:hAnsi="Courier New" w:cs="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o"/>
      <w:lvlJc w:val="left"/>
      <w:pPr>
        <w:tabs>
          <w:tab w:val="num" w:pos="2268"/>
        </w:tabs>
        <w:ind w:left="2268" w:hanging="567"/>
      </w:pPr>
      <w:rPr>
        <w:rFonts w:ascii="Courier New" w:hAnsi="Courier New" w:cs="Courier New" w:hint="default"/>
      </w:rPr>
    </w:lvl>
    <w:lvl w:ilvl="4">
      <w:start w:val="1"/>
      <w:numFmt w:val="decimal"/>
      <w:lvlText w:val="%1.%2.%3.%4.%5"/>
      <w:lvlJc w:val="left"/>
      <w:pPr>
        <w:tabs>
          <w:tab w:val="num" w:pos="3915"/>
        </w:tabs>
        <w:ind w:left="3402" w:hanging="567"/>
      </w:pPr>
      <w:rPr>
        <w:rFonts w:hint="default"/>
      </w:rPr>
    </w:lvl>
    <w:lvl w:ilvl="5">
      <w:start w:val="1"/>
      <w:numFmt w:val="decimal"/>
      <w:lvlText w:val="%1.%2.%3.%4.%5.%6"/>
      <w:lvlJc w:val="left"/>
      <w:pPr>
        <w:tabs>
          <w:tab w:val="num" w:pos="4482"/>
        </w:tabs>
        <w:ind w:left="3969" w:hanging="567"/>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1" w15:restartNumberingAfterBreak="0">
    <w:nsid w:val="42C6646D"/>
    <w:multiLevelType w:val="hybridMultilevel"/>
    <w:tmpl w:val="3BFCBF92"/>
    <w:lvl w:ilvl="0" w:tplc="1C090005">
      <w:start w:val="1"/>
      <w:numFmt w:val="bullet"/>
      <w:lvlText w:val=""/>
      <w:lvlJc w:val="left"/>
      <w:pPr>
        <w:ind w:left="1854" w:hanging="360"/>
      </w:pPr>
      <w:rPr>
        <w:rFonts w:ascii="Wingdings" w:hAnsi="Wingdings"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12" w15:restartNumberingAfterBreak="0">
    <w:nsid w:val="46A14E1B"/>
    <w:multiLevelType w:val="hybridMultilevel"/>
    <w:tmpl w:val="4236658A"/>
    <w:lvl w:ilvl="0" w:tplc="EC529508">
      <w:start w:val="1"/>
      <w:numFmt w:val="bullet"/>
      <w:pStyle w:val="NumberedParagraph-BulletelistLeft0Firstline0"/>
      <w:lvlText w:val=""/>
      <w:lvlJc w:val="left"/>
      <w:pPr>
        <w:ind w:left="720" w:hanging="360"/>
      </w:pPr>
      <w:rPr>
        <w:rFonts w:ascii="Symbol" w:hAnsi="Symbol" w:hint="default"/>
        <w:b w:val="0"/>
        <w:i w:val="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4F8D2639"/>
    <w:multiLevelType w:val="hybridMultilevel"/>
    <w:tmpl w:val="89EC9B40"/>
    <w:lvl w:ilvl="0" w:tplc="C616C85A">
      <w:start w:val="1"/>
      <w:numFmt w:val="decimal"/>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51600F64"/>
    <w:multiLevelType w:val="hybridMultilevel"/>
    <w:tmpl w:val="71401100"/>
    <w:lvl w:ilvl="0" w:tplc="74E874B0">
      <w:start w:val="1"/>
      <w:numFmt w:val="lowerLetter"/>
      <w:lvlText w:val="%1)"/>
      <w:lvlJc w:val="left"/>
      <w:pPr>
        <w:ind w:left="720" w:hanging="360"/>
      </w:pPr>
      <w:rPr>
        <w:b w:val="0"/>
        <w:bCs w:val="0"/>
        <w:sz w:val="18"/>
        <w:szCs w:val="1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527F1DF3"/>
    <w:multiLevelType w:val="hybridMultilevel"/>
    <w:tmpl w:val="6E9CB68E"/>
    <w:lvl w:ilvl="0" w:tplc="1C090001">
      <w:start w:val="1"/>
      <w:numFmt w:val="bullet"/>
      <w:lvlText w:val=""/>
      <w:lvlJc w:val="left"/>
      <w:pPr>
        <w:ind w:left="720" w:hanging="360"/>
      </w:pPr>
      <w:rPr>
        <w:rFonts w:ascii="Symbol" w:hAnsi="Symbol"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57A06485"/>
    <w:multiLevelType w:val="multilevel"/>
    <w:tmpl w:val="FBE2C298"/>
    <w:styleLink w:val="IFACNumberedList"/>
    <w:lvl w:ilvl="0">
      <w:start w:val="1"/>
      <w:numFmt w:val="decimal"/>
      <w:pStyle w:val="List"/>
      <w:lvlText w:val="%1."/>
      <w:lvlJc w:val="left"/>
      <w:pPr>
        <w:ind w:left="1087" w:hanging="547"/>
      </w:pPr>
      <w:rPr>
        <w:rFonts w:hint="default"/>
      </w:rPr>
    </w:lvl>
    <w:lvl w:ilvl="1">
      <w:start w:val="1"/>
      <w:numFmt w:val="lowerLetter"/>
      <w:pStyle w:val="List2"/>
      <w:lvlText w:val="(%2)"/>
      <w:lvlJc w:val="left"/>
      <w:pPr>
        <w:ind w:left="1094" w:hanging="547"/>
      </w:pPr>
      <w:rPr>
        <w:rFonts w:hint="default"/>
      </w:rPr>
    </w:lvl>
    <w:lvl w:ilvl="2">
      <w:start w:val="1"/>
      <w:numFmt w:val="lowerRoman"/>
      <w:pStyle w:val="List3"/>
      <w:lvlText w:val="(%3)"/>
      <w:lvlJc w:val="left"/>
      <w:pPr>
        <w:ind w:left="1641" w:hanging="547"/>
      </w:pPr>
      <w:rPr>
        <w:rFonts w:hint="default"/>
      </w:rPr>
    </w:lvl>
    <w:lvl w:ilvl="3">
      <w:start w:val="1"/>
      <w:numFmt w:val="lowerLetter"/>
      <w:pStyle w:val="List4"/>
      <w:lvlText w:val="%4."/>
      <w:lvlJc w:val="left"/>
      <w:pPr>
        <w:ind w:left="2188" w:hanging="547"/>
      </w:pPr>
      <w:rPr>
        <w:rFonts w:hint="default"/>
      </w:rPr>
    </w:lvl>
    <w:lvl w:ilvl="4">
      <w:start w:val="1"/>
      <w:numFmt w:val="lowerRoman"/>
      <w:pStyle w:val="List5"/>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17" w15:restartNumberingAfterBreak="0">
    <w:nsid w:val="58C54758"/>
    <w:multiLevelType w:val="multilevel"/>
    <w:tmpl w:val="7DA6BC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03C1CEE"/>
    <w:multiLevelType w:val="hybridMultilevel"/>
    <w:tmpl w:val="19483B80"/>
    <w:lvl w:ilvl="0" w:tplc="1C090001">
      <w:start w:val="1"/>
      <w:numFmt w:val="bullet"/>
      <w:lvlText w:val=""/>
      <w:lvlJc w:val="left"/>
      <w:pPr>
        <w:ind w:left="1344" w:hanging="360"/>
      </w:pPr>
      <w:rPr>
        <w:rFonts w:ascii="Symbol" w:hAnsi="Symbol" w:hint="default"/>
      </w:rPr>
    </w:lvl>
    <w:lvl w:ilvl="1" w:tplc="1C090003" w:tentative="1">
      <w:start w:val="1"/>
      <w:numFmt w:val="bullet"/>
      <w:lvlText w:val="o"/>
      <w:lvlJc w:val="left"/>
      <w:pPr>
        <w:ind w:left="2064" w:hanging="360"/>
      </w:pPr>
      <w:rPr>
        <w:rFonts w:ascii="Courier New" w:hAnsi="Courier New" w:cs="Courier New" w:hint="default"/>
      </w:rPr>
    </w:lvl>
    <w:lvl w:ilvl="2" w:tplc="1C090005" w:tentative="1">
      <w:start w:val="1"/>
      <w:numFmt w:val="bullet"/>
      <w:lvlText w:val=""/>
      <w:lvlJc w:val="left"/>
      <w:pPr>
        <w:ind w:left="2784" w:hanging="360"/>
      </w:pPr>
      <w:rPr>
        <w:rFonts w:ascii="Wingdings" w:hAnsi="Wingdings" w:hint="default"/>
      </w:rPr>
    </w:lvl>
    <w:lvl w:ilvl="3" w:tplc="1C090001" w:tentative="1">
      <w:start w:val="1"/>
      <w:numFmt w:val="bullet"/>
      <w:lvlText w:val=""/>
      <w:lvlJc w:val="left"/>
      <w:pPr>
        <w:ind w:left="3504" w:hanging="360"/>
      </w:pPr>
      <w:rPr>
        <w:rFonts w:ascii="Symbol" w:hAnsi="Symbol" w:hint="default"/>
      </w:rPr>
    </w:lvl>
    <w:lvl w:ilvl="4" w:tplc="1C090003" w:tentative="1">
      <w:start w:val="1"/>
      <w:numFmt w:val="bullet"/>
      <w:lvlText w:val="o"/>
      <w:lvlJc w:val="left"/>
      <w:pPr>
        <w:ind w:left="4224" w:hanging="360"/>
      </w:pPr>
      <w:rPr>
        <w:rFonts w:ascii="Courier New" w:hAnsi="Courier New" w:cs="Courier New" w:hint="default"/>
      </w:rPr>
    </w:lvl>
    <w:lvl w:ilvl="5" w:tplc="1C090005" w:tentative="1">
      <w:start w:val="1"/>
      <w:numFmt w:val="bullet"/>
      <w:lvlText w:val=""/>
      <w:lvlJc w:val="left"/>
      <w:pPr>
        <w:ind w:left="4944" w:hanging="360"/>
      </w:pPr>
      <w:rPr>
        <w:rFonts w:ascii="Wingdings" w:hAnsi="Wingdings" w:hint="default"/>
      </w:rPr>
    </w:lvl>
    <w:lvl w:ilvl="6" w:tplc="1C090001" w:tentative="1">
      <w:start w:val="1"/>
      <w:numFmt w:val="bullet"/>
      <w:lvlText w:val=""/>
      <w:lvlJc w:val="left"/>
      <w:pPr>
        <w:ind w:left="5664" w:hanging="360"/>
      </w:pPr>
      <w:rPr>
        <w:rFonts w:ascii="Symbol" w:hAnsi="Symbol" w:hint="default"/>
      </w:rPr>
    </w:lvl>
    <w:lvl w:ilvl="7" w:tplc="1C090003" w:tentative="1">
      <w:start w:val="1"/>
      <w:numFmt w:val="bullet"/>
      <w:lvlText w:val="o"/>
      <w:lvlJc w:val="left"/>
      <w:pPr>
        <w:ind w:left="6384" w:hanging="360"/>
      </w:pPr>
      <w:rPr>
        <w:rFonts w:ascii="Courier New" w:hAnsi="Courier New" w:cs="Courier New" w:hint="default"/>
      </w:rPr>
    </w:lvl>
    <w:lvl w:ilvl="8" w:tplc="1C090005" w:tentative="1">
      <w:start w:val="1"/>
      <w:numFmt w:val="bullet"/>
      <w:lvlText w:val=""/>
      <w:lvlJc w:val="left"/>
      <w:pPr>
        <w:ind w:left="7104" w:hanging="360"/>
      </w:pPr>
      <w:rPr>
        <w:rFonts w:ascii="Wingdings" w:hAnsi="Wingdings" w:hint="default"/>
      </w:rPr>
    </w:lvl>
  </w:abstractNum>
  <w:abstractNum w:abstractNumId="19" w15:restartNumberingAfterBreak="0">
    <w:nsid w:val="6B654B60"/>
    <w:multiLevelType w:val="hybridMultilevel"/>
    <w:tmpl w:val="3790E11A"/>
    <w:lvl w:ilvl="0" w:tplc="C616C85A">
      <w:start w:val="1"/>
      <w:numFmt w:val="decimal"/>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6C6F3E75"/>
    <w:multiLevelType w:val="hybridMultilevel"/>
    <w:tmpl w:val="CAE2DFFC"/>
    <w:lvl w:ilvl="0" w:tplc="4BDE0E74">
      <w:start w:val="1"/>
      <w:numFmt w:val="bullet"/>
      <w:pStyle w:val="Bullet1IndentedHB"/>
      <w:lvlText w:val=""/>
      <w:lvlJc w:val="left"/>
      <w:pPr>
        <w:ind w:left="907"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0D52B7"/>
    <w:multiLevelType w:val="hybridMultilevel"/>
    <w:tmpl w:val="07046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B265DF"/>
    <w:multiLevelType w:val="hybridMultilevel"/>
    <w:tmpl w:val="D878FE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75091D33"/>
    <w:multiLevelType w:val="multilevel"/>
    <w:tmpl w:val="65142430"/>
    <w:lvl w:ilvl="0">
      <w:start w:val="1"/>
      <w:numFmt w:val="decimal"/>
      <w:pStyle w:val="NumList"/>
      <w:lvlText w:val="%1."/>
      <w:lvlJc w:val="left"/>
      <w:pPr>
        <w:tabs>
          <w:tab w:val="num" w:pos="567"/>
        </w:tabs>
        <w:ind w:left="567" w:hanging="567"/>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left"/>
      <w:pPr>
        <w:tabs>
          <w:tab w:val="num" w:pos="1701"/>
        </w:tabs>
        <w:ind w:left="1701" w:hanging="567"/>
      </w:pPr>
      <w:rPr>
        <w:rFonts w:hint="default"/>
      </w:rPr>
    </w:lvl>
    <w:lvl w:ilvl="3">
      <w:start w:val="1"/>
      <w:numFmt w:val="decimal"/>
      <w:lvlText w:val="%1.%2.%3.%4"/>
      <w:lvlJc w:val="left"/>
      <w:pPr>
        <w:tabs>
          <w:tab w:val="num" w:pos="2268"/>
        </w:tabs>
        <w:ind w:left="2268" w:hanging="567"/>
      </w:pPr>
      <w:rPr>
        <w:rFonts w:hint="default"/>
      </w:rPr>
    </w:lvl>
    <w:lvl w:ilvl="4">
      <w:start w:val="1"/>
      <w:numFmt w:val="decimal"/>
      <w:lvlText w:val="%1.%2.%3.%4.%5"/>
      <w:lvlJc w:val="left"/>
      <w:pPr>
        <w:tabs>
          <w:tab w:val="num" w:pos="3915"/>
        </w:tabs>
        <w:ind w:left="3402" w:hanging="567"/>
      </w:pPr>
      <w:rPr>
        <w:rFonts w:hint="default"/>
      </w:rPr>
    </w:lvl>
    <w:lvl w:ilvl="5">
      <w:start w:val="1"/>
      <w:numFmt w:val="decimal"/>
      <w:lvlText w:val="%1.%2.%3.%4.%5.%6"/>
      <w:lvlJc w:val="left"/>
      <w:pPr>
        <w:tabs>
          <w:tab w:val="num" w:pos="4482"/>
        </w:tabs>
        <w:ind w:left="3969" w:hanging="567"/>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24" w15:restartNumberingAfterBreak="0">
    <w:nsid w:val="77316DD7"/>
    <w:multiLevelType w:val="hybridMultilevel"/>
    <w:tmpl w:val="4B905574"/>
    <w:lvl w:ilvl="0" w:tplc="1C090001">
      <w:start w:val="1"/>
      <w:numFmt w:val="bullet"/>
      <w:lvlText w:val=""/>
      <w:lvlJc w:val="left"/>
      <w:pPr>
        <w:ind w:left="720" w:hanging="360"/>
      </w:pPr>
      <w:rPr>
        <w:rFonts w:ascii="Symbol" w:hAnsi="Symbol"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7D2A0538"/>
    <w:multiLevelType w:val="hybridMultilevel"/>
    <w:tmpl w:val="DEAE3330"/>
    <w:lvl w:ilvl="0" w:tplc="1C090001">
      <w:start w:val="1"/>
      <w:numFmt w:val="bullet"/>
      <w:lvlText w:val=""/>
      <w:lvlJc w:val="left"/>
      <w:pPr>
        <w:ind w:left="720" w:hanging="360"/>
      </w:pPr>
      <w:rPr>
        <w:rFonts w:ascii="Symbol" w:hAnsi="Symbol"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935553236">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01938417">
    <w:abstractNumId w:val="2"/>
  </w:num>
  <w:num w:numId="3" w16cid:durableId="1587962106">
    <w:abstractNumId w:val="12"/>
  </w:num>
  <w:num w:numId="4" w16cid:durableId="1537162335">
    <w:abstractNumId w:val="23"/>
  </w:num>
  <w:num w:numId="5" w16cid:durableId="438717861">
    <w:abstractNumId w:val="21"/>
  </w:num>
  <w:num w:numId="6" w16cid:durableId="1304000821">
    <w:abstractNumId w:val="5"/>
  </w:num>
  <w:num w:numId="7" w16cid:durableId="1319579811">
    <w:abstractNumId w:val="1"/>
  </w:num>
  <w:num w:numId="8" w16cid:durableId="1882937520">
    <w:abstractNumId w:val="22"/>
  </w:num>
  <w:num w:numId="9" w16cid:durableId="890843355">
    <w:abstractNumId w:val="10"/>
  </w:num>
  <w:num w:numId="10" w16cid:durableId="1215310979">
    <w:abstractNumId w:val="11"/>
  </w:num>
  <w:num w:numId="11" w16cid:durableId="85228157">
    <w:abstractNumId w:val="8"/>
  </w:num>
  <w:num w:numId="12" w16cid:durableId="789324384">
    <w:abstractNumId w:val="16"/>
  </w:num>
  <w:num w:numId="13" w16cid:durableId="1724717833">
    <w:abstractNumId w:val="20"/>
  </w:num>
  <w:num w:numId="14" w16cid:durableId="474371341">
    <w:abstractNumId w:val="3"/>
  </w:num>
  <w:num w:numId="15" w16cid:durableId="837305730">
    <w:abstractNumId w:val="19"/>
  </w:num>
  <w:num w:numId="16" w16cid:durableId="293367225">
    <w:abstractNumId w:val="23"/>
  </w:num>
  <w:num w:numId="17" w16cid:durableId="1071081445">
    <w:abstractNumId w:val="23"/>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9295744">
    <w:abstractNumId w:val="23"/>
    <w:lvlOverride w:ilvl="0">
      <w:startOverride w:val="8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10050912">
    <w:abstractNumId w:val="23"/>
    <w:lvlOverride w:ilvl="0">
      <w:startOverride w:val="9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31538229">
    <w:abstractNumId w:val="4"/>
  </w:num>
  <w:num w:numId="21" w16cid:durableId="429738451">
    <w:abstractNumId w:val="17"/>
  </w:num>
  <w:num w:numId="22" w16cid:durableId="4544438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348239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153350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5833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69457728">
    <w:abstractNumId w:val="23"/>
  </w:num>
  <w:num w:numId="27" w16cid:durableId="1398555031">
    <w:abstractNumId w:val="23"/>
  </w:num>
  <w:num w:numId="28" w16cid:durableId="780801266">
    <w:abstractNumId w:val="23"/>
  </w:num>
  <w:num w:numId="29" w16cid:durableId="1764230055">
    <w:abstractNumId w:val="18"/>
  </w:num>
  <w:num w:numId="30" w16cid:durableId="1055204294">
    <w:abstractNumId w:val="23"/>
  </w:num>
  <w:num w:numId="31" w16cid:durableId="475146658">
    <w:abstractNumId w:val="23"/>
  </w:num>
  <w:num w:numId="32" w16cid:durableId="1692149439">
    <w:abstractNumId w:val="23"/>
  </w:num>
  <w:num w:numId="33" w16cid:durableId="21632755">
    <w:abstractNumId w:val="9"/>
  </w:num>
  <w:num w:numId="34" w16cid:durableId="758450828">
    <w:abstractNumId w:val="6"/>
  </w:num>
  <w:num w:numId="35" w16cid:durableId="1748650134">
    <w:abstractNumId w:val="23"/>
  </w:num>
  <w:num w:numId="36" w16cid:durableId="1602759314">
    <w:abstractNumId w:val="23"/>
  </w:num>
  <w:num w:numId="37" w16cid:durableId="15890789">
    <w:abstractNumId w:val="23"/>
  </w:num>
  <w:num w:numId="38" w16cid:durableId="1285499083">
    <w:abstractNumId w:val="13"/>
  </w:num>
  <w:num w:numId="39" w16cid:durableId="2133355220">
    <w:abstractNumId w:val="23"/>
  </w:num>
  <w:num w:numId="40" w16cid:durableId="878661093">
    <w:abstractNumId w:val="23"/>
  </w:num>
  <w:num w:numId="41" w16cid:durableId="1072042925">
    <w:abstractNumId w:val="23"/>
  </w:num>
  <w:num w:numId="42" w16cid:durableId="590511760">
    <w:abstractNumId w:val="23"/>
  </w:num>
  <w:num w:numId="43" w16cid:durableId="894202741">
    <w:abstractNumId w:val="23"/>
  </w:num>
  <w:num w:numId="44" w16cid:durableId="716899549">
    <w:abstractNumId w:val="23"/>
  </w:num>
  <w:num w:numId="45" w16cid:durableId="1237935723">
    <w:abstractNumId w:val="24"/>
  </w:num>
  <w:num w:numId="46" w16cid:durableId="2009140301">
    <w:abstractNumId w:val="25"/>
  </w:num>
  <w:num w:numId="47" w16cid:durableId="350688435">
    <w:abstractNumId w:val="15"/>
  </w:num>
  <w:num w:numId="48" w16cid:durableId="440492881">
    <w:abstractNumId w:val="7"/>
  </w:num>
  <w:num w:numId="49" w16cid:durableId="2084136301">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F92"/>
    <w:rsid w:val="00000820"/>
    <w:rsid w:val="00000BE8"/>
    <w:rsid w:val="00000E68"/>
    <w:rsid w:val="0000172F"/>
    <w:rsid w:val="0000179A"/>
    <w:rsid w:val="00001B7F"/>
    <w:rsid w:val="000020D2"/>
    <w:rsid w:val="000029E1"/>
    <w:rsid w:val="00003438"/>
    <w:rsid w:val="00004210"/>
    <w:rsid w:val="00004416"/>
    <w:rsid w:val="00004537"/>
    <w:rsid w:val="00004CFD"/>
    <w:rsid w:val="000055FE"/>
    <w:rsid w:val="00005BAC"/>
    <w:rsid w:val="00005E19"/>
    <w:rsid w:val="00005E5E"/>
    <w:rsid w:val="00006400"/>
    <w:rsid w:val="00006936"/>
    <w:rsid w:val="00006A7D"/>
    <w:rsid w:val="00010892"/>
    <w:rsid w:val="00010C8F"/>
    <w:rsid w:val="0001104A"/>
    <w:rsid w:val="0001183B"/>
    <w:rsid w:val="000120A9"/>
    <w:rsid w:val="0001232F"/>
    <w:rsid w:val="00013D67"/>
    <w:rsid w:val="00014786"/>
    <w:rsid w:val="0001485D"/>
    <w:rsid w:val="0001486D"/>
    <w:rsid w:val="00014A50"/>
    <w:rsid w:val="00014B60"/>
    <w:rsid w:val="00014E1B"/>
    <w:rsid w:val="000156F1"/>
    <w:rsid w:val="00015BDD"/>
    <w:rsid w:val="000160AA"/>
    <w:rsid w:val="0001759A"/>
    <w:rsid w:val="00017677"/>
    <w:rsid w:val="00017A00"/>
    <w:rsid w:val="00020B7B"/>
    <w:rsid w:val="00020FFD"/>
    <w:rsid w:val="000215BA"/>
    <w:rsid w:val="000219B1"/>
    <w:rsid w:val="000219DE"/>
    <w:rsid w:val="00021B2B"/>
    <w:rsid w:val="0002244B"/>
    <w:rsid w:val="00022968"/>
    <w:rsid w:val="0002327A"/>
    <w:rsid w:val="00023D66"/>
    <w:rsid w:val="00023E8C"/>
    <w:rsid w:val="0002422C"/>
    <w:rsid w:val="00024AC4"/>
    <w:rsid w:val="00024C44"/>
    <w:rsid w:val="00024F6F"/>
    <w:rsid w:val="000253A0"/>
    <w:rsid w:val="000256FE"/>
    <w:rsid w:val="00025C9C"/>
    <w:rsid w:val="00025DC4"/>
    <w:rsid w:val="0002654E"/>
    <w:rsid w:val="000265F3"/>
    <w:rsid w:val="00026751"/>
    <w:rsid w:val="000271CB"/>
    <w:rsid w:val="000275F2"/>
    <w:rsid w:val="00027D68"/>
    <w:rsid w:val="00027D86"/>
    <w:rsid w:val="00027D8B"/>
    <w:rsid w:val="000309A1"/>
    <w:rsid w:val="00030C61"/>
    <w:rsid w:val="00031308"/>
    <w:rsid w:val="000315B5"/>
    <w:rsid w:val="00031B7C"/>
    <w:rsid w:val="00031ECB"/>
    <w:rsid w:val="0003291D"/>
    <w:rsid w:val="00032AE3"/>
    <w:rsid w:val="000331E5"/>
    <w:rsid w:val="0003334C"/>
    <w:rsid w:val="0003345B"/>
    <w:rsid w:val="0003346A"/>
    <w:rsid w:val="000336C3"/>
    <w:rsid w:val="0003373E"/>
    <w:rsid w:val="0003436C"/>
    <w:rsid w:val="00034629"/>
    <w:rsid w:val="000356AD"/>
    <w:rsid w:val="000362E9"/>
    <w:rsid w:val="000364D3"/>
    <w:rsid w:val="00036A3B"/>
    <w:rsid w:val="00036BA4"/>
    <w:rsid w:val="0003722B"/>
    <w:rsid w:val="0003741E"/>
    <w:rsid w:val="000376A6"/>
    <w:rsid w:val="000376E1"/>
    <w:rsid w:val="00037C18"/>
    <w:rsid w:val="000407AB"/>
    <w:rsid w:val="00040846"/>
    <w:rsid w:val="0004133C"/>
    <w:rsid w:val="000414CD"/>
    <w:rsid w:val="00041DF7"/>
    <w:rsid w:val="00041F2F"/>
    <w:rsid w:val="00042F13"/>
    <w:rsid w:val="0004345B"/>
    <w:rsid w:val="00043AFE"/>
    <w:rsid w:val="00043C58"/>
    <w:rsid w:val="00043CD9"/>
    <w:rsid w:val="00044CA0"/>
    <w:rsid w:val="00044FFD"/>
    <w:rsid w:val="00045BF1"/>
    <w:rsid w:val="00045C1C"/>
    <w:rsid w:val="00045D49"/>
    <w:rsid w:val="00045EA7"/>
    <w:rsid w:val="00045F10"/>
    <w:rsid w:val="00046794"/>
    <w:rsid w:val="00046B70"/>
    <w:rsid w:val="000474D4"/>
    <w:rsid w:val="000476FB"/>
    <w:rsid w:val="00047BD6"/>
    <w:rsid w:val="0005005C"/>
    <w:rsid w:val="0005077D"/>
    <w:rsid w:val="00050AB2"/>
    <w:rsid w:val="0005173E"/>
    <w:rsid w:val="000519D0"/>
    <w:rsid w:val="00052185"/>
    <w:rsid w:val="00052368"/>
    <w:rsid w:val="000525C6"/>
    <w:rsid w:val="000529D2"/>
    <w:rsid w:val="00052BE7"/>
    <w:rsid w:val="00052FAE"/>
    <w:rsid w:val="000532AF"/>
    <w:rsid w:val="00053581"/>
    <w:rsid w:val="000537A0"/>
    <w:rsid w:val="000539C8"/>
    <w:rsid w:val="00054363"/>
    <w:rsid w:val="00054B5D"/>
    <w:rsid w:val="00054E3A"/>
    <w:rsid w:val="00055037"/>
    <w:rsid w:val="00055471"/>
    <w:rsid w:val="000554F6"/>
    <w:rsid w:val="000556F7"/>
    <w:rsid w:val="00055920"/>
    <w:rsid w:val="00055F0E"/>
    <w:rsid w:val="00056735"/>
    <w:rsid w:val="00056EC7"/>
    <w:rsid w:val="00057B7C"/>
    <w:rsid w:val="00057F5E"/>
    <w:rsid w:val="00060156"/>
    <w:rsid w:val="000604F9"/>
    <w:rsid w:val="0006095F"/>
    <w:rsid w:val="00061001"/>
    <w:rsid w:val="00061375"/>
    <w:rsid w:val="0006177A"/>
    <w:rsid w:val="00061F85"/>
    <w:rsid w:val="0006283C"/>
    <w:rsid w:val="000629C4"/>
    <w:rsid w:val="00062B49"/>
    <w:rsid w:val="00063314"/>
    <w:rsid w:val="00063943"/>
    <w:rsid w:val="00063C4A"/>
    <w:rsid w:val="0006440D"/>
    <w:rsid w:val="00065798"/>
    <w:rsid w:val="00065D74"/>
    <w:rsid w:val="00066827"/>
    <w:rsid w:val="00066F66"/>
    <w:rsid w:val="000676E9"/>
    <w:rsid w:val="00067BC7"/>
    <w:rsid w:val="000707A8"/>
    <w:rsid w:val="000707BF"/>
    <w:rsid w:val="000713D7"/>
    <w:rsid w:val="0007144F"/>
    <w:rsid w:val="00071B4A"/>
    <w:rsid w:val="00072BE9"/>
    <w:rsid w:val="00074646"/>
    <w:rsid w:val="00074A29"/>
    <w:rsid w:val="00074C11"/>
    <w:rsid w:val="00075781"/>
    <w:rsid w:val="000757DD"/>
    <w:rsid w:val="00075883"/>
    <w:rsid w:val="000759D5"/>
    <w:rsid w:val="00075B44"/>
    <w:rsid w:val="00075E48"/>
    <w:rsid w:val="00075F35"/>
    <w:rsid w:val="0007680F"/>
    <w:rsid w:val="00076954"/>
    <w:rsid w:val="00076991"/>
    <w:rsid w:val="00076E7A"/>
    <w:rsid w:val="00076E83"/>
    <w:rsid w:val="00077042"/>
    <w:rsid w:val="000773F1"/>
    <w:rsid w:val="000778B5"/>
    <w:rsid w:val="00077DDA"/>
    <w:rsid w:val="000804C2"/>
    <w:rsid w:val="0008235E"/>
    <w:rsid w:val="000827EE"/>
    <w:rsid w:val="0008306B"/>
    <w:rsid w:val="00083546"/>
    <w:rsid w:val="000843C7"/>
    <w:rsid w:val="000844F4"/>
    <w:rsid w:val="00084BC2"/>
    <w:rsid w:val="00084E23"/>
    <w:rsid w:val="00084EE8"/>
    <w:rsid w:val="000851FE"/>
    <w:rsid w:val="0008557D"/>
    <w:rsid w:val="00086513"/>
    <w:rsid w:val="00086AE5"/>
    <w:rsid w:val="00086B00"/>
    <w:rsid w:val="000875CF"/>
    <w:rsid w:val="000875D5"/>
    <w:rsid w:val="00090178"/>
    <w:rsid w:val="000905F8"/>
    <w:rsid w:val="00090991"/>
    <w:rsid w:val="00090B5A"/>
    <w:rsid w:val="000927AB"/>
    <w:rsid w:val="00092BEC"/>
    <w:rsid w:val="00093E7D"/>
    <w:rsid w:val="00094384"/>
    <w:rsid w:val="0009473D"/>
    <w:rsid w:val="00095050"/>
    <w:rsid w:val="0009535E"/>
    <w:rsid w:val="000955BB"/>
    <w:rsid w:val="00096643"/>
    <w:rsid w:val="00096B9A"/>
    <w:rsid w:val="00096CC5"/>
    <w:rsid w:val="000974AF"/>
    <w:rsid w:val="000A04BF"/>
    <w:rsid w:val="000A05B9"/>
    <w:rsid w:val="000A1499"/>
    <w:rsid w:val="000A1581"/>
    <w:rsid w:val="000A2051"/>
    <w:rsid w:val="000A221E"/>
    <w:rsid w:val="000A22E8"/>
    <w:rsid w:val="000A27E7"/>
    <w:rsid w:val="000A2D99"/>
    <w:rsid w:val="000A2E6B"/>
    <w:rsid w:val="000A3324"/>
    <w:rsid w:val="000A3FDE"/>
    <w:rsid w:val="000A42E9"/>
    <w:rsid w:val="000A42FA"/>
    <w:rsid w:val="000A4C42"/>
    <w:rsid w:val="000A6653"/>
    <w:rsid w:val="000A68B1"/>
    <w:rsid w:val="000A7F33"/>
    <w:rsid w:val="000B06DD"/>
    <w:rsid w:val="000B10A6"/>
    <w:rsid w:val="000B138B"/>
    <w:rsid w:val="000B22FF"/>
    <w:rsid w:val="000B2C0C"/>
    <w:rsid w:val="000B2D01"/>
    <w:rsid w:val="000B2DB6"/>
    <w:rsid w:val="000B34D3"/>
    <w:rsid w:val="000B34E4"/>
    <w:rsid w:val="000B36A4"/>
    <w:rsid w:val="000B3EA1"/>
    <w:rsid w:val="000B46DE"/>
    <w:rsid w:val="000B4B84"/>
    <w:rsid w:val="000B4CC4"/>
    <w:rsid w:val="000B4DC9"/>
    <w:rsid w:val="000B5306"/>
    <w:rsid w:val="000B5EB1"/>
    <w:rsid w:val="000B627F"/>
    <w:rsid w:val="000B639F"/>
    <w:rsid w:val="000B7A78"/>
    <w:rsid w:val="000C0D74"/>
    <w:rsid w:val="000C0F61"/>
    <w:rsid w:val="000C1350"/>
    <w:rsid w:val="000C277D"/>
    <w:rsid w:val="000C29B7"/>
    <w:rsid w:val="000C2C2A"/>
    <w:rsid w:val="000C3054"/>
    <w:rsid w:val="000C321D"/>
    <w:rsid w:val="000C3482"/>
    <w:rsid w:val="000C365E"/>
    <w:rsid w:val="000C3CAE"/>
    <w:rsid w:val="000C3E86"/>
    <w:rsid w:val="000C441D"/>
    <w:rsid w:val="000C5548"/>
    <w:rsid w:val="000C558B"/>
    <w:rsid w:val="000C5F05"/>
    <w:rsid w:val="000C5F9B"/>
    <w:rsid w:val="000C658E"/>
    <w:rsid w:val="000C6A29"/>
    <w:rsid w:val="000C6BEF"/>
    <w:rsid w:val="000C6C86"/>
    <w:rsid w:val="000C6F44"/>
    <w:rsid w:val="000C7645"/>
    <w:rsid w:val="000C78D9"/>
    <w:rsid w:val="000D041F"/>
    <w:rsid w:val="000D04B2"/>
    <w:rsid w:val="000D11A1"/>
    <w:rsid w:val="000D18F5"/>
    <w:rsid w:val="000D3491"/>
    <w:rsid w:val="000D3AD2"/>
    <w:rsid w:val="000D407E"/>
    <w:rsid w:val="000D46E9"/>
    <w:rsid w:val="000D47A3"/>
    <w:rsid w:val="000D4DEB"/>
    <w:rsid w:val="000D5C36"/>
    <w:rsid w:val="000D5DE8"/>
    <w:rsid w:val="000D6125"/>
    <w:rsid w:val="000D61CA"/>
    <w:rsid w:val="000D64F8"/>
    <w:rsid w:val="000D6A31"/>
    <w:rsid w:val="000D6AB0"/>
    <w:rsid w:val="000D74AA"/>
    <w:rsid w:val="000D7776"/>
    <w:rsid w:val="000D7BA7"/>
    <w:rsid w:val="000D7CB4"/>
    <w:rsid w:val="000E1508"/>
    <w:rsid w:val="000E1A68"/>
    <w:rsid w:val="000E22B5"/>
    <w:rsid w:val="000E24EC"/>
    <w:rsid w:val="000E30A2"/>
    <w:rsid w:val="000E3493"/>
    <w:rsid w:val="000E3BB5"/>
    <w:rsid w:val="000E4123"/>
    <w:rsid w:val="000E4A41"/>
    <w:rsid w:val="000E5255"/>
    <w:rsid w:val="000E5AA8"/>
    <w:rsid w:val="000E6081"/>
    <w:rsid w:val="000E676A"/>
    <w:rsid w:val="000E6C6C"/>
    <w:rsid w:val="000E6E90"/>
    <w:rsid w:val="000E7A9C"/>
    <w:rsid w:val="000E7CFC"/>
    <w:rsid w:val="000E7FA7"/>
    <w:rsid w:val="000F01AB"/>
    <w:rsid w:val="000F0B07"/>
    <w:rsid w:val="000F3137"/>
    <w:rsid w:val="000F3606"/>
    <w:rsid w:val="000F4F12"/>
    <w:rsid w:val="000F5842"/>
    <w:rsid w:val="000F59E6"/>
    <w:rsid w:val="000F5AAE"/>
    <w:rsid w:val="000F60A5"/>
    <w:rsid w:val="000F6254"/>
    <w:rsid w:val="000F685D"/>
    <w:rsid w:val="000F71F8"/>
    <w:rsid w:val="00100BC4"/>
    <w:rsid w:val="00101227"/>
    <w:rsid w:val="0010133B"/>
    <w:rsid w:val="001016E0"/>
    <w:rsid w:val="00101B77"/>
    <w:rsid w:val="001026BB"/>
    <w:rsid w:val="00103CA9"/>
    <w:rsid w:val="00104641"/>
    <w:rsid w:val="00104763"/>
    <w:rsid w:val="001049B2"/>
    <w:rsid w:val="00104DB4"/>
    <w:rsid w:val="00104F4C"/>
    <w:rsid w:val="00105CD9"/>
    <w:rsid w:val="00105E10"/>
    <w:rsid w:val="0010650B"/>
    <w:rsid w:val="001065FB"/>
    <w:rsid w:val="00106674"/>
    <w:rsid w:val="00106CB0"/>
    <w:rsid w:val="00106E86"/>
    <w:rsid w:val="00107108"/>
    <w:rsid w:val="00107527"/>
    <w:rsid w:val="00107765"/>
    <w:rsid w:val="00107A43"/>
    <w:rsid w:val="00107A78"/>
    <w:rsid w:val="00110777"/>
    <w:rsid w:val="00110A16"/>
    <w:rsid w:val="00111182"/>
    <w:rsid w:val="0011181D"/>
    <w:rsid w:val="00111E08"/>
    <w:rsid w:val="001127C1"/>
    <w:rsid w:val="001127FF"/>
    <w:rsid w:val="001129CA"/>
    <w:rsid w:val="00112CDF"/>
    <w:rsid w:val="0011367D"/>
    <w:rsid w:val="001138DB"/>
    <w:rsid w:val="001145A9"/>
    <w:rsid w:val="0011526C"/>
    <w:rsid w:val="00115530"/>
    <w:rsid w:val="001155B4"/>
    <w:rsid w:val="0011611B"/>
    <w:rsid w:val="00116A07"/>
    <w:rsid w:val="00116CD0"/>
    <w:rsid w:val="00116E16"/>
    <w:rsid w:val="00116F95"/>
    <w:rsid w:val="0011764F"/>
    <w:rsid w:val="0012039A"/>
    <w:rsid w:val="0012112F"/>
    <w:rsid w:val="0012195B"/>
    <w:rsid w:val="00122048"/>
    <w:rsid w:val="00122254"/>
    <w:rsid w:val="001232D2"/>
    <w:rsid w:val="001235E9"/>
    <w:rsid w:val="00123A36"/>
    <w:rsid w:val="00123B46"/>
    <w:rsid w:val="0012437D"/>
    <w:rsid w:val="00124C46"/>
    <w:rsid w:val="00125B0F"/>
    <w:rsid w:val="00125B17"/>
    <w:rsid w:val="00125B6F"/>
    <w:rsid w:val="00125F6F"/>
    <w:rsid w:val="00125F83"/>
    <w:rsid w:val="00125FAF"/>
    <w:rsid w:val="001266D1"/>
    <w:rsid w:val="00126A59"/>
    <w:rsid w:val="00126B9F"/>
    <w:rsid w:val="00126C7B"/>
    <w:rsid w:val="00127D2A"/>
    <w:rsid w:val="00127DEE"/>
    <w:rsid w:val="00127FA1"/>
    <w:rsid w:val="001301A7"/>
    <w:rsid w:val="0013032E"/>
    <w:rsid w:val="00130524"/>
    <w:rsid w:val="0013053E"/>
    <w:rsid w:val="0013118B"/>
    <w:rsid w:val="00131456"/>
    <w:rsid w:val="00131658"/>
    <w:rsid w:val="00131EF2"/>
    <w:rsid w:val="0013270E"/>
    <w:rsid w:val="00132AF0"/>
    <w:rsid w:val="00133340"/>
    <w:rsid w:val="00133652"/>
    <w:rsid w:val="0013495E"/>
    <w:rsid w:val="00134A38"/>
    <w:rsid w:val="00134B4D"/>
    <w:rsid w:val="00134F35"/>
    <w:rsid w:val="001354AD"/>
    <w:rsid w:val="00135C34"/>
    <w:rsid w:val="00135FAC"/>
    <w:rsid w:val="0013695F"/>
    <w:rsid w:val="00136CFD"/>
    <w:rsid w:val="001379FA"/>
    <w:rsid w:val="00137B9E"/>
    <w:rsid w:val="00140A44"/>
    <w:rsid w:val="00140A5F"/>
    <w:rsid w:val="00141274"/>
    <w:rsid w:val="00141368"/>
    <w:rsid w:val="001413F3"/>
    <w:rsid w:val="0014228C"/>
    <w:rsid w:val="00142650"/>
    <w:rsid w:val="00142D4F"/>
    <w:rsid w:val="00143531"/>
    <w:rsid w:val="00143716"/>
    <w:rsid w:val="00143D36"/>
    <w:rsid w:val="00145F41"/>
    <w:rsid w:val="00146CE4"/>
    <w:rsid w:val="00146DA9"/>
    <w:rsid w:val="00146F7D"/>
    <w:rsid w:val="0014715E"/>
    <w:rsid w:val="001472CC"/>
    <w:rsid w:val="001475EE"/>
    <w:rsid w:val="001475F7"/>
    <w:rsid w:val="001478DB"/>
    <w:rsid w:val="00147C8F"/>
    <w:rsid w:val="001502FA"/>
    <w:rsid w:val="00150824"/>
    <w:rsid w:val="00150D56"/>
    <w:rsid w:val="00151981"/>
    <w:rsid w:val="00151B42"/>
    <w:rsid w:val="00151EEB"/>
    <w:rsid w:val="00151EFF"/>
    <w:rsid w:val="00151FDA"/>
    <w:rsid w:val="00152A89"/>
    <w:rsid w:val="001532FF"/>
    <w:rsid w:val="00153540"/>
    <w:rsid w:val="0015453F"/>
    <w:rsid w:val="00154AEE"/>
    <w:rsid w:val="00154B7D"/>
    <w:rsid w:val="00154D66"/>
    <w:rsid w:val="00154ECA"/>
    <w:rsid w:val="00154FC6"/>
    <w:rsid w:val="001552A4"/>
    <w:rsid w:val="00155539"/>
    <w:rsid w:val="00156A57"/>
    <w:rsid w:val="00156B5D"/>
    <w:rsid w:val="001575D2"/>
    <w:rsid w:val="00157B46"/>
    <w:rsid w:val="001602F0"/>
    <w:rsid w:val="00160FD5"/>
    <w:rsid w:val="00160FE8"/>
    <w:rsid w:val="00161751"/>
    <w:rsid w:val="00161AFE"/>
    <w:rsid w:val="00161BEB"/>
    <w:rsid w:val="0016283B"/>
    <w:rsid w:val="00162A9E"/>
    <w:rsid w:val="0016316A"/>
    <w:rsid w:val="001639CF"/>
    <w:rsid w:val="00163E94"/>
    <w:rsid w:val="001644F6"/>
    <w:rsid w:val="0016450D"/>
    <w:rsid w:val="001645F0"/>
    <w:rsid w:val="00165304"/>
    <w:rsid w:val="001668AC"/>
    <w:rsid w:val="00166CA7"/>
    <w:rsid w:val="001673C8"/>
    <w:rsid w:val="00167C60"/>
    <w:rsid w:val="00170C00"/>
    <w:rsid w:val="00172468"/>
    <w:rsid w:val="00173A7B"/>
    <w:rsid w:val="00173E9D"/>
    <w:rsid w:val="00174057"/>
    <w:rsid w:val="00174736"/>
    <w:rsid w:val="001748ED"/>
    <w:rsid w:val="00174992"/>
    <w:rsid w:val="001750F0"/>
    <w:rsid w:val="00175D6A"/>
    <w:rsid w:val="001761BA"/>
    <w:rsid w:val="001767B6"/>
    <w:rsid w:val="00176A01"/>
    <w:rsid w:val="001776FD"/>
    <w:rsid w:val="001777AF"/>
    <w:rsid w:val="0017787D"/>
    <w:rsid w:val="0017793C"/>
    <w:rsid w:val="00177C03"/>
    <w:rsid w:val="00177E37"/>
    <w:rsid w:val="00177E7C"/>
    <w:rsid w:val="00180136"/>
    <w:rsid w:val="0018064E"/>
    <w:rsid w:val="0018075B"/>
    <w:rsid w:val="00180939"/>
    <w:rsid w:val="00180BDA"/>
    <w:rsid w:val="001811F7"/>
    <w:rsid w:val="00181282"/>
    <w:rsid w:val="0018353A"/>
    <w:rsid w:val="00183C4E"/>
    <w:rsid w:val="00183D53"/>
    <w:rsid w:val="00184232"/>
    <w:rsid w:val="0018463C"/>
    <w:rsid w:val="00184797"/>
    <w:rsid w:val="001859AF"/>
    <w:rsid w:val="00185B40"/>
    <w:rsid w:val="00185D85"/>
    <w:rsid w:val="0018639B"/>
    <w:rsid w:val="0018670F"/>
    <w:rsid w:val="00186A19"/>
    <w:rsid w:val="0018737C"/>
    <w:rsid w:val="00187A7D"/>
    <w:rsid w:val="001900F4"/>
    <w:rsid w:val="00190FD7"/>
    <w:rsid w:val="001917A8"/>
    <w:rsid w:val="00191E1D"/>
    <w:rsid w:val="001924E5"/>
    <w:rsid w:val="00192766"/>
    <w:rsid w:val="00192C3C"/>
    <w:rsid w:val="001939B1"/>
    <w:rsid w:val="001941CB"/>
    <w:rsid w:val="00194F75"/>
    <w:rsid w:val="0019592D"/>
    <w:rsid w:val="00196BD8"/>
    <w:rsid w:val="00196E9D"/>
    <w:rsid w:val="001A018A"/>
    <w:rsid w:val="001A040E"/>
    <w:rsid w:val="001A1092"/>
    <w:rsid w:val="001A1959"/>
    <w:rsid w:val="001A3DBC"/>
    <w:rsid w:val="001A4699"/>
    <w:rsid w:val="001A4C39"/>
    <w:rsid w:val="001A4E6B"/>
    <w:rsid w:val="001A513F"/>
    <w:rsid w:val="001A5181"/>
    <w:rsid w:val="001A5DA0"/>
    <w:rsid w:val="001A5EB3"/>
    <w:rsid w:val="001A7254"/>
    <w:rsid w:val="001A7380"/>
    <w:rsid w:val="001A7651"/>
    <w:rsid w:val="001A7ABB"/>
    <w:rsid w:val="001A7DF7"/>
    <w:rsid w:val="001B069E"/>
    <w:rsid w:val="001B07DF"/>
    <w:rsid w:val="001B081F"/>
    <w:rsid w:val="001B0929"/>
    <w:rsid w:val="001B1C81"/>
    <w:rsid w:val="001B259A"/>
    <w:rsid w:val="001B372F"/>
    <w:rsid w:val="001B4792"/>
    <w:rsid w:val="001B4D1A"/>
    <w:rsid w:val="001B4F27"/>
    <w:rsid w:val="001B55FA"/>
    <w:rsid w:val="001B5917"/>
    <w:rsid w:val="001B6099"/>
    <w:rsid w:val="001B7363"/>
    <w:rsid w:val="001B7B1F"/>
    <w:rsid w:val="001C0754"/>
    <w:rsid w:val="001C0CA6"/>
    <w:rsid w:val="001C1154"/>
    <w:rsid w:val="001C115A"/>
    <w:rsid w:val="001C1717"/>
    <w:rsid w:val="001C2224"/>
    <w:rsid w:val="001C2C45"/>
    <w:rsid w:val="001C33A4"/>
    <w:rsid w:val="001C424F"/>
    <w:rsid w:val="001C4450"/>
    <w:rsid w:val="001C4945"/>
    <w:rsid w:val="001C4B64"/>
    <w:rsid w:val="001C5194"/>
    <w:rsid w:val="001C5D5B"/>
    <w:rsid w:val="001C63FA"/>
    <w:rsid w:val="001C66C6"/>
    <w:rsid w:val="001C6E2E"/>
    <w:rsid w:val="001C6F7A"/>
    <w:rsid w:val="001C70DA"/>
    <w:rsid w:val="001C72F8"/>
    <w:rsid w:val="001C75B9"/>
    <w:rsid w:val="001C7ED9"/>
    <w:rsid w:val="001D02B6"/>
    <w:rsid w:val="001D03B0"/>
    <w:rsid w:val="001D0A40"/>
    <w:rsid w:val="001D0B73"/>
    <w:rsid w:val="001D19E2"/>
    <w:rsid w:val="001D1F06"/>
    <w:rsid w:val="001D21B5"/>
    <w:rsid w:val="001D22AE"/>
    <w:rsid w:val="001D33CC"/>
    <w:rsid w:val="001D344F"/>
    <w:rsid w:val="001D364C"/>
    <w:rsid w:val="001D3955"/>
    <w:rsid w:val="001D4629"/>
    <w:rsid w:val="001D469A"/>
    <w:rsid w:val="001D475F"/>
    <w:rsid w:val="001D65D9"/>
    <w:rsid w:val="001D6B3C"/>
    <w:rsid w:val="001D6B75"/>
    <w:rsid w:val="001D7D5D"/>
    <w:rsid w:val="001E01D0"/>
    <w:rsid w:val="001E116F"/>
    <w:rsid w:val="001E1A7C"/>
    <w:rsid w:val="001E1BA5"/>
    <w:rsid w:val="001E1CE1"/>
    <w:rsid w:val="001E25B1"/>
    <w:rsid w:val="001E2CEC"/>
    <w:rsid w:val="001E37EE"/>
    <w:rsid w:val="001E3866"/>
    <w:rsid w:val="001E45B8"/>
    <w:rsid w:val="001E4638"/>
    <w:rsid w:val="001E4C83"/>
    <w:rsid w:val="001E4F3B"/>
    <w:rsid w:val="001E6281"/>
    <w:rsid w:val="001E79DE"/>
    <w:rsid w:val="001E7D07"/>
    <w:rsid w:val="001E7E8F"/>
    <w:rsid w:val="001E7F99"/>
    <w:rsid w:val="001F03D2"/>
    <w:rsid w:val="001F0621"/>
    <w:rsid w:val="001F0A28"/>
    <w:rsid w:val="001F0BB4"/>
    <w:rsid w:val="001F0C49"/>
    <w:rsid w:val="001F13F8"/>
    <w:rsid w:val="001F1610"/>
    <w:rsid w:val="001F1A62"/>
    <w:rsid w:val="001F29BC"/>
    <w:rsid w:val="001F29E2"/>
    <w:rsid w:val="001F2C63"/>
    <w:rsid w:val="001F2D41"/>
    <w:rsid w:val="001F3237"/>
    <w:rsid w:val="001F370C"/>
    <w:rsid w:val="001F42C2"/>
    <w:rsid w:val="001F462B"/>
    <w:rsid w:val="001F479B"/>
    <w:rsid w:val="001F4F6D"/>
    <w:rsid w:val="001F5945"/>
    <w:rsid w:val="001F59A3"/>
    <w:rsid w:val="001F652B"/>
    <w:rsid w:val="001F70F5"/>
    <w:rsid w:val="001F784A"/>
    <w:rsid w:val="001F7F70"/>
    <w:rsid w:val="002009DC"/>
    <w:rsid w:val="00200BF6"/>
    <w:rsid w:val="002014DE"/>
    <w:rsid w:val="00201AF3"/>
    <w:rsid w:val="0020259F"/>
    <w:rsid w:val="002028AD"/>
    <w:rsid w:val="0020295D"/>
    <w:rsid w:val="0020314C"/>
    <w:rsid w:val="0020340F"/>
    <w:rsid w:val="00203412"/>
    <w:rsid w:val="0020345F"/>
    <w:rsid w:val="0020354D"/>
    <w:rsid w:val="00203FDB"/>
    <w:rsid w:val="00204678"/>
    <w:rsid w:val="00204802"/>
    <w:rsid w:val="002055EC"/>
    <w:rsid w:val="002057AF"/>
    <w:rsid w:val="00205F21"/>
    <w:rsid w:val="00206552"/>
    <w:rsid w:val="0020656E"/>
    <w:rsid w:val="00206A21"/>
    <w:rsid w:val="00206BA9"/>
    <w:rsid w:val="00206D38"/>
    <w:rsid w:val="002073F2"/>
    <w:rsid w:val="00207655"/>
    <w:rsid w:val="00207A37"/>
    <w:rsid w:val="0021030E"/>
    <w:rsid w:val="002104B4"/>
    <w:rsid w:val="00210B8D"/>
    <w:rsid w:val="00210E09"/>
    <w:rsid w:val="002110FC"/>
    <w:rsid w:val="0021146C"/>
    <w:rsid w:val="00211A02"/>
    <w:rsid w:val="00211B38"/>
    <w:rsid w:val="00211ED5"/>
    <w:rsid w:val="0021282C"/>
    <w:rsid w:val="00213CA8"/>
    <w:rsid w:val="00215052"/>
    <w:rsid w:val="00215750"/>
    <w:rsid w:val="00215AE3"/>
    <w:rsid w:val="00216BF7"/>
    <w:rsid w:val="00217517"/>
    <w:rsid w:val="00217EAE"/>
    <w:rsid w:val="002207A1"/>
    <w:rsid w:val="0022094B"/>
    <w:rsid w:val="00220AD1"/>
    <w:rsid w:val="00222A3F"/>
    <w:rsid w:val="00222F0C"/>
    <w:rsid w:val="002236B6"/>
    <w:rsid w:val="00223D1E"/>
    <w:rsid w:val="00224001"/>
    <w:rsid w:val="00224388"/>
    <w:rsid w:val="0022450E"/>
    <w:rsid w:val="0022585F"/>
    <w:rsid w:val="00226360"/>
    <w:rsid w:val="0022652F"/>
    <w:rsid w:val="0022694F"/>
    <w:rsid w:val="00227468"/>
    <w:rsid w:val="00227776"/>
    <w:rsid w:val="00227D96"/>
    <w:rsid w:val="002303D7"/>
    <w:rsid w:val="00231550"/>
    <w:rsid w:val="002319DE"/>
    <w:rsid w:val="00231EA8"/>
    <w:rsid w:val="002324AE"/>
    <w:rsid w:val="00232956"/>
    <w:rsid w:val="00232A6F"/>
    <w:rsid w:val="00232FAD"/>
    <w:rsid w:val="00233471"/>
    <w:rsid w:val="00233511"/>
    <w:rsid w:val="00233C26"/>
    <w:rsid w:val="00233D1B"/>
    <w:rsid w:val="00233D94"/>
    <w:rsid w:val="00233F00"/>
    <w:rsid w:val="00233FB6"/>
    <w:rsid w:val="002343C7"/>
    <w:rsid w:val="00234688"/>
    <w:rsid w:val="002348F5"/>
    <w:rsid w:val="00234EB4"/>
    <w:rsid w:val="002366A1"/>
    <w:rsid w:val="00236BB3"/>
    <w:rsid w:val="002379F3"/>
    <w:rsid w:val="00237D93"/>
    <w:rsid w:val="00237DDC"/>
    <w:rsid w:val="00240CF5"/>
    <w:rsid w:val="00240FBF"/>
    <w:rsid w:val="00241340"/>
    <w:rsid w:val="00241443"/>
    <w:rsid w:val="002422C7"/>
    <w:rsid w:val="00242485"/>
    <w:rsid w:val="00242C02"/>
    <w:rsid w:val="00243779"/>
    <w:rsid w:val="00244AF8"/>
    <w:rsid w:val="0024594D"/>
    <w:rsid w:val="00245DF2"/>
    <w:rsid w:val="002463FE"/>
    <w:rsid w:val="00246871"/>
    <w:rsid w:val="0024740A"/>
    <w:rsid w:val="00247AC8"/>
    <w:rsid w:val="00250219"/>
    <w:rsid w:val="00250305"/>
    <w:rsid w:val="002507EF"/>
    <w:rsid w:val="00250A51"/>
    <w:rsid w:val="00250B23"/>
    <w:rsid w:val="00250C41"/>
    <w:rsid w:val="002510AA"/>
    <w:rsid w:val="0025175E"/>
    <w:rsid w:val="002524E2"/>
    <w:rsid w:val="00252711"/>
    <w:rsid w:val="002531E0"/>
    <w:rsid w:val="002545D8"/>
    <w:rsid w:val="0025499E"/>
    <w:rsid w:val="002550B8"/>
    <w:rsid w:val="00255E6F"/>
    <w:rsid w:val="002561BF"/>
    <w:rsid w:val="00256389"/>
    <w:rsid w:val="00261116"/>
    <w:rsid w:val="002616B9"/>
    <w:rsid w:val="00261ECC"/>
    <w:rsid w:val="002629A1"/>
    <w:rsid w:val="00263099"/>
    <w:rsid w:val="00263361"/>
    <w:rsid w:val="002637A5"/>
    <w:rsid w:val="002641C6"/>
    <w:rsid w:val="002641D2"/>
    <w:rsid w:val="00264375"/>
    <w:rsid w:val="002646D5"/>
    <w:rsid w:val="00264949"/>
    <w:rsid w:val="00264B83"/>
    <w:rsid w:val="00265617"/>
    <w:rsid w:val="0026573E"/>
    <w:rsid w:val="0026665F"/>
    <w:rsid w:val="002667D1"/>
    <w:rsid w:val="002671F8"/>
    <w:rsid w:val="002675E6"/>
    <w:rsid w:val="002704A2"/>
    <w:rsid w:val="00270BA6"/>
    <w:rsid w:val="002710C1"/>
    <w:rsid w:val="002718EC"/>
    <w:rsid w:val="00271B81"/>
    <w:rsid w:val="00271F5F"/>
    <w:rsid w:val="0027204F"/>
    <w:rsid w:val="00272CA4"/>
    <w:rsid w:val="00272FAF"/>
    <w:rsid w:val="00273EB7"/>
    <w:rsid w:val="00274D14"/>
    <w:rsid w:val="002753D7"/>
    <w:rsid w:val="002754B4"/>
    <w:rsid w:val="00275896"/>
    <w:rsid w:val="0027760F"/>
    <w:rsid w:val="002800C6"/>
    <w:rsid w:val="00280B45"/>
    <w:rsid w:val="00280EE7"/>
    <w:rsid w:val="0028143F"/>
    <w:rsid w:val="0028222B"/>
    <w:rsid w:val="00282450"/>
    <w:rsid w:val="00282A6C"/>
    <w:rsid w:val="0028399A"/>
    <w:rsid w:val="00283B01"/>
    <w:rsid w:val="00283DAF"/>
    <w:rsid w:val="00285BBE"/>
    <w:rsid w:val="0028607C"/>
    <w:rsid w:val="0028661F"/>
    <w:rsid w:val="00286B23"/>
    <w:rsid w:val="002877BF"/>
    <w:rsid w:val="002877D0"/>
    <w:rsid w:val="002878C4"/>
    <w:rsid w:val="00287DB7"/>
    <w:rsid w:val="00287F99"/>
    <w:rsid w:val="0029180B"/>
    <w:rsid w:val="00291FDD"/>
    <w:rsid w:val="0029213B"/>
    <w:rsid w:val="00292168"/>
    <w:rsid w:val="0029234D"/>
    <w:rsid w:val="002930A6"/>
    <w:rsid w:val="0029362E"/>
    <w:rsid w:val="00293F7D"/>
    <w:rsid w:val="00294026"/>
    <w:rsid w:val="00294A81"/>
    <w:rsid w:val="00295142"/>
    <w:rsid w:val="002957F0"/>
    <w:rsid w:val="002957F5"/>
    <w:rsid w:val="00295F8F"/>
    <w:rsid w:val="002966BE"/>
    <w:rsid w:val="00297EFE"/>
    <w:rsid w:val="002A0EB7"/>
    <w:rsid w:val="002A1879"/>
    <w:rsid w:val="002A1A79"/>
    <w:rsid w:val="002A2062"/>
    <w:rsid w:val="002A281E"/>
    <w:rsid w:val="002A2990"/>
    <w:rsid w:val="002A2C56"/>
    <w:rsid w:val="002A2F06"/>
    <w:rsid w:val="002A2FBE"/>
    <w:rsid w:val="002A3642"/>
    <w:rsid w:val="002A3A69"/>
    <w:rsid w:val="002A3B86"/>
    <w:rsid w:val="002A3D63"/>
    <w:rsid w:val="002A43D1"/>
    <w:rsid w:val="002A447B"/>
    <w:rsid w:val="002A51DD"/>
    <w:rsid w:val="002A595D"/>
    <w:rsid w:val="002A61E7"/>
    <w:rsid w:val="002A7169"/>
    <w:rsid w:val="002A78CE"/>
    <w:rsid w:val="002A79D9"/>
    <w:rsid w:val="002B0537"/>
    <w:rsid w:val="002B1034"/>
    <w:rsid w:val="002B10B3"/>
    <w:rsid w:val="002B1112"/>
    <w:rsid w:val="002B1412"/>
    <w:rsid w:val="002B1697"/>
    <w:rsid w:val="002B1C9C"/>
    <w:rsid w:val="002B272D"/>
    <w:rsid w:val="002B44D3"/>
    <w:rsid w:val="002B5718"/>
    <w:rsid w:val="002B5C0F"/>
    <w:rsid w:val="002B63FF"/>
    <w:rsid w:val="002B6802"/>
    <w:rsid w:val="002B786C"/>
    <w:rsid w:val="002B7A4D"/>
    <w:rsid w:val="002B7CAD"/>
    <w:rsid w:val="002C0576"/>
    <w:rsid w:val="002C0A0D"/>
    <w:rsid w:val="002C166B"/>
    <w:rsid w:val="002C1B82"/>
    <w:rsid w:val="002C207A"/>
    <w:rsid w:val="002C263A"/>
    <w:rsid w:val="002C2C20"/>
    <w:rsid w:val="002C3277"/>
    <w:rsid w:val="002C36D1"/>
    <w:rsid w:val="002C3927"/>
    <w:rsid w:val="002C3C25"/>
    <w:rsid w:val="002C3EF7"/>
    <w:rsid w:val="002C457A"/>
    <w:rsid w:val="002C4624"/>
    <w:rsid w:val="002C4BCA"/>
    <w:rsid w:val="002C4CBA"/>
    <w:rsid w:val="002C58BA"/>
    <w:rsid w:val="002C5E65"/>
    <w:rsid w:val="002C5E8D"/>
    <w:rsid w:val="002C616E"/>
    <w:rsid w:val="002C6393"/>
    <w:rsid w:val="002C6449"/>
    <w:rsid w:val="002C6675"/>
    <w:rsid w:val="002C7063"/>
    <w:rsid w:val="002C71F1"/>
    <w:rsid w:val="002C72AE"/>
    <w:rsid w:val="002C79C5"/>
    <w:rsid w:val="002C7B9F"/>
    <w:rsid w:val="002D15B4"/>
    <w:rsid w:val="002D177F"/>
    <w:rsid w:val="002D25B2"/>
    <w:rsid w:val="002D26A6"/>
    <w:rsid w:val="002D29DE"/>
    <w:rsid w:val="002D2BF2"/>
    <w:rsid w:val="002D2DE9"/>
    <w:rsid w:val="002D2E84"/>
    <w:rsid w:val="002D334F"/>
    <w:rsid w:val="002D3791"/>
    <w:rsid w:val="002D3CA4"/>
    <w:rsid w:val="002D4198"/>
    <w:rsid w:val="002D429C"/>
    <w:rsid w:val="002D462B"/>
    <w:rsid w:val="002D49C9"/>
    <w:rsid w:val="002D4CA0"/>
    <w:rsid w:val="002D5BB7"/>
    <w:rsid w:val="002D600F"/>
    <w:rsid w:val="002D6924"/>
    <w:rsid w:val="002D6926"/>
    <w:rsid w:val="002D741B"/>
    <w:rsid w:val="002D7DC9"/>
    <w:rsid w:val="002E0648"/>
    <w:rsid w:val="002E0D67"/>
    <w:rsid w:val="002E0F10"/>
    <w:rsid w:val="002E1E69"/>
    <w:rsid w:val="002E1FC8"/>
    <w:rsid w:val="002E2137"/>
    <w:rsid w:val="002E370E"/>
    <w:rsid w:val="002E37D1"/>
    <w:rsid w:val="002E3867"/>
    <w:rsid w:val="002E3D1F"/>
    <w:rsid w:val="002E42BD"/>
    <w:rsid w:val="002E4B58"/>
    <w:rsid w:val="002E5011"/>
    <w:rsid w:val="002E5016"/>
    <w:rsid w:val="002E5AEA"/>
    <w:rsid w:val="002E6147"/>
    <w:rsid w:val="002E61A8"/>
    <w:rsid w:val="002E6BA5"/>
    <w:rsid w:val="002E6C91"/>
    <w:rsid w:val="002E7314"/>
    <w:rsid w:val="002E7840"/>
    <w:rsid w:val="002E7BBC"/>
    <w:rsid w:val="002E7CD3"/>
    <w:rsid w:val="002F0983"/>
    <w:rsid w:val="002F178B"/>
    <w:rsid w:val="002F1983"/>
    <w:rsid w:val="002F1EC7"/>
    <w:rsid w:val="002F23ED"/>
    <w:rsid w:val="002F2DB7"/>
    <w:rsid w:val="002F2F2B"/>
    <w:rsid w:val="002F3316"/>
    <w:rsid w:val="002F3355"/>
    <w:rsid w:val="002F33BF"/>
    <w:rsid w:val="002F3F52"/>
    <w:rsid w:val="002F4583"/>
    <w:rsid w:val="002F48E8"/>
    <w:rsid w:val="002F53B8"/>
    <w:rsid w:val="002F54CB"/>
    <w:rsid w:val="002F59C0"/>
    <w:rsid w:val="002F59F6"/>
    <w:rsid w:val="002F5FA4"/>
    <w:rsid w:val="002F6071"/>
    <w:rsid w:val="002F6318"/>
    <w:rsid w:val="002F683D"/>
    <w:rsid w:val="002F7520"/>
    <w:rsid w:val="002F7BF9"/>
    <w:rsid w:val="002F7DB8"/>
    <w:rsid w:val="002F7DF3"/>
    <w:rsid w:val="003009C4"/>
    <w:rsid w:val="00300EBE"/>
    <w:rsid w:val="003020CC"/>
    <w:rsid w:val="00302536"/>
    <w:rsid w:val="00302824"/>
    <w:rsid w:val="003031BE"/>
    <w:rsid w:val="003031C3"/>
    <w:rsid w:val="003038D5"/>
    <w:rsid w:val="0030402E"/>
    <w:rsid w:val="00304049"/>
    <w:rsid w:val="003047CA"/>
    <w:rsid w:val="00304EA8"/>
    <w:rsid w:val="0030523D"/>
    <w:rsid w:val="0030544D"/>
    <w:rsid w:val="00305B61"/>
    <w:rsid w:val="00306B86"/>
    <w:rsid w:val="00306C16"/>
    <w:rsid w:val="00307C30"/>
    <w:rsid w:val="00310385"/>
    <w:rsid w:val="0031045D"/>
    <w:rsid w:val="003108FB"/>
    <w:rsid w:val="003110F8"/>
    <w:rsid w:val="00311100"/>
    <w:rsid w:val="003119D8"/>
    <w:rsid w:val="00311AD2"/>
    <w:rsid w:val="003122E1"/>
    <w:rsid w:val="00313BFE"/>
    <w:rsid w:val="00313DDA"/>
    <w:rsid w:val="003148F2"/>
    <w:rsid w:val="00315549"/>
    <w:rsid w:val="00315BB1"/>
    <w:rsid w:val="003161AA"/>
    <w:rsid w:val="00316494"/>
    <w:rsid w:val="00317724"/>
    <w:rsid w:val="00317C79"/>
    <w:rsid w:val="00317C81"/>
    <w:rsid w:val="0032047A"/>
    <w:rsid w:val="00320499"/>
    <w:rsid w:val="00320B2F"/>
    <w:rsid w:val="00320CD5"/>
    <w:rsid w:val="00321085"/>
    <w:rsid w:val="003216B4"/>
    <w:rsid w:val="00321C4F"/>
    <w:rsid w:val="00323330"/>
    <w:rsid w:val="00323C90"/>
    <w:rsid w:val="00323F29"/>
    <w:rsid w:val="00324057"/>
    <w:rsid w:val="00324BC6"/>
    <w:rsid w:val="00324D41"/>
    <w:rsid w:val="003252D5"/>
    <w:rsid w:val="00325620"/>
    <w:rsid w:val="00325DC1"/>
    <w:rsid w:val="00326008"/>
    <w:rsid w:val="00326016"/>
    <w:rsid w:val="00326184"/>
    <w:rsid w:val="00326C4E"/>
    <w:rsid w:val="00327334"/>
    <w:rsid w:val="00327516"/>
    <w:rsid w:val="003276AF"/>
    <w:rsid w:val="00330764"/>
    <w:rsid w:val="003307A9"/>
    <w:rsid w:val="003311B3"/>
    <w:rsid w:val="00331604"/>
    <w:rsid w:val="003318C6"/>
    <w:rsid w:val="00331C66"/>
    <w:rsid w:val="0033269D"/>
    <w:rsid w:val="003327EA"/>
    <w:rsid w:val="00333125"/>
    <w:rsid w:val="003337CA"/>
    <w:rsid w:val="00333ACE"/>
    <w:rsid w:val="00333FEC"/>
    <w:rsid w:val="003352B1"/>
    <w:rsid w:val="00335C25"/>
    <w:rsid w:val="003364FB"/>
    <w:rsid w:val="00336B7B"/>
    <w:rsid w:val="00337D69"/>
    <w:rsid w:val="00340F05"/>
    <w:rsid w:val="00342262"/>
    <w:rsid w:val="00342448"/>
    <w:rsid w:val="003424B0"/>
    <w:rsid w:val="003440EF"/>
    <w:rsid w:val="003445AB"/>
    <w:rsid w:val="00344DF0"/>
    <w:rsid w:val="0034515F"/>
    <w:rsid w:val="00345D92"/>
    <w:rsid w:val="00345E2D"/>
    <w:rsid w:val="00346414"/>
    <w:rsid w:val="00346D2B"/>
    <w:rsid w:val="00346E20"/>
    <w:rsid w:val="00347E19"/>
    <w:rsid w:val="00350060"/>
    <w:rsid w:val="0035006B"/>
    <w:rsid w:val="003505A1"/>
    <w:rsid w:val="00351513"/>
    <w:rsid w:val="00351811"/>
    <w:rsid w:val="003525C6"/>
    <w:rsid w:val="003529B3"/>
    <w:rsid w:val="003531A3"/>
    <w:rsid w:val="00353901"/>
    <w:rsid w:val="00353956"/>
    <w:rsid w:val="00353C66"/>
    <w:rsid w:val="00355244"/>
    <w:rsid w:val="0035548A"/>
    <w:rsid w:val="00357D56"/>
    <w:rsid w:val="00357E2E"/>
    <w:rsid w:val="00357E5F"/>
    <w:rsid w:val="00360933"/>
    <w:rsid w:val="00360C2B"/>
    <w:rsid w:val="00361521"/>
    <w:rsid w:val="00361828"/>
    <w:rsid w:val="0036198F"/>
    <w:rsid w:val="00361B50"/>
    <w:rsid w:val="0036223F"/>
    <w:rsid w:val="00362879"/>
    <w:rsid w:val="00362D43"/>
    <w:rsid w:val="0036349C"/>
    <w:rsid w:val="00364040"/>
    <w:rsid w:val="00364376"/>
    <w:rsid w:val="00364A38"/>
    <w:rsid w:val="00364C4F"/>
    <w:rsid w:val="003651FD"/>
    <w:rsid w:val="00365741"/>
    <w:rsid w:val="00365B59"/>
    <w:rsid w:val="00370D68"/>
    <w:rsid w:val="00372820"/>
    <w:rsid w:val="00373529"/>
    <w:rsid w:val="0037414A"/>
    <w:rsid w:val="003742D4"/>
    <w:rsid w:val="0037549E"/>
    <w:rsid w:val="00375ACB"/>
    <w:rsid w:val="00377CC1"/>
    <w:rsid w:val="00377DAE"/>
    <w:rsid w:val="0038015C"/>
    <w:rsid w:val="00381005"/>
    <w:rsid w:val="00381013"/>
    <w:rsid w:val="00382966"/>
    <w:rsid w:val="00383826"/>
    <w:rsid w:val="003839F1"/>
    <w:rsid w:val="0038477E"/>
    <w:rsid w:val="00384ADF"/>
    <w:rsid w:val="00385088"/>
    <w:rsid w:val="0038523E"/>
    <w:rsid w:val="0038527A"/>
    <w:rsid w:val="0038558D"/>
    <w:rsid w:val="00385BFA"/>
    <w:rsid w:val="00385C28"/>
    <w:rsid w:val="00386419"/>
    <w:rsid w:val="00387064"/>
    <w:rsid w:val="003879BC"/>
    <w:rsid w:val="003906E3"/>
    <w:rsid w:val="00390BBC"/>
    <w:rsid w:val="00390D6F"/>
    <w:rsid w:val="00390F4D"/>
    <w:rsid w:val="00390F71"/>
    <w:rsid w:val="003910C4"/>
    <w:rsid w:val="00391F80"/>
    <w:rsid w:val="00392662"/>
    <w:rsid w:val="00392907"/>
    <w:rsid w:val="00393076"/>
    <w:rsid w:val="0039327B"/>
    <w:rsid w:val="0039378B"/>
    <w:rsid w:val="00395803"/>
    <w:rsid w:val="00395BEC"/>
    <w:rsid w:val="0039656F"/>
    <w:rsid w:val="0039688C"/>
    <w:rsid w:val="00397979"/>
    <w:rsid w:val="00397A0D"/>
    <w:rsid w:val="003A06DB"/>
    <w:rsid w:val="003A0AA0"/>
    <w:rsid w:val="003A0D04"/>
    <w:rsid w:val="003A0FC6"/>
    <w:rsid w:val="003A11D3"/>
    <w:rsid w:val="003A1481"/>
    <w:rsid w:val="003A1857"/>
    <w:rsid w:val="003A1C28"/>
    <w:rsid w:val="003A20B1"/>
    <w:rsid w:val="003A220F"/>
    <w:rsid w:val="003A2396"/>
    <w:rsid w:val="003A28F6"/>
    <w:rsid w:val="003A29F0"/>
    <w:rsid w:val="003A3513"/>
    <w:rsid w:val="003A38B1"/>
    <w:rsid w:val="003A406F"/>
    <w:rsid w:val="003A441F"/>
    <w:rsid w:val="003A4AE1"/>
    <w:rsid w:val="003A4BDE"/>
    <w:rsid w:val="003A5382"/>
    <w:rsid w:val="003A6040"/>
    <w:rsid w:val="003A60C2"/>
    <w:rsid w:val="003A6212"/>
    <w:rsid w:val="003A6553"/>
    <w:rsid w:val="003A6964"/>
    <w:rsid w:val="003A6A6E"/>
    <w:rsid w:val="003B08A0"/>
    <w:rsid w:val="003B0C0A"/>
    <w:rsid w:val="003B0D9A"/>
    <w:rsid w:val="003B0DB6"/>
    <w:rsid w:val="003B1A6E"/>
    <w:rsid w:val="003B1D6A"/>
    <w:rsid w:val="003B1FEB"/>
    <w:rsid w:val="003B2513"/>
    <w:rsid w:val="003B2554"/>
    <w:rsid w:val="003B30D4"/>
    <w:rsid w:val="003B3788"/>
    <w:rsid w:val="003B3844"/>
    <w:rsid w:val="003B3D22"/>
    <w:rsid w:val="003B4006"/>
    <w:rsid w:val="003B445A"/>
    <w:rsid w:val="003B4752"/>
    <w:rsid w:val="003B4D85"/>
    <w:rsid w:val="003B4D89"/>
    <w:rsid w:val="003B5355"/>
    <w:rsid w:val="003B5441"/>
    <w:rsid w:val="003B59A0"/>
    <w:rsid w:val="003B5C9B"/>
    <w:rsid w:val="003B5F3D"/>
    <w:rsid w:val="003B6120"/>
    <w:rsid w:val="003B7318"/>
    <w:rsid w:val="003B7569"/>
    <w:rsid w:val="003B7F9B"/>
    <w:rsid w:val="003B7FF2"/>
    <w:rsid w:val="003C0239"/>
    <w:rsid w:val="003C1E7C"/>
    <w:rsid w:val="003C2BDE"/>
    <w:rsid w:val="003C38A4"/>
    <w:rsid w:val="003C4000"/>
    <w:rsid w:val="003C40F8"/>
    <w:rsid w:val="003C4362"/>
    <w:rsid w:val="003C48C4"/>
    <w:rsid w:val="003C4EB9"/>
    <w:rsid w:val="003C505B"/>
    <w:rsid w:val="003C57E0"/>
    <w:rsid w:val="003C5CBD"/>
    <w:rsid w:val="003C5CEA"/>
    <w:rsid w:val="003C652C"/>
    <w:rsid w:val="003C6734"/>
    <w:rsid w:val="003C6C57"/>
    <w:rsid w:val="003C7019"/>
    <w:rsid w:val="003C718E"/>
    <w:rsid w:val="003C76A4"/>
    <w:rsid w:val="003C7F3C"/>
    <w:rsid w:val="003D013E"/>
    <w:rsid w:val="003D0CF2"/>
    <w:rsid w:val="003D156B"/>
    <w:rsid w:val="003D1992"/>
    <w:rsid w:val="003D1B11"/>
    <w:rsid w:val="003D1F1E"/>
    <w:rsid w:val="003D272D"/>
    <w:rsid w:val="003D2E9B"/>
    <w:rsid w:val="003D3904"/>
    <w:rsid w:val="003D42E1"/>
    <w:rsid w:val="003D42FD"/>
    <w:rsid w:val="003D48B4"/>
    <w:rsid w:val="003D5603"/>
    <w:rsid w:val="003D5951"/>
    <w:rsid w:val="003D637C"/>
    <w:rsid w:val="003D6519"/>
    <w:rsid w:val="003D65A7"/>
    <w:rsid w:val="003D6CA6"/>
    <w:rsid w:val="003D7531"/>
    <w:rsid w:val="003D7FA8"/>
    <w:rsid w:val="003E04D6"/>
    <w:rsid w:val="003E0A5D"/>
    <w:rsid w:val="003E1D7C"/>
    <w:rsid w:val="003E1EF0"/>
    <w:rsid w:val="003E3365"/>
    <w:rsid w:val="003E3AD2"/>
    <w:rsid w:val="003E4496"/>
    <w:rsid w:val="003E5024"/>
    <w:rsid w:val="003E5731"/>
    <w:rsid w:val="003E7211"/>
    <w:rsid w:val="003F03C1"/>
    <w:rsid w:val="003F0C81"/>
    <w:rsid w:val="003F179C"/>
    <w:rsid w:val="003F232B"/>
    <w:rsid w:val="003F2CF1"/>
    <w:rsid w:val="003F30C4"/>
    <w:rsid w:val="003F31E3"/>
    <w:rsid w:val="003F3572"/>
    <w:rsid w:val="003F4D82"/>
    <w:rsid w:val="003F4F55"/>
    <w:rsid w:val="003F50AF"/>
    <w:rsid w:val="003F5567"/>
    <w:rsid w:val="003F5950"/>
    <w:rsid w:val="003F5FC6"/>
    <w:rsid w:val="003F6599"/>
    <w:rsid w:val="003F706A"/>
    <w:rsid w:val="003F7674"/>
    <w:rsid w:val="003F7745"/>
    <w:rsid w:val="004007C9"/>
    <w:rsid w:val="00400A5E"/>
    <w:rsid w:val="004018C6"/>
    <w:rsid w:val="00402441"/>
    <w:rsid w:val="00403461"/>
    <w:rsid w:val="00403C18"/>
    <w:rsid w:val="004041A0"/>
    <w:rsid w:val="00405780"/>
    <w:rsid w:val="0040584F"/>
    <w:rsid w:val="004062AE"/>
    <w:rsid w:val="00406368"/>
    <w:rsid w:val="00406963"/>
    <w:rsid w:val="004069AA"/>
    <w:rsid w:val="00406EAF"/>
    <w:rsid w:val="004073C7"/>
    <w:rsid w:val="00407B5F"/>
    <w:rsid w:val="00410435"/>
    <w:rsid w:val="00410EB3"/>
    <w:rsid w:val="0041132E"/>
    <w:rsid w:val="00412125"/>
    <w:rsid w:val="00412587"/>
    <w:rsid w:val="0041275F"/>
    <w:rsid w:val="004128F3"/>
    <w:rsid w:val="00414367"/>
    <w:rsid w:val="004146AD"/>
    <w:rsid w:val="00414A22"/>
    <w:rsid w:val="00414C50"/>
    <w:rsid w:val="00414F7C"/>
    <w:rsid w:val="00415263"/>
    <w:rsid w:val="0041567F"/>
    <w:rsid w:val="00415B07"/>
    <w:rsid w:val="004163BB"/>
    <w:rsid w:val="004167EB"/>
    <w:rsid w:val="00416960"/>
    <w:rsid w:val="00416E7C"/>
    <w:rsid w:val="00417590"/>
    <w:rsid w:val="004204A9"/>
    <w:rsid w:val="00421A75"/>
    <w:rsid w:val="00422349"/>
    <w:rsid w:val="004229A3"/>
    <w:rsid w:val="00422BC9"/>
    <w:rsid w:val="00422CA5"/>
    <w:rsid w:val="00423181"/>
    <w:rsid w:val="00423C57"/>
    <w:rsid w:val="00424D71"/>
    <w:rsid w:val="0042564B"/>
    <w:rsid w:val="00426968"/>
    <w:rsid w:val="0042750A"/>
    <w:rsid w:val="00427767"/>
    <w:rsid w:val="0043018E"/>
    <w:rsid w:val="004301AC"/>
    <w:rsid w:val="004305B9"/>
    <w:rsid w:val="004314A4"/>
    <w:rsid w:val="00432947"/>
    <w:rsid w:val="004339E3"/>
    <w:rsid w:val="00433A8C"/>
    <w:rsid w:val="00434BF5"/>
    <w:rsid w:val="0043597C"/>
    <w:rsid w:val="00435A45"/>
    <w:rsid w:val="00435D39"/>
    <w:rsid w:val="00435EB7"/>
    <w:rsid w:val="00436878"/>
    <w:rsid w:val="00436A04"/>
    <w:rsid w:val="00436F7F"/>
    <w:rsid w:val="004372E7"/>
    <w:rsid w:val="0043731F"/>
    <w:rsid w:val="0043766A"/>
    <w:rsid w:val="00437A23"/>
    <w:rsid w:val="00440CF7"/>
    <w:rsid w:val="00442018"/>
    <w:rsid w:val="0044357B"/>
    <w:rsid w:val="00443B5B"/>
    <w:rsid w:val="00445721"/>
    <w:rsid w:val="00445B02"/>
    <w:rsid w:val="00445F07"/>
    <w:rsid w:val="00446678"/>
    <w:rsid w:val="004466D6"/>
    <w:rsid w:val="00446D84"/>
    <w:rsid w:val="00446FFF"/>
    <w:rsid w:val="0044729F"/>
    <w:rsid w:val="0045016F"/>
    <w:rsid w:val="004503EF"/>
    <w:rsid w:val="004504CE"/>
    <w:rsid w:val="004508D8"/>
    <w:rsid w:val="00450A4E"/>
    <w:rsid w:val="004511EE"/>
    <w:rsid w:val="00451ADC"/>
    <w:rsid w:val="004522F8"/>
    <w:rsid w:val="0045269D"/>
    <w:rsid w:val="004529C2"/>
    <w:rsid w:val="00452ED2"/>
    <w:rsid w:val="00453140"/>
    <w:rsid w:val="00453DF7"/>
    <w:rsid w:val="00454316"/>
    <w:rsid w:val="00454360"/>
    <w:rsid w:val="00455859"/>
    <w:rsid w:val="00455DAA"/>
    <w:rsid w:val="00456202"/>
    <w:rsid w:val="00456580"/>
    <w:rsid w:val="00456BF0"/>
    <w:rsid w:val="004574F1"/>
    <w:rsid w:val="00457588"/>
    <w:rsid w:val="00457E3B"/>
    <w:rsid w:val="00461D1C"/>
    <w:rsid w:val="00462016"/>
    <w:rsid w:val="004629F6"/>
    <w:rsid w:val="00462A48"/>
    <w:rsid w:val="00463653"/>
    <w:rsid w:val="00463BD2"/>
    <w:rsid w:val="00464109"/>
    <w:rsid w:val="00464265"/>
    <w:rsid w:val="00464339"/>
    <w:rsid w:val="00464CF0"/>
    <w:rsid w:val="00465838"/>
    <w:rsid w:val="004659E5"/>
    <w:rsid w:val="00465F7B"/>
    <w:rsid w:val="00466983"/>
    <w:rsid w:val="00466BE7"/>
    <w:rsid w:val="00466DCC"/>
    <w:rsid w:val="00467D6A"/>
    <w:rsid w:val="0047090F"/>
    <w:rsid w:val="00470D7F"/>
    <w:rsid w:val="00470E39"/>
    <w:rsid w:val="0047132E"/>
    <w:rsid w:val="00471907"/>
    <w:rsid w:val="00471C6E"/>
    <w:rsid w:val="0047230E"/>
    <w:rsid w:val="0047243B"/>
    <w:rsid w:val="004735B7"/>
    <w:rsid w:val="004738F1"/>
    <w:rsid w:val="004753B5"/>
    <w:rsid w:val="004758F2"/>
    <w:rsid w:val="00476333"/>
    <w:rsid w:val="0047697B"/>
    <w:rsid w:val="00476A70"/>
    <w:rsid w:val="00476D6B"/>
    <w:rsid w:val="00477985"/>
    <w:rsid w:val="00477A28"/>
    <w:rsid w:val="004802EA"/>
    <w:rsid w:val="00480746"/>
    <w:rsid w:val="00480B94"/>
    <w:rsid w:val="00480BA3"/>
    <w:rsid w:val="00480C1A"/>
    <w:rsid w:val="00480F11"/>
    <w:rsid w:val="00483580"/>
    <w:rsid w:val="00484227"/>
    <w:rsid w:val="00486A15"/>
    <w:rsid w:val="00487508"/>
    <w:rsid w:val="00487630"/>
    <w:rsid w:val="004904DC"/>
    <w:rsid w:val="004905FA"/>
    <w:rsid w:val="0049108E"/>
    <w:rsid w:val="004915F0"/>
    <w:rsid w:val="004916BA"/>
    <w:rsid w:val="0049187A"/>
    <w:rsid w:val="00492290"/>
    <w:rsid w:val="00492426"/>
    <w:rsid w:val="00492464"/>
    <w:rsid w:val="00492D14"/>
    <w:rsid w:val="0049356F"/>
    <w:rsid w:val="004937A7"/>
    <w:rsid w:val="00494753"/>
    <w:rsid w:val="004953B4"/>
    <w:rsid w:val="00495448"/>
    <w:rsid w:val="00496DEB"/>
    <w:rsid w:val="004A0D12"/>
    <w:rsid w:val="004A0DA7"/>
    <w:rsid w:val="004A0FD2"/>
    <w:rsid w:val="004A112C"/>
    <w:rsid w:val="004A1531"/>
    <w:rsid w:val="004A157A"/>
    <w:rsid w:val="004A1ADE"/>
    <w:rsid w:val="004A1D8A"/>
    <w:rsid w:val="004A2A7E"/>
    <w:rsid w:val="004A2AC1"/>
    <w:rsid w:val="004A2F68"/>
    <w:rsid w:val="004A395B"/>
    <w:rsid w:val="004A397C"/>
    <w:rsid w:val="004A39A1"/>
    <w:rsid w:val="004A3A26"/>
    <w:rsid w:val="004A49F7"/>
    <w:rsid w:val="004A5107"/>
    <w:rsid w:val="004A5745"/>
    <w:rsid w:val="004A5C2E"/>
    <w:rsid w:val="004A5D3F"/>
    <w:rsid w:val="004A637F"/>
    <w:rsid w:val="004A63B7"/>
    <w:rsid w:val="004A684F"/>
    <w:rsid w:val="004A693D"/>
    <w:rsid w:val="004A731F"/>
    <w:rsid w:val="004A78F4"/>
    <w:rsid w:val="004A7B37"/>
    <w:rsid w:val="004A7B75"/>
    <w:rsid w:val="004A7C5B"/>
    <w:rsid w:val="004B00AF"/>
    <w:rsid w:val="004B137D"/>
    <w:rsid w:val="004B1FD1"/>
    <w:rsid w:val="004B253D"/>
    <w:rsid w:val="004B255C"/>
    <w:rsid w:val="004B2717"/>
    <w:rsid w:val="004B2AE6"/>
    <w:rsid w:val="004B3083"/>
    <w:rsid w:val="004B351F"/>
    <w:rsid w:val="004B3A23"/>
    <w:rsid w:val="004B3D41"/>
    <w:rsid w:val="004B4D5D"/>
    <w:rsid w:val="004B512F"/>
    <w:rsid w:val="004B5399"/>
    <w:rsid w:val="004B5607"/>
    <w:rsid w:val="004B586A"/>
    <w:rsid w:val="004B5EB7"/>
    <w:rsid w:val="004B61E5"/>
    <w:rsid w:val="004B6451"/>
    <w:rsid w:val="004B64BE"/>
    <w:rsid w:val="004B739F"/>
    <w:rsid w:val="004B7660"/>
    <w:rsid w:val="004B7F7A"/>
    <w:rsid w:val="004C0773"/>
    <w:rsid w:val="004C07D9"/>
    <w:rsid w:val="004C0B92"/>
    <w:rsid w:val="004C0C2A"/>
    <w:rsid w:val="004C0F6A"/>
    <w:rsid w:val="004C11AC"/>
    <w:rsid w:val="004C2132"/>
    <w:rsid w:val="004C26B9"/>
    <w:rsid w:val="004C2759"/>
    <w:rsid w:val="004C30A5"/>
    <w:rsid w:val="004C32B1"/>
    <w:rsid w:val="004C410D"/>
    <w:rsid w:val="004C4744"/>
    <w:rsid w:val="004C4C10"/>
    <w:rsid w:val="004C4C90"/>
    <w:rsid w:val="004C4CB5"/>
    <w:rsid w:val="004C5E3D"/>
    <w:rsid w:val="004C62D3"/>
    <w:rsid w:val="004C708A"/>
    <w:rsid w:val="004C73A2"/>
    <w:rsid w:val="004D0130"/>
    <w:rsid w:val="004D0C0E"/>
    <w:rsid w:val="004D1373"/>
    <w:rsid w:val="004D181F"/>
    <w:rsid w:val="004D21F4"/>
    <w:rsid w:val="004D2245"/>
    <w:rsid w:val="004D2377"/>
    <w:rsid w:val="004D3C40"/>
    <w:rsid w:val="004D4365"/>
    <w:rsid w:val="004D4804"/>
    <w:rsid w:val="004D48D6"/>
    <w:rsid w:val="004D5399"/>
    <w:rsid w:val="004D56C9"/>
    <w:rsid w:val="004D5973"/>
    <w:rsid w:val="004D5A76"/>
    <w:rsid w:val="004D5D4E"/>
    <w:rsid w:val="004D5EFA"/>
    <w:rsid w:val="004D608B"/>
    <w:rsid w:val="004D61C4"/>
    <w:rsid w:val="004D655B"/>
    <w:rsid w:val="004D6F98"/>
    <w:rsid w:val="004D73CA"/>
    <w:rsid w:val="004D7545"/>
    <w:rsid w:val="004D7BC6"/>
    <w:rsid w:val="004D7BE6"/>
    <w:rsid w:val="004D7D21"/>
    <w:rsid w:val="004E0495"/>
    <w:rsid w:val="004E0D5A"/>
    <w:rsid w:val="004E2248"/>
    <w:rsid w:val="004E2DC7"/>
    <w:rsid w:val="004E3205"/>
    <w:rsid w:val="004E3344"/>
    <w:rsid w:val="004E335E"/>
    <w:rsid w:val="004E3738"/>
    <w:rsid w:val="004E3893"/>
    <w:rsid w:val="004E4298"/>
    <w:rsid w:val="004E4470"/>
    <w:rsid w:val="004E4D07"/>
    <w:rsid w:val="004E58EA"/>
    <w:rsid w:val="004E5FDC"/>
    <w:rsid w:val="004E6678"/>
    <w:rsid w:val="004E675A"/>
    <w:rsid w:val="004E68AD"/>
    <w:rsid w:val="004E7B70"/>
    <w:rsid w:val="004F1A81"/>
    <w:rsid w:val="004F2613"/>
    <w:rsid w:val="004F2B59"/>
    <w:rsid w:val="004F2DBF"/>
    <w:rsid w:val="004F3689"/>
    <w:rsid w:val="004F399A"/>
    <w:rsid w:val="004F438B"/>
    <w:rsid w:val="004F4AD9"/>
    <w:rsid w:val="004F4DC9"/>
    <w:rsid w:val="004F5EC7"/>
    <w:rsid w:val="004F6350"/>
    <w:rsid w:val="004F6827"/>
    <w:rsid w:val="004F6FEA"/>
    <w:rsid w:val="004F70E9"/>
    <w:rsid w:val="004F748F"/>
    <w:rsid w:val="004F7697"/>
    <w:rsid w:val="004F7FC3"/>
    <w:rsid w:val="00500C69"/>
    <w:rsid w:val="005013B2"/>
    <w:rsid w:val="00501922"/>
    <w:rsid w:val="00501E2F"/>
    <w:rsid w:val="0050201F"/>
    <w:rsid w:val="0050270C"/>
    <w:rsid w:val="005028F3"/>
    <w:rsid w:val="00503706"/>
    <w:rsid w:val="00504A63"/>
    <w:rsid w:val="00505131"/>
    <w:rsid w:val="00505D21"/>
    <w:rsid w:val="00505D33"/>
    <w:rsid w:val="00506069"/>
    <w:rsid w:val="005062E8"/>
    <w:rsid w:val="00506789"/>
    <w:rsid w:val="005071F7"/>
    <w:rsid w:val="00507E84"/>
    <w:rsid w:val="005102F7"/>
    <w:rsid w:val="0051042D"/>
    <w:rsid w:val="00510736"/>
    <w:rsid w:val="00510864"/>
    <w:rsid w:val="00511198"/>
    <w:rsid w:val="005117D7"/>
    <w:rsid w:val="0051297E"/>
    <w:rsid w:val="00512B5D"/>
    <w:rsid w:val="00513939"/>
    <w:rsid w:val="00513BE6"/>
    <w:rsid w:val="00513DA7"/>
    <w:rsid w:val="00513FB6"/>
    <w:rsid w:val="005142F5"/>
    <w:rsid w:val="00514FD9"/>
    <w:rsid w:val="00515315"/>
    <w:rsid w:val="0051563E"/>
    <w:rsid w:val="005156EB"/>
    <w:rsid w:val="00515930"/>
    <w:rsid w:val="00516A22"/>
    <w:rsid w:val="00516BBC"/>
    <w:rsid w:val="00516F2B"/>
    <w:rsid w:val="005179FA"/>
    <w:rsid w:val="00517E02"/>
    <w:rsid w:val="005202D8"/>
    <w:rsid w:val="00521098"/>
    <w:rsid w:val="00521148"/>
    <w:rsid w:val="0052131C"/>
    <w:rsid w:val="00521C53"/>
    <w:rsid w:val="00521DD2"/>
    <w:rsid w:val="005222F1"/>
    <w:rsid w:val="005236FE"/>
    <w:rsid w:val="0052390D"/>
    <w:rsid w:val="00523C7F"/>
    <w:rsid w:val="00523DD6"/>
    <w:rsid w:val="00523E73"/>
    <w:rsid w:val="00524570"/>
    <w:rsid w:val="00524C1E"/>
    <w:rsid w:val="00525718"/>
    <w:rsid w:val="00525F03"/>
    <w:rsid w:val="0052636E"/>
    <w:rsid w:val="005271BE"/>
    <w:rsid w:val="00527323"/>
    <w:rsid w:val="00527981"/>
    <w:rsid w:val="005279E7"/>
    <w:rsid w:val="005308F1"/>
    <w:rsid w:val="00531280"/>
    <w:rsid w:val="005316CC"/>
    <w:rsid w:val="00531A53"/>
    <w:rsid w:val="00531A55"/>
    <w:rsid w:val="00531BB7"/>
    <w:rsid w:val="00531BD8"/>
    <w:rsid w:val="00531FC1"/>
    <w:rsid w:val="0053237B"/>
    <w:rsid w:val="00532E26"/>
    <w:rsid w:val="0053417D"/>
    <w:rsid w:val="00534878"/>
    <w:rsid w:val="00534D93"/>
    <w:rsid w:val="00535D4C"/>
    <w:rsid w:val="00537755"/>
    <w:rsid w:val="00537D65"/>
    <w:rsid w:val="00540CB2"/>
    <w:rsid w:val="00541B17"/>
    <w:rsid w:val="0054228B"/>
    <w:rsid w:val="00542407"/>
    <w:rsid w:val="005438CB"/>
    <w:rsid w:val="00544E27"/>
    <w:rsid w:val="00545ED1"/>
    <w:rsid w:val="00545F84"/>
    <w:rsid w:val="00546218"/>
    <w:rsid w:val="00546AA2"/>
    <w:rsid w:val="0054742A"/>
    <w:rsid w:val="005474EE"/>
    <w:rsid w:val="00550564"/>
    <w:rsid w:val="00551093"/>
    <w:rsid w:val="005516D9"/>
    <w:rsid w:val="00551945"/>
    <w:rsid w:val="005522A4"/>
    <w:rsid w:val="00552454"/>
    <w:rsid w:val="00552986"/>
    <w:rsid w:val="00552B0B"/>
    <w:rsid w:val="00552E5F"/>
    <w:rsid w:val="00552F74"/>
    <w:rsid w:val="005531FC"/>
    <w:rsid w:val="0055328E"/>
    <w:rsid w:val="005532D9"/>
    <w:rsid w:val="00553CE2"/>
    <w:rsid w:val="00554238"/>
    <w:rsid w:val="00554640"/>
    <w:rsid w:val="00554A00"/>
    <w:rsid w:val="00554C55"/>
    <w:rsid w:val="00555109"/>
    <w:rsid w:val="005552DA"/>
    <w:rsid w:val="00555929"/>
    <w:rsid w:val="00556014"/>
    <w:rsid w:val="0055709F"/>
    <w:rsid w:val="005576B7"/>
    <w:rsid w:val="00557D2B"/>
    <w:rsid w:val="00560034"/>
    <w:rsid w:val="00560B35"/>
    <w:rsid w:val="00560BB7"/>
    <w:rsid w:val="00561B62"/>
    <w:rsid w:val="005623F3"/>
    <w:rsid w:val="00565064"/>
    <w:rsid w:val="005654CE"/>
    <w:rsid w:val="0056564D"/>
    <w:rsid w:val="00565F83"/>
    <w:rsid w:val="0056627F"/>
    <w:rsid w:val="00566D3E"/>
    <w:rsid w:val="0056703D"/>
    <w:rsid w:val="00567FDB"/>
    <w:rsid w:val="005702D7"/>
    <w:rsid w:val="005705E7"/>
    <w:rsid w:val="00571177"/>
    <w:rsid w:val="00571AD3"/>
    <w:rsid w:val="00571C34"/>
    <w:rsid w:val="005723C0"/>
    <w:rsid w:val="005747FE"/>
    <w:rsid w:val="00574869"/>
    <w:rsid w:val="0057517D"/>
    <w:rsid w:val="00576183"/>
    <w:rsid w:val="00576442"/>
    <w:rsid w:val="0057677B"/>
    <w:rsid w:val="005768E6"/>
    <w:rsid w:val="00576FD0"/>
    <w:rsid w:val="00577296"/>
    <w:rsid w:val="00577326"/>
    <w:rsid w:val="0057796E"/>
    <w:rsid w:val="005806ED"/>
    <w:rsid w:val="005808D1"/>
    <w:rsid w:val="00580A85"/>
    <w:rsid w:val="00580ADD"/>
    <w:rsid w:val="00580CA8"/>
    <w:rsid w:val="00581A81"/>
    <w:rsid w:val="00582054"/>
    <w:rsid w:val="00582679"/>
    <w:rsid w:val="005832F2"/>
    <w:rsid w:val="005841C1"/>
    <w:rsid w:val="005844B3"/>
    <w:rsid w:val="005844EB"/>
    <w:rsid w:val="00584720"/>
    <w:rsid w:val="00584F20"/>
    <w:rsid w:val="00584FB7"/>
    <w:rsid w:val="00585C69"/>
    <w:rsid w:val="005861D7"/>
    <w:rsid w:val="00586AB2"/>
    <w:rsid w:val="00586C56"/>
    <w:rsid w:val="0058712C"/>
    <w:rsid w:val="00587B79"/>
    <w:rsid w:val="0059033B"/>
    <w:rsid w:val="00590502"/>
    <w:rsid w:val="005905E2"/>
    <w:rsid w:val="00591238"/>
    <w:rsid w:val="00591871"/>
    <w:rsid w:val="00591AED"/>
    <w:rsid w:val="00592710"/>
    <w:rsid w:val="00592BCA"/>
    <w:rsid w:val="00593077"/>
    <w:rsid w:val="00593666"/>
    <w:rsid w:val="00593999"/>
    <w:rsid w:val="005955AF"/>
    <w:rsid w:val="005955D2"/>
    <w:rsid w:val="0059574F"/>
    <w:rsid w:val="0059664A"/>
    <w:rsid w:val="00596A54"/>
    <w:rsid w:val="00596D57"/>
    <w:rsid w:val="00596DB8"/>
    <w:rsid w:val="00596FE8"/>
    <w:rsid w:val="0059746F"/>
    <w:rsid w:val="005A0260"/>
    <w:rsid w:val="005A054B"/>
    <w:rsid w:val="005A07A0"/>
    <w:rsid w:val="005A0A92"/>
    <w:rsid w:val="005A1481"/>
    <w:rsid w:val="005A154B"/>
    <w:rsid w:val="005A1A7F"/>
    <w:rsid w:val="005A1B1F"/>
    <w:rsid w:val="005A1D20"/>
    <w:rsid w:val="005A237B"/>
    <w:rsid w:val="005A23BB"/>
    <w:rsid w:val="005A287D"/>
    <w:rsid w:val="005A2BAD"/>
    <w:rsid w:val="005A3C70"/>
    <w:rsid w:val="005A3FB4"/>
    <w:rsid w:val="005A51F5"/>
    <w:rsid w:val="005A5502"/>
    <w:rsid w:val="005A5835"/>
    <w:rsid w:val="005A610D"/>
    <w:rsid w:val="005A6915"/>
    <w:rsid w:val="005A6D1B"/>
    <w:rsid w:val="005A7765"/>
    <w:rsid w:val="005A7C55"/>
    <w:rsid w:val="005B1E4E"/>
    <w:rsid w:val="005B2C28"/>
    <w:rsid w:val="005B2C93"/>
    <w:rsid w:val="005B3A00"/>
    <w:rsid w:val="005B3B54"/>
    <w:rsid w:val="005B3CFF"/>
    <w:rsid w:val="005B4B77"/>
    <w:rsid w:val="005B4BC3"/>
    <w:rsid w:val="005B5504"/>
    <w:rsid w:val="005B5515"/>
    <w:rsid w:val="005B5ABF"/>
    <w:rsid w:val="005B5F1B"/>
    <w:rsid w:val="005B67A5"/>
    <w:rsid w:val="005B6EE7"/>
    <w:rsid w:val="005B7833"/>
    <w:rsid w:val="005C000D"/>
    <w:rsid w:val="005C005A"/>
    <w:rsid w:val="005C007B"/>
    <w:rsid w:val="005C04A0"/>
    <w:rsid w:val="005C1D6A"/>
    <w:rsid w:val="005C28B0"/>
    <w:rsid w:val="005C297E"/>
    <w:rsid w:val="005C2C9D"/>
    <w:rsid w:val="005C36BB"/>
    <w:rsid w:val="005C4A89"/>
    <w:rsid w:val="005C547B"/>
    <w:rsid w:val="005C55AD"/>
    <w:rsid w:val="005C5758"/>
    <w:rsid w:val="005C6F3F"/>
    <w:rsid w:val="005C7299"/>
    <w:rsid w:val="005C7E48"/>
    <w:rsid w:val="005D0262"/>
    <w:rsid w:val="005D0B87"/>
    <w:rsid w:val="005D113B"/>
    <w:rsid w:val="005D17AD"/>
    <w:rsid w:val="005D2248"/>
    <w:rsid w:val="005D224D"/>
    <w:rsid w:val="005D2506"/>
    <w:rsid w:val="005D26C0"/>
    <w:rsid w:val="005D26F4"/>
    <w:rsid w:val="005D2B29"/>
    <w:rsid w:val="005D319E"/>
    <w:rsid w:val="005D4603"/>
    <w:rsid w:val="005D4AA7"/>
    <w:rsid w:val="005D4BD8"/>
    <w:rsid w:val="005D5DE3"/>
    <w:rsid w:val="005D5F95"/>
    <w:rsid w:val="005D6AB5"/>
    <w:rsid w:val="005D6D0B"/>
    <w:rsid w:val="005D757C"/>
    <w:rsid w:val="005E082F"/>
    <w:rsid w:val="005E11F6"/>
    <w:rsid w:val="005E2440"/>
    <w:rsid w:val="005E25D4"/>
    <w:rsid w:val="005E31A2"/>
    <w:rsid w:val="005E3F78"/>
    <w:rsid w:val="005E3FF3"/>
    <w:rsid w:val="005E4360"/>
    <w:rsid w:val="005E4E95"/>
    <w:rsid w:val="005E62CD"/>
    <w:rsid w:val="005E6635"/>
    <w:rsid w:val="005E6D01"/>
    <w:rsid w:val="005E73BB"/>
    <w:rsid w:val="005E7642"/>
    <w:rsid w:val="005E7E74"/>
    <w:rsid w:val="005E7F55"/>
    <w:rsid w:val="005F026E"/>
    <w:rsid w:val="005F0E5C"/>
    <w:rsid w:val="005F130C"/>
    <w:rsid w:val="005F154F"/>
    <w:rsid w:val="005F16E3"/>
    <w:rsid w:val="005F19AE"/>
    <w:rsid w:val="005F21BE"/>
    <w:rsid w:val="005F21E3"/>
    <w:rsid w:val="005F228B"/>
    <w:rsid w:val="005F27B6"/>
    <w:rsid w:val="005F2A3E"/>
    <w:rsid w:val="005F2ADA"/>
    <w:rsid w:val="005F3C47"/>
    <w:rsid w:val="005F4CE7"/>
    <w:rsid w:val="005F5056"/>
    <w:rsid w:val="005F6DC3"/>
    <w:rsid w:val="005F73FB"/>
    <w:rsid w:val="005F79CE"/>
    <w:rsid w:val="00600EC9"/>
    <w:rsid w:val="00600FD5"/>
    <w:rsid w:val="006017E3"/>
    <w:rsid w:val="0060270D"/>
    <w:rsid w:val="00602A35"/>
    <w:rsid w:val="00602BD9"/>
    <w:rsid w:val="00603304"/>
    <w:rsid w:val="0060372F"/>
    <w:rsid w:val="006037E7"/>
    <w:rsid w:val="00603847"/>
    <w:rsid w:val="00603FC9"/>
    <w:rsid w:val="0060472C"/>
    <w:rsid w:val="00605271"/>
    <w:rsid w:val="00605393"/>
    <w:rsid w:val="00605B7D"/>
    <w:rsid w:val="00605DD5"/>
    <w:rsid w:val="00605E3D"/>
    <w:rsid w:val="00605F1C"/>
    <w:rsid w:val="00606B47"/>
    <w:rsid w:val="00607560"/>
    <w:rsid w:val="00607E09"/>
    <w:rsid w:val="006129F4"/>
    <w:rsid w:val="00613129"/>
    <w:rsid w:val="00613583"/>
    <w:rsid w:val="00613A6A"/>
    <w:rsid w:val="006140C9"/>
    <w:rsid w:val="00614615"/>
    <w:rsid w:val="00614BC2"/>
    <w:rsid w:val="00615224"/>
    <w:rsid w:val="00615E11"/>
    <w:rsid w:val="00615E64"/>
    <w:rsid w:val="006166D8"/>
    <w:rsid w:val="006167BC"/>
    <w:rsid w:val="00616CDC"/>
    <w:rsid w:val="00616DD7"/>
    <w:rsid w:val="00616F9D"/>
    <w:rsid w:val="006179CB"/>
    <w:rsid w:val="006202D4"/>
    <w:rsid w:val="00620989"/>
    <w:rsid w:val="00621409"/>
    <w:rsid w:val="0062143E"/>
    <w:rsid w:val="0062147C"/>
    <w:rsid w:val="00621855"/>
    <w:rsid w:val="006226AD"/>
    <w:rsid w:val="006233DF"/>
    <w:rsid w:val="0062385A"/>
    <w:rsid w:val="006238DB"/>
    <w:rsid w:val="00623FB5"/>
    <w:rsid w:val="00625574"/>
    <w:rsid w:val="00625D72"/>
    <w:rsid w:val="00625E67"/>
    <w:rsid w:val="006261AF"/>
    <w:rsid w:val="00626797"/>
    <w:rsid w:val="00626D94"/>
    <w:rsid w:val="00626DF4"/>
    <w:rsid w:val="00627101"/>
    <w:rsid w:val="00627930"/>
    <w:rsid w:val="00627CE0"/>
    <w:rsid w:val="006308E4"/>
    <w:rsid w:val="006314C4"/>
    <w:rsid w:val="00632655"/>
    <w:rsid w:val="006330F8"/>
    <w:rsid w:val="00633E5E"/>
    <w:rsid w:val="00633FC2"/>
    <w:rsid w:val="00634B27"/>
    <w:rsid w:val="00634C74"/>
    <w:rsid w:val="006350E1"/>
    <w:rsid w:val="00635113"/>
    <w:rsid w:val="006351A3"/>
    <w:rsid w:val="00635486"/>
    <w:rsid w:val="006356D5"/>
    <w:rsid w:val="00635860"/>
    <w:rsid w:val="00635C8A"/>
    <w:rsid w:val="0063663C"/>
    <w:rsid w:val="00636804"/>
    <w:rsid w:val="00637180"/>
    <w:rsid w:val="0063719C"/>
    <w:rsid w:val="00637860"/>
    <w:rsid w:val="0064166B"/>
    <w:rsid w:val="006418CB"/>
    <w:rsid w:val="00642EE5"/>
    <w:rsid w:val="006436B8"/>
    <w:rsid w:val="00643903"/>
    <w:rsid w:val="00643B07"/>
    <w:rsid w:val="00643BAC"/>
    <w:rsid w:val="00644606"/>
    <w:rsid w:val="0064467E"/>
    <w:rsid w:val="00645263"/>
    <w:rsid w:val="0064557C"/>
    <w:rsid w:val="006471F7"/>
    <w:rsid w:val="00647306"/>
    <w:rsid w:val="0064757D"/>
    <w:rsid w:val="00647652"/>
    <w:rsid w:val="00647E1D"/>
    <w:rsid w:val="0065099F"/>
    <w:rsid w:val="00650C7C"/>
    <w:rsid w:val="00650C9E"/>
    <w:rsid w:val="00650E08"/>
    <w:rsid w:val="00650EE8"/>
    <w:rsid w:val="00651092"/>
    <w:rsid w:val="00651231"/>
    <w:rsid w:val="0065158B"/>
    <w:rsid w:val="006517B4"/>
    <w:rsid w:val="00651C28"/>
    <w:rsid w:val="00652142"/>
    <w:rsid w:val="006523DA"/>
    <w:rsid w:val="00652651"/>
    <w:rsid w:val="00653C5B"/>
    <w:rsid w:val="006540FF"/>
    <w:rsid w:val="00654501"/>
    <w:rsid w:val="00654916"/>
    <w:rsid w:val="00655859"/>
    <w:rsid w:val="00655D47"/>
    <w:rsid w:val="00656837"/>
    <w:rsid w:val="0065787B"/>
    <w:rsid w:val="0065798F"/>
    <w:rsid w:val="00660B3E"/>
    <w:rsid w:val="00660F5B"/>
    <w:rsid w:val="00660F8A"/>
    <w:rsid w:val="0066117F"/>
    <w:rsid w:val="00661BC6"/>
    <w:rsid w:val="00661D1A"/>
    <w:rsid w:val="0066261D"/>
    <w:rsid w:val="006627F5"/>
    <w:rsid w:val="00662C24"/>
    <w:rsid w:val="00662CC1"/>
    <w:rsid w:val="006631BD"/>
    <w:rsid w:val="006638DF"/>
    <w:rsid w:val="00663A3F"/>
    <w:rsid w:val="00663D31"/>
    <w:rsid w:val="00663D43"/>
    <w:rsid w:val="0066402B"/>
    <w:rsid w:val="00664426"/>
    <w:rsid w:val="00664833"/>
    <w:rsid w:val="00664C36"/>
    <w:rsid w:val="00664F5B"/>
    <w:rsid w:val="00665368"/>
    <w:rsid w:val="00665500"/>
    <w:rsid w:val="00665AB2"/>
    <w:rsid w:val="00665ADB"/>
    <w:rsid w:val="0066609D"/>
    <w:rsid w:val="00666875"/>
    <w:rsid w:val="00667A98"/>
    <w:rsid w:val="00667C4A"/>
    <w:rsid w:val="006703BB"/>
    <w:rsid w:val="00670AEF"/>
    <w:rsid w:val="00671207"/>
    <w:rsid w:val="006714AA"/>
    <w:rsid w:val="00671ADB"/>
    <w:rsid w:val="00671DB2"/>
    <w:rsid w:val="00672BA2"/>
    <w:rsid w:val="00672EFD"/>
    <w:rsid w:val="0067321A"/>
    <w:rsid w:val="0067381B"/>
    <w:rsid w:val="00673D4F"/>
    <w:rsid w:val="0067436E"/>
    <w:rsid w:val="00674841"/>
    <w:rsid w:val="0067596A"/>
    <w:rsid w:val="00676BBF"/>
    <w:rsid w:val="006772BB"/>
    <w:rsid w:val="00680607"/>
    <w:rsid w:val="0068119C"/>
    <w:rsid w:val="006811F9"/>
    <w:rsid w:val="00681602"/>
    <w:rsid w:val="00681CB5"/>
    <w:rsid w:val="00682202"/>
    <w:rsid w:val="00682717"/>
    <w:rsid w:val="00682C8D"/>
    <w:rsid w:val="006834EE"/>
    <w:rsid w:val="006835C4"/>
    <w:rsid w:val="0068385B"/>
    <w:rsid w:val="00684564"/>
    <w:rsid w:val="00685D1D"/>
    <w:rsid w:val="00686AB6"/>
    <w:rsid w:val="0068727F"/>
    <w:rsid w:val="006879FA"/>
    <w:rsid w:val="00690174"/>
    <w:rsid w:val="00690A68"/>
    <w:rsid w:val="00690FB6"/>
    <w:rsid w:val="006911C5"/>
    <w:rsid w:val="00692710"/>
    <w:rsid w:val="0069271F"/>
    <w:rsid w:val="00692984"/>
    <w:rsid w:val="00694626"/>
    <w:rsid w:val="006947F3"/>
    <w:rsid w:val="0069481C"/>
    <w:rsid w:val="00694BE3"/>
    <w:rsid w:val="00694F34"/>
    <w:rsid w:val="00696215"/>
    <w:rsid w:val="00697592"/>
    <w:rsid w:val="00697629"/>
    <w:rsid w:val="006A05EB"/>
    <w:rsid w:val="006A1175"/>
    <w:rsid w:val="006A158E"/>
    <w:rsid w:val="006A1A49"/>
    <w:rsid w:val="006A23E2"/>
    <w:rsid w:val="006A2CA0"/>
    <w:rsid w:val="006A34F2"/>
    <w:rsid w:val="006A4A56"/>
    <w:rsid w:val="006A4E59"/>
    <w:rsid w:val="006A58F1"/>
    <w:rsid w:val="006A5AEF"/>
    <w:rsid w:val="006A5CF3"/>
    <w:rsid w:val="006A68BB"/>
    <w:rsid w:val="006A6C2F"/>
    <w:rsid w:val="006A6E4F"/>
    <w:rsid w:val="006A7892"/>
    <w:rsid w:val="006A7A42"/>
    <w:rsid w:val="006B0646"/>
    <w:rsid w:val="006B0667"/>
    <w:rsid w:val="006B1710"/>
    <w:rsid w:val="006B1A70"/>
    <w:rsid w:val="006B1FAE"/>
    <w:rsid w:val="006B205D"/>
    <w:rsid w:val="006B226C"/>
    <w:rsid w:val="006B22FA"/>
    <w:rsid w:val="006B2451"/>
    <w:rsid w:val="006B2785"/>
    <w:rsid w:val="006B2BC1"/>
    <w:rsid w:val="006B2C90"/>
    <w:rsid w:val="006B30DC"/>
    <w:rsid w:val="006B36B6"/>
    <w:rsid w:val="006B3A72"/>
    <w:rsid w:val="006B433D"/>
    <w:rsid w:val="006B458D"/>
    <w:rsid w:val="006B5730"/>
    <w:rsid w:val="006B5E70"/>
    <w:rsid w:val="006B6A34"/>
    <w:rsid w:val="006B6BC7"/>
    <w:rsid w:val="006B6FB5"/>
    <w:rsid w:val="006B75AB"/>
    <w:rsid w:val="006B7FCA"/>
    <w:rsid w:val="006C0319"/>
    <w:rsid w:val="006C0FC3"/>
    <w:rsid w:val="006C1046"/>
    <w:rsid w:val="006C1444"/>
    <w:rsid w:val="006C1D33"/>
    <w:rsid w:val="006C1F2C"/>
    <w:rsid w:val="006C2019"/>
    <w:rsid w:val="006C257F"/>
    <w:rsid w:val="006C2D74"/>
    <w:rsid w:val="006C3114"/>
    <w:rsid w:val="006C349C"/>
    <w:rsid w:val="006C3709"/>
    <w:rsid w:val="006C412C"/>
    <w:rsid w:val="006C476F"/>
    <w:rsid w:val="006C49F6"/>
    <w:rsid w:val="006C504A"/>
    <w:rsid w:val="006C6407"/>
    <w:rsid w:val="006C728A"/>
    <w:rsid w:val="006C777D"/>
    <w:rsid w:val="006C7941"/>
    <w:rsid w:val="006D15D3"/>
    <w:rsid w:val="006D1A05"/>
    <w:rsid w:val="006D23AA"/>
    <w:rsid w:val="006D269E"/>
    <w:rsid w:val="006D2C16"/>
    <w:rsid w:val="006D2E8E"/>
    <w:rsid w:val="006D2FF6"/>
    <w:rsid w:val="006D40F1"/>
    <w:rsid w:val="006D41E9"/>
    <w:rsid w:val="006D4513"/>
    <w:rsid w:val="006D4D8A"/>
    <w:rsid w:val="006D4EC7"/>
    <w:rsid w:val="006D5120"/>
    <w:rsid w:val="006D5623"/>
    <w:rsid w:val="006D57BC"/>
    <w:rsid w:val="006D5811"/>
    <w:rsid w:val="006D593F"/>
    <w:rsid w:val="006D653A"/>
    <w:rsid w:val="006D70CE"/>
    <w:rsid w:val="006D722E"/>
    <w:rsid w:val="006D7436"/>
    <w:rsid w:val="006D74D3"/>
    <w:rsid w:val="006D750D"/>
    <w:rsid w:val="006D7ADD"/>
    <w:rsid w:val="006E04D8"/>
    <w:rsid w:val="006E0A96"/>
    <w:rsid w:val="006E0EBE"/>
    <w:rsid w:val="006E1C3B"/>
    <w:rsid w:val="006E2AF4"/>
    <w:rsid w:val="006E2B2C"/>
    <w:rsid w:val="006E2B7C"/>
    <w:rsid w:val="006E2B89"/>
    <w:rsid w:val="006E433A"/>
    <w:rsid w:val="006E46C9"/>
    <w:rsid w:val="006E5549"/>
    <w:rsid w:val="006E5959"/>
    <w:rsid w:val="006E5A86"/>
    <w:rsid w:val="006E6278"/>
    <w:rsid w:val="006E6507"/>
    <w:rsid w:val="006E6531"/>
    <w:rsid w:val="006E6664"/>
    <w:rsid w:val="006E702C"/>
    <w:rsid w:val="006E71BD"/>
    <w:rsid w:val="006F0836"/>
    <w:rsid w:val="006F0955"/>
    <w:rsid w:val="006F0C34"/>
    <w:rsid w:val="006F1298"/>
    <w:rsid w:val="006F13B1"/>
    <w:rsid w:val="006F1B6E"/>
    <w:rsid w:val="006F23AE"/>
    <w:rsid w:val="006F248C"/>
    <w:rsid w:val="006F2726"/>
    <w:rsid w:val="006F2843"/>
    <w:rsid w:val="006F3B6E"/>
    <w:rsid w:val="006F3BE9"/>
    <w:rsid w:val="006F3C22"/>
    <w:rsid w:val="006F5343"/>
    <w:rsid w:val="006F53F2"/>
    <w:rsid w:val="006F5A7F"/>
    <w:rsid w:val="006F75AA"/>
    <w:rsid w:val="006F7B0E"/>
    <w:rsid w:val="006F7EBC"/>
    <w:rsid w:val="007005C0"/>
    <w:rsid w:val="007015BD"/>
    <w:rsid w:val="00701B29"/>
    <w:rsid w:val="00702200"/>
    <w:rsid w:val="00702C81"/>
    <w:rsid w:val="00702F30"/>
    <w:rsid w:val="00703233"/>
    <w:rsid w:val="00703410"/>
    <w:rsid w:val="00703783"/>
    <w:rsid w:val="00705B16"/>
    <w:rsid w:val="00705F5D"/>
    <w:rsid w:val="0070630F"/>
    <w:rsid w:val="00706CF2"/>
    <w:rsid w:val="0070784C"/>
    <w:rsid w:val="00707E67"/>
    <w:rsid w:val="00710015"/>
    <w:rsid w:val="0071039B"/>
    <w:rsid w:val="00710A8A"/>
    <w:rsid w:val="00710B3B"/>
    <w:rsid w:val="007113F4"/>
    <w:rsid w:val="00711868"/>
    <w:rsid w:val="00712C6F"/>
    <w:rsid w:val="007135D6"/>
    <w:rsid w:val="0071373E"/>
    <w:rsid w:val="00714001"/>
    <w:rsid w:val="00714E58"/>
    <w:rsid w:val="0071525B"/>
    <w:rsid w:val="00715301"/>
    <w:rsid w:val="00715A81"/>
    <w:rsid w:val="0071672F"/>
    <w:rsid w:val="007168E5"/>
    <w:rsid w:val="00716C1D"/>
    <w:rsid w:val="007171F0"/>
    <w:rsid w:val="0071747C"/>
    <w:rsid w:val="00717923"/>
    <w:rsid w:val="00717D1F"/>
    <w:rsid w:val="00720700"/>
    <w:rsid w:val="0072084C"/>
    <w:rsid w:val="00720EB7"/>
    <w:rsid w:val="00721D94"/>
    <w:rsid w:val="00723042"/>
    <w:rsid w:val="00723287"/>
    <w:rsid w:val="0072332F"/>
    <w:rsid w:val="007248AF"/>
    <w:rsid w:val="00724CD7"/>
    <w:rsid w:val="007250A9"/>
    <w:rsid w:val="007252E8"/>
    <w:rsid w:val="00725D56"/>
    <w:rsid w:val="00725E48"/>
    <w:rsid w:val="00726778"/>
    <w:rsid w:val="00726826"/>
    <w:rsid w:val="007269F6"/>
    <w:rsid w:val="00726C23"/>
    <w:rsid w:val="0073044B"/>
    <w:rsid w:val="00730CB7"/>
    <w:rsid w:val="007317E0"/>
    <w:rsid w:val="00731D8D"/>
    <w:rsid w:val="00732B94"/>
    <w:rsid w:val="00732CDA"/>
    <w:rsid w:val="007338E4"/>
    <w:rsid w:val="00733A50"/>
    <w:rsid w:val="0073431F"/>
    <w:rsid w:val="007348DE"/>
    <w:rsid w:val="0073517E"/>
    <w:rsid w:val="007358D4"/>
    <w:rsid w:val="00735D2F"/>
    <w:rsid w:val="0073633D"/>
    <w:rsid w:val="00737D0D"/>
    <w:rsid w:val="00740318"/>
    <w:rsid w:val="00740E3C"/>
    <w:rsid w:val="00740F97"/>
    <w:rsid w:val="00741940"/>
    <w:rsid w:val="00741D6E"/>
    <w:rsid w:val="007426DA"/>
    <w:rsid w:val="007437D5"/>
    <w:rsid w:val="00743AD0"/>
    <w:rsid w:val="00743C3E"/>
    <w:rsid w:val="007441E6"/>
    <w:rsid w:val="007446C0"/>
    <w:rsid w:val="007447E3"/>
    <w:rsid w:val="007448FA"/>
    <w:rsid w:val="00745890"/>
    <w:rsid w:val="00745BAC"/>
    <w:rsid w:val="00745EF1"/>
    <w:rsid w:val="0074739C"/>
    <w:rsid w:val="00747EAC"/>
    <w:rsid w:val="00750716"/>
    <w:rsid w:val="00751FFF"/>
    <w:rsid w:val="0075262D"/>
    <w:rsid w:val="0075272E"/>
    <w:rsid w:val="00752E26"/>
    <w:rsid w:val="00753406"/>
    <w:rsid w:val="00753636"/>
    <w:rsid w:val="007539EC"/>
    <w:rsid w:val="007541B5"/>
    <w:rsid w:val="0075449F"/>
    <w:rsid w:val="00754F8A"/>
    <w:rsid w:val="00754FC3"/>
    <w:rsid w:val="007555E2"/>
    <w:rsid w:val="00755D2E"/>
    <w:rsid w:val="00755DE0"/>
    <w:rsid w:val="007560C8"/>
    <w:rsid w:val="00756309"/>
    <w:rsid w:val="0075634F"/>
    <w:rsid w:val="00756388"/>
    <w:rsid w:val="00756B89"/>
    <w:rsid w:val="0075742C"/>
    <w:rsid w:val="00757C27"/>
    <w:rsid w:val="00757DF7"/>
    <w:rsid w:val="007601C7"/>
    <w:rsid w:val="00760596"/>
    <w:rsid w:val="007605AD"/>
    <w:rsid w:val="00761571"/>
    <w:rsid w:val="007617AF"/>
    <w:rsid w:val="007625C4"/>
    <w:rsid w:val="007627BD"/>
    <w:rsid w:val="00762A5E"/>
    <w:rsid w:val="00763DC8"/>
    <w:rsid w:val="00763F30"/>
    <w:rsid w:val="007647FB"/>
    <w:rsid w:val="0076504B"/>
    <w:rsid w:val="00765853"/>
    <w:rsid w:val="007658EC"/>
    <w:rsid w:val="007659F8"/>
    <w:rsid w:val="00765F3A"/>
    <w:rsid w:val="00766457"/>
    <w:rsid w:val="0076660E"/>
    <w:rsid w:val="00766760"/>
    <w:rsid w:val="00766FC4"/>
    <w:rsid w:val="00767088"/>
    <w:rsid w:val="00770D25"/>
    <w:rsid w:val="007711F1"/>
    <w:rsid w:val="007715CE"/>
    <w:rsid w:val="0077188A"/>
    <w:rsid w:val="00771E18"/>
    <w:rsid w:val="00772C0E"/>
    <w:rsid w:val="00773184"/>
    <w:rsid w:val="007736BD"/>
    <w:rsid w:val="00773D3D"/>
    <w:rsid w:val="007754DF"/>
    <w:rsid w:val="00775925"/>
    <w:rsid w:val="00776142"/>
    <w:rsid w:val="0077641F"/>
    <w:rsid w:val="007771AD"/>
    <w:rsid w:val="00777DB7"/>
    <w:rsid w:val="007807FF"/>
    <w:rsid w:val="0078082D"/>
    <w:rsid w:val="00780E73"/>
    <w:rsid w:val="00781102"/>
    <w:rsid w:val="007818CB"/>
    <w:rsid w:val="007819A1"/>
    <w:rsid w:val="00781C58"/>
    <w:rsid w:val="00782773"/>
    <w:rsid w:val="00782DD5"/>
    <w:rsid w:val="00782F9A"/>
    <w:rsid w:val="00783235"/>
    <w:rsid w:val="00783C5C"/>
    <w:rsid w:val="00785CAC"/>
    <w:rsid w:val="0079085B"/>
    <w:rsid w:val="0079104E"/>
    <w:rsid w:val="00791B6D"/>
    <w:rsid w:val="00791C55"/>
    <w:rsid w:val="00791F32"/>
    <w:rsid w:val="007925DA"/>
    <w:rsid w:val="00792932"/>
    <w:rsid w:val="00793318"/>
    <w:rsid w:val="00794C30"/>
    <w:rsid w:val="00794F01"/>
    <w:rsid w:val="00796C5F"/>
    <w:rsid w:val="00796D3A"/>
    <w:rsid w:val="0079700F"/>
    <w:rsid w:val="00797036"/>
    <w:rsid w:val="007A00D6"/>
    <w:rsid w:val="007A0324"/>
    <w:rsid w:val="007A0B1E"/>
    <w:rsid w:val="007A1702"/>
    <w:rsid w:val="007A17EB"/>
    <w:rsid w:val="007A1F22"/>
    <w:rsid w:val="007A1FB5"/>
    <w:rsid w:val="007A203D"/>
    <w:rsid w:val="007A25CC"/>
    <w:rsid w:val="007A2C12"/>
    <w:rsid w:val="007A2CA6"/>
    <w:rsid w:val="007A2D12"/>
    <w:rsid w:val="007A2DC3"/>
    <w:rsid w:val="007A2EE9"/>
    <w:rsid w:val="007A39D2"/>
    <w:rsid w:val="007A3DCA"/>
    <w:rsid w:val="007A3DF5"/>
    <w:rsid w:val="007A57BD"/>
    <w:rsid w:val="007A5897"/>
    <w:rsid w:val="007A59F2"/>
    <w:rsid w:val="007A62C9"/>
    <w:rsid w:val="007A6FA5"/>
    <w:rsid w:val="007A76BD"/>
    <w:rsid w:val="007A7ABC"/>
    <w:rsid w:val="007A7C56"/>
    <w:rsid w:val="007B0508"/>
    <w:rsid w:val="007B0BAE"/>
    <w:rsid w:val="007B1173"/>
    <w:rsid w:val="007B1882"/>
    <w:rsid w:val="007B2532"/>
    <w:rsid w:val="007B27D9"/>
    <w:rsid w:val="007B2E55"/>
    <w:rsid w:val="007B2F92"/>
    <w:rsid w:val="007B3500"/>
    <w:rsid w:val="007B3745"/>
    <w:rsid w:val="007B3874"/>
    <w:rsid w:val="007B3C9F"/>
    <w:rsid w:val="007B4257"/>
    <w:rsid w:val="007B56BA"/>
    <w:rsid w:val="007B5ED9"/>
    <w:rsid w:val="007B6716"/>
    <w:rsid w:val="007B67FA"/>
    <w:rsid w:val="007B71E2"/>
    <w:rsid w:val="007B7602"/>
    <w:rsid w:val="007B77C0"/>
    <w:rsid w:val="007B7854"/>
    <w:rsid w:val="007B7957"/>
    <w:rsid w:val="007C04E0"/>
    <w:rsid w:val="007C0775"/>
    <w:rsid w:val="007C0D4E"/>
    <w:rsid w:val="007C1073"/>
    <w:rsid w:val="007C1559"/>
    <w:rsid w:val="007C185F"/>
    <w:rsid w:val="007C278F"/>
    <w:rsid w:val="007C29F4"/>
    <w:rsid w:val="007C2BBE"/>
    <w:rsid w:val="007C374A"/>
    <w:rsid w:val="007C3DCF"/>
    <w:rsid w:val="007C5718"/>
    <w:rsid w:val="007C5C2C"/>
    <w:rsid w:val="007C715D"/>
    <w:rsid w:val="007D01FD"/>
    <w:rsid w:val="007D03B7"/>
    <w:rsid w:val="007D08F0"/>
    <w:rsid w:val="007D0E0B"/>
    <w:rsid w:val="007D13DF"/>
    <w:rsid w:val="007D1F8C"/>
    <w:rsid w:val="007D28E3"/>
    <w:rsid w:val="007D38AF"/>
    <w:rsid w:val="007D3F2F"/>
    <w:rsid w:val="007D4136"/>
    <w:rsid w:val="007D43E2"/>
    <w:rsid w:val="007D4971"/>
    <w:rsid w:val="007D5201"/>
    <w:rsid w:val="007D646B"/>
    <w:rsid w:val="007D6986"/>
    <w:rsid w:val="007D78AE"/>
    <w:rsid w:val="007D7C21"/>
    <w:rsid w:val="007E0241"/>
    <w:rsid w:val="007E0447"/>
    <w:rsid w:val="007E0B3F"/>
    <w:rsid w:val="007E0F2B"/>
    <w:rsid w:val="007E13BB"/>
    <w:rsid w:val="007E1437"/>
    <w:rsid w:val="007E16C6"/>
    <w:rsid w:val="007E1C2F"/>
    <w:rsid w:val="007E2FA1"/>
    <w:rsid w:val="007E37CE"/>
    <w:rsid w:val="007E3A54"/>
    <w:rsid w:val="007E3A81"/>
    <w:rsid w:val="007E3C6F"/>
    <w:rsid w:val="007E3E27"/>
    <w:rsid w:val="007E4756"/>
    <w:rsid w:val="007E477F"/>
    <w:rsid w:val="007E5B9C"/>
    <w:rsid w:val="007E6549"/>
    <w:rsid w:val="007E6D4E"/>
    <w:rsid w:val="007E6FB7"/>
    <w:rsid w:val="007E7A30"/>
    <w:rsid w:val="007E7B37"/>
    <w:rsid w:val="007E7CF5"/>
    <w:rsid w:val="007F0971"/>
    <w:rsid w:val="007F0A47"/>
    <w:rsid w:val="007F29AC"/>
    <w:rsid w:val="007F2DDE"/>
    <w:rsid w:val="007F2F88"/>
    <w:rsid w:val="007F36BF"/>
    <w:rsid w:val="007F3DB6"/>
    <w:rsid w:val="007F4409"/>
    <w:rsid w:val="007F4848"/>
    <w:rsid w:val="007F4FAF"/>
    <w:rsid w:val="007F5208"/>
    <w:rsid w:val="007F6524"/>
    <w:rsid w:val="007F7880"/>
    <w:rsid w:val="0080012A"/>
    <w:rsid w:val="00800887"/>
    <w:rsid w:val="00801737"/>
    <w:rsid w:val="00801F72"/>
    <w:rsid w:val="00802909"/>
    <w:rsid w:val="00802922"/>
    <w:rsid w:val="00802D43"/>
    <w:rsid w:val="00804927"/>
    <w:rsid w:val="00804E56"/>
    <w:rsid w:val="00805E1F"/>
    <w:rsid w:val="00805EE6"/>
    <w:rsid w:val="008060C8"/>
    <w:rsid w:val="0080651C"/>
    <w:rsid w:val="00810405"/>
    <w:rsid w:val="008106FC"/>
    <w:rsid w:val="008122C6"/>
    <w:rsid w:val="00812A2C"/>
    <w:rsid w:val="00812B90"/>
    <w:rsid w:val="00814183"/>
    <w:rsid w:val="008147CC"/>
    <w:rsid w:val="008147D2"/>
    <w:rsid w:val="0081483B"/>
    <w:rsid w:val="00814B1B"/>
    <w:rsid w:val="00814C6D"/>
    <w:rsid w:val="00815AFC"/>
    <w:rsid w:val="00815BC9"/>
    <w:rsid w:val="00815CA8"/>
    <w:rsid w:val="00815F65"/>
    <w:rsid w:val="00816312"/>
    <w:rsid w:val="0081685D"/>
    <w:rsid w:val="00816953"/>
    <w:rsid w:val="00816B72"/>
    <w:rsid w:val="00816CCD"/>
    <w:rsid w:val="008179A5"/>
    <w:rsid w:val="00817EF1"/>
    <w:rsid w:val="00820075"/>
    <w:rsid w:val="00820397"/>
    <w:rsid w:val="008203CC"/>
    <w:rsid w:val="00820879"/>
    <w:rsid w:val="00820E13"/>
    <w:rsid w:val="00821154"/>
    <w:rsid w:val="008213EE"/>
    <w:rsid w:val="008224DB"/>
    <w:rsid w:val="00822549"/>
    <w:rsid w:val="00822846"/>
    <w:rsid w:val="00822C82"/>
    <w:rsid w:val="008246A2"/>
    <w:rsid w:val="00824E36"/>
    <w:rsid w:val="00824FED"/>
    <w:rsid w:val="008252D3"/>
    <w:rsid w:val="008257F8"/>
    <w:rsid w:val="00825BA1"/>
    <w:rsid w:val="00826139"/>
    <w:rsid w:val="008267AB"/>
    <w:rsid w:val="008268AC"/>
    <w:rsid w:val="00826E37"/>
    <w:rsid w:val="008271F5"/>
    <w:rsid w:val="00827736"/>
    <w:rsid w:val="00827AE5"/>
    <w:rsid w:val="00827D05"/>
    <w:rsid w:val="00827ED1"/>
    <w:rsid w:val="00830247"/>
    <w:rsid w:val="008305CF"/>
    <w:rsid w:val="008306FF"/>
    <w:rsid w:val="00830E96"/>
    <w:rsid w:val="008322A5"/>
    <w:rsid w:val="00832962"/>
    <w:rsid w:val="00832EAB"/>
    <w:rsid w:val="00833115"/>
    <w:rsid w:val="00833CAA"/>
    <w:rsid w:val="0083461F"/>
    <w:rsid w:val="008350F7"/>
    <w:rsid w:val="00835575"/>
    <w:rsid w:val="00837304"/>
    <w:rsid w:val="008373D5"/>
    <w:rsid w:val="00837D8A"/>
    <w:rsid w:val="008402A2"/>
    <w:rsid w:val="00840B6C"/>
    <w:rsid w:val="00840D1B"/>
    <w:rsid w:val="00840E92"/>
    <w:rsid w:val="00841530"/>
    <w:rsid w:val="00841573"/>
    <w:rsid w:val="00841E87"/>
    <w:rsid w:val="00842471"/>
    <w:rsid w:val="00842AF8"/>
    <w:rsid w:val="00843135"/>
    <w:rsid w:val="00843788"/>
    <w:rsid w:val="008437C1"/>
    <w:rsid w:val="00843A3F"/>
    <w:rsid w:val="00844586"/>
    <w:rsid w:val="00844680"/>
    <w:rsid w:val="0084476D"/>
    <w:rsid w:val="00844B83"/>
    <w:rsid w:val="0084501F"/>
    <w:rsid w:val="0084602D"/>
    <w:rsid w:val="0084650A"/>
    <w:rsid w:val="008465F4"/>
    <w:rsid w:val="0084682F"/>
    <w:rsid w:val="00846B6A"/>
    <w:rsid w:val="0084707F"/>
    <w:rsid w:val="00847494"/>
    <w:rsid w:val="008476B3"/>
    <w:rsid w:val="0084794A"/>
    <w:rsid w:val="008507E5"/>
    <w:rsid w:val="0085094F"/>
    <w:rsid w:val="00850C61"/>
    <w:rsid w:val="008517D3"/>
    <w:rsid w:val="008519FF"/>
    <w:rsid w:val="00852210"/>
    <w:rsid w:val="00852A85"/>
    <w:rsid w:val="008532BB"/>
    <w:rsid w:val="0085381D"/>
    <w:rsid w:val="00853C91"/>
    <w:rsid w:val="00853DB6"/>
    <w:rsid w:val="0085440F"/>
    <w:rsid w:val="0085444E"/>
    <w:rsid w:val="0085445D"/>
    <w:rsid w:val="00855748"/>
    <w:rsid w:val="00855DD3"/>
    <w:rsid w:val="00857FBC"/>
    <w:rsid w:val="0086035F"/>
    <w:rsid w:val="00860BD0"/>
    <w:rsid w:val="00860F29"/>
    <w:rsid w:val="00861043"/>
    <w:rsid w:val="008611A9"/>
    <w:rsid w:val="008619F7"/>
    <w:rsid w:val="00861C2A"/>
    <w:rsid w:val="00861F9E"/>
    <w:rsid w:val="0086271D"/>
    <w:rsid w:val="00862C4B"/>
    <w:rsid w:val="00863F59"/>
    <w:rsid w:val="0086462D"/>
    <w:rsid w:val="00864BF1"/>
    <w:rsid w:val="0086500A"/>
    <w:rsid w:val="00865BC1"/>
    <w:rsid w:val="008676ED"/>
    <w:rsid w:val="00867E3A"/>
    <w:rsid w:val="008700D6"/>
    <w:rsid w:val="0087209E"/>
    <w:rsid w:val="008728CD"/>
    <w:rsid w:val="0087378F"/>
    <w:rsid w:val="00873E18"/>
    <w:rsid w:val="008740CC"/>
    <w:rsid w:val="00874DBC"/>
    <w:rsid w:val="008753DB"/>
    <w:rsid w:val="00876789"/>
    <w:rsid w:val="008769D2"/>
    <w:rsid w:val="00876B29"/>
    <w:rsid w:val="00877100"/>
    <w:rsid w:val="0087775B"/>
    <w:rsid w:val="0087781A"/>
    <w:rsid w:val="0087797B"/>
    <w:rsid w:val="00877A29"/>
    <w:rsid w:val="00877C94"/>
    <w:rsid w:val="008809AD"/>
    <w:rsid w:val="00883556"/>
    <w:rsid w:val="00884221"/>
    <w:rsid w:val="0088426E"/>
    <w:rsid w:val="00884679"/>
    <w:rsid w:val="00884BD3"/>
    <w:rsid w:val="00884F68"/>
    <w:rsid w:val="00885967"/>
    <w:rsid w:val="00885999"/>
    <w:rsid w:val="0088638B"/>
    <w:rsid w:val="0088651A"/>
    <w:rsid w:val="008874D3"/>
    <w:rsid w:val="00887DBD"/>
    <w:rsid w:val="00887E02"/>
    <w:rsid w:val="008901CE"/>
    <w:rsid w:val="0089081E"/>
    <w:rsid w:val="00890FD1"/>
    <w:rsid w:val="0089164C"/>
    <w:rsid w:val="00892070"/>
    <w:rsid w:val="008920E2"/>
    <w:rsid w:val="00894403"/>
    <w:rsid w:val="00894540"/>
    <w:rsid w:val="008947BB"/>
    <w:rsid w:val="00894CAD"/>
    <w:rsid w:val="00895B67"/>
    <w:rsid w:val="00895C8B"/>
    <w:rsid w:val="008962CD"/>
    <w:rsid w:val="00896B8D"/>
    <w:rsid w:val="00896EBC"/>
    <w:rsid w:val="008970E2"/>
    <w:rsid w:val="00897811"/>
    <w:rsid w:val="0089797D"/>
    <w:rsid w:val="00897D40"/>
    <w:rsid w:val="008A0078"/>
    <w:rsid w:val="008A031B"/>
    <w:rsid w:val="008A0475"/>
    <w:rsid w:val="008A04A6"/>
    <w:rsid w:val="008A0CB3"/>
    <w:rsid w:val="008A1D7C"/>
    <w:rsid w:val="008A1F6F"/>
    <w:rsid w:val="008A227F"/>
    <w:rsid w:val="008A2B4A"/>
    <w:rsid w:val="008A2C7D"/>
    <w:rsid w:val="008A2C8E"/>
    <w:rsid w:val="008A33C2"/>
    <w:rsid w:val="008A363D"/>
    <w:rsid w:val="008A3C80"/>
    <w:rsid w:val="008A492C"/>
    <w:rsid w:val="008A514C"/>
    <w:rsid w:val="008A5658"/>
    <w:rsid w:val="008A5BEE"/>
    <w:rsid w:val="008A7308"/>
    <w:rsid w:val="008B11C5"/>
    <w:rsid w:val="008B12E1"/>
    <w:rsid w:val="008B185E"/>
    <w:rsid w:val="008B1AE7"/>
    <w:rsid w:val="008B1B1D"/>
    <w:rsid w:val="008B1D3A"/>
    <w:rsid w:val="008B2A15"/>
    <w:rsid w:val="008B2E70"/>
    <w:rsid w:val="008B3F7E"/>
    <w:rsid w:val="008B4740"/>
    <w:rsid w:val="008B55DE"/>
    <w:rsid w:val="008B73F2"/>
    <w:rsid w:val="008C0A6B"/>
    <w:rsid w:val="008C0A80"/>
    <w:rsid w:val="008C0C94"/>
    <w:rsid w:val="008C0E12"/>
    <w:rsid w:val="008C0F61"/>
    <w:rsid w:val="008C112F"/>
    <w:rsid w:val="008C114A"/>
    <w:rsid w:val="008C1A2E"/>
    <w:rsid w:val="008C2411"/>
    <w:rsid w:val="008C26E2"/>
    <w:rsid w:val="008C2ACA"/>
    <w:rsid w:val="008C2DF2"/>
    <w:rsid w:val="008C378F"/>
    <w:rsid w:val="008C37D3"/>
    <w:rsid w:val="008C3BA0"/>
    <w:rsid w:val="008C3D25"/>
    <w:rsid w:val="008C45B6"/>
    <w:rsid w:val="008C55F5"/>
    <w:rsid w:val="008C5748"/>
    <w:rsid w:val="008C5D9C"/>
    <w:rsid w:val="008C6CF9"/>
    <w:rsid w:val="008C7F4D"/>
    <w:rsid w:val="008D0EF0"/>
    <w:rsid w:val="008D1047"/>
    <w:rsid w:val="008D1367"/>
    <w:rsid w:val="008D1E8C"/>
    <w:rsid w:val="008D1F47"/>
    <w:rsid w:val="008D2D87"/>
    <w:rsid w:val="008D2F68"/>
    <w:rsid w:val="008D301A"/>
    <w:rsid w:val="008D336B"/>
    <w:rsid w:val="008D361C"/>
    <w:rsid w:val="008D3682"/>
    <w:rsid w:val="008D4014"/>
    <w:rsid w:val="008D40DA"/>
    <w:rsid w:val="008D5274"/>
    <w:rsid w:val="008D52B9"/>
    <w:rsid w:val="008D5794"/>
    <w:rsid w:val="008D5AC0"/>
    <w:rsid w:val="008D5E0F"/>
    <w:rsid w:val="008D71CA"/>
    <w:rsid w:val="008D738A"/>
    <w:rsid w:val="008D775A"/>
    <w:rsid w:val="008D77A4"/>
    <w:rsid w:val="008D787A"/>
    <w:rsid w:val="008D7D32"/>
    <w:rsid w:val="008E04BA"/>
    <w:rsid w:val="008E05D7"/>
    <w:rsid w:val="008E0AD3"/>
    <w:rsid w:val="008E13B8"/>
    <w:rsid w:val="008E1706"/>
    <w:rsid w:val="008E2412"/>
    <w:rsid w:val="008E24F8"/>
    <w:rsid w:val="008E29D2"/>
    <w:rsid w:val="008E3288"/>
    <w:rsid w:val="008E38B2"/>
    <w:rsid w:val="008E3BF9"/>
    <w:rsid w:val="008E4300"/>
    <w:rsid w:val="008E4D77"/>
    <w:rsid w:val="008E58FA"/>
    <w:rsid w:val="008E63DC"/>
    <w:rsid w:val="008E7F10"/>
    <w:rsid w:val="008F0588"/>
    <w:rsid w:val="008F0880"/>
    <w:rsid w:val="008F0A53"/>
    <w:rsid w:val="008F0CD4"/>
    <w:rsid w:val="008F1283"/>
    <w:rsid w:val="008F1FBB"/>
    <w:rsid w:val="008F2179"/>
    <w:rsid w:val="008F32FD"/>
    <w:rsid w:val="008F3692"/>
    <w:rsid w:val="008F36B2"/>
    <w:rsid w:val="008F3A58"/>
    <w:rsid w:val="008F4621"/>
    <w:rsid w:val="008F4724"/>
    <w:rsid w:val="008F4A97"/>
    <w:rsid w:val="008F4FFE"/>
    <w:rsid w:val="008F54EB"/>
    <w:rsid w:val="008F553A"/>
    <w:rsid w:val="008F5DBF"/>
    <w:rsid w:val="008F680B"/>
    <w:rsid w:val="008F6B31"/>
    <w:rsid w:val="008F6CCA"/>
    <w:rsid w:val="008F71D5"/>
    <w:rsid w:val="008F78D7"/>
    <w:rsid w:val="008F7A8A"/>
    <w:rsid w:val="008F7EE2"/>
    <w:rsid w:val="00900644"/>
    <w:rsid w:val="00900ED8"/>
    <w:rsid w:val="0090175F"/>
    <w:rsid w:val="009018FF"/>
    <w:rsid w:val="00901B79"/>
    <w:rsid w:val="0090257C"/>
    <w:rsid w:val="0090284D"/>
    <w:rsid w:val="0090345A"/>
    <w:rsid w:val="00903504"/>
    <w:rsid w:val="00903596"/>
    <w:rsid w:val="00904499"/>
    <w:rsid w:val="00904625"/>
    <w:rsid w:val="00904B29"/>
    <w:rsid w:val="00905301"/>
    <w:rsid w:val="009057C2"/>
    <w:rsid w:val="00905818"/>
    <w:rsid w:val="00905E3F"/>
    <w:rsid w:val="00906174"/>
    <w:rsid w:val="00907C9F"/>
    <w:rsid w:val="00907E5F"/>
    <w:rsid w:val="00910547"/>
    <w:rsid w:val="009105EA"/>
    <w:rsid w:val="00910F7D"/>
    <w:rsid w:val="009116D6"/>
    <w:rsid w:val="00911A48"/>
    <w:rsid w:val="00911B8A"/>
    <w:rsid w:val="00911F54"/>
    <w:rsid w:val="00912611"/>
    <w:rsid w:val="00912FC4"/>
    <w:rsid w:val="009130FC"/>
    <w:rsid w:val="0091329F"/>
    <w:rsid w:val="0091356A"/>
    <w:rsid w:val="0091358C"/>
    <w:rsid w:val="00913A75"/>
    <w:rsid w:val="00913D4B"/>
    <w:rsid w:val="00914621"/>
    <w:rsid w:val="00914DA0"/>
    <w:rsid w:val="00914EBC"/>
    <w:rsid w:val="009156F9"/>
    <w:rsid w:val="00915B49"/>
    <w:rsid w:val="009165EC"/>
    <w:rsid w:val="0091669A"/>
    <w:rsid w:val="00916C88"/>
    <w:rsid w:val="0091730C"/>
    <w:rsid w:val="0091794C"/>
    <w:rsid w:val="00920870"/>
    <w:rsid w:val="009213EE"/>
    <w:rsid w:val="00921690"/>
    <w:rsid w:val="00921A1B"/>
    <w:rsid w:val="00921D99"/>
    <w:rsid w:val="00922B00"/>
    <w:rsid w:val="0092391A"/>
    <w:rsid w:val="0092418F"/>
    <w:rsid w:val="009246B4"/>
    <w:rsid w:val="00924778"/>
    <w:rsid w:val="00924B22"/>
    <w:rsid w:val="0092576D"/>
    <w:rsid w:val="00926412"/>
    <w:rsid w:val="009268FE"/>
    <w:rsid w:val="0092735F"/>
    <w:rsid w:val="00927628"/>
    <w:rsid w:val="009279F1"/>
    <w:rsid w:val="009305BF"/>
    <w:rsid w:val="0093129B"/>
    <w:rsid w:val="0093148F"/>
    <w:rsid w:val="00931619"/>
    <w:rsid w:val="00931B09"/>
    <w:rsid w:val="00931DB1"/>
    <w:rsid w:val="00931FAB"/>
    <w:rsid w:val="009322DA"/>
    <w:rsid w:val="0093276B"/>
    <w:rsid w:val="00932B78"/>
    <w:rsid w:val="00933368"/>
    <w:rsid w:val="0093382C"/>
    <w:rsid w:val="009339BB"/>
    <w:rsid w:val="009339DA"/>
    <w:rsid w:val="00936093"/>
    <w:rsid w:val="009362FE"/>
    <w:rsid w:val="0093638E"/>
    <w:rsid w:val="00936F5B"/>
    <w:rsid w:val="009371A7"/>
    <w:rsid w:val="0093722E"/>
    <w:rsid w:val="009372D5"/>
    <w:rsid w:val="0094034C"/>
    <w:rsid w:val="009403A2"/>
    <w:rsid w:val="0094064D"/>
    <w:rsid w:val="009407B0"/>
    <w:rsid w:val="00940957"/>
    <w:rsid w:val="00940F27"/>
    <w:rsid w:val="00941041"/>
    <w:rsid w:val="009420AE"/>
    <w:rsid w:val="00942632"/>
    <w:rsid w:val="00942B42"/>
    <w:rsid w:val="00942C44"/>
    <w:rsid w:val="00942F55"/>
    <w:rsid w:val="00943351"/>
    <w:rsid w:val="00943FFA"/>
    <w:rsid w:val="00944099"/>
    <w:rsid w:val="00944A5B"/>
    <w:rsid w:val="0094518B"/>
    <w:rsid w:val="00945FA7"/>
    <w:rsid w:val="00945FFE"/>
    <w:rsid w:val="009466AB"/>
    <w:rsid w:val="00946717"/>
    <w:rsid w:val="009469D6"/>
    <w:rsid w:val="0094729C"/>
    <w:rsid w:val="009475BE"/>
    <w:rsid w:val="00947D24"/>
    <w:rsid w:val="00947D35"/>
    <w:rsid w:val="0095050C"/>
    <w:rsid w:val="009509AF"/>
    <w:rsid w:val="00950DC7"/>
    <w:rsid w:val="00950E58"/>
    <w:rsid w:val="00951D26"/>
    <w:rsid w:val="00951FFF"/>
    <w:rsid w:val="00952205"/>
    <w:rsid w:val="00952219"/>
    <w:rsid w:val="00952891"/>
    <w:rsid w:val="009538A9"/>
    <w:rsid w:val="00954238"/>
    <w:rsid w:val="00954A31"/>
    <w:rsid w:val="00955F36"/>
    <w:rsid w:val="00956769"/>
    <w:rsid w:val="00956A49"/>
    <w:rsid w:val="00956A74"/>
    <w:rsid w:val="00956D10"/>
    <w:rsid w:val="00957F8A"/>
    <w:rsid w:val="00960C99"/>
    <w:rsid w:val="0096160E"/>
    <w:rsid w:val="00961A2D"/>
    <w:rsid w:val="00961C49"/>
    <w:rsid w:val="00961E4C"/>
    <w:rsid w:val="00962170"/>
    <w:rsid w:val="009629D8"/>
    <w:rsid w:val="00962A92"/>
    <w:rsid w:val="00962AE7"/>
    <w:rsid w:val="00963090"/>
    <w:rsid w:val="009635D0"/>
    <w:rsid w:val="009637F7"/>
    <w:rsid w:val="00963905"/>
    <w:rsid w:val="00964EC4"/>
    <w:rsid w:val="00965E19"/>
    <w:rsid w:val="009663BA"/>
    <w:rsid w:val="0096640B"/>
    <w:rsid w:val="009665D2"/>
    <w:rsid w:val="0096707B"/>
    <w:rsid w:val="009679FB"/>
    <w:rsid w:val="0097195B"/>
    <w:rsid w:val="009731C1"/>
    <w:rsid w:val="00973973"/>
    <w:rsid w:val="00974D51"/>
    <w:rsid w:val="009751E1"/>
    <w:rsid w:val="00975211"/>
    <w:rsid w:val="00975A76"/>
    <w:rsid w:val="00975C3C"/>
    <w:rsid w:val="00976999"/>
    <w:rsid w:val="00976DDD"/>
    <w:rsid w:val="00976E6F"/>
    <w:rsid w:val="0097779A"/>
    <w:rsid w:val="00977C55"/>
    <w:rsid w:val="0098018B"/>
    <w:rsid w:val="0098050F"/>
    <w:rsid w:val="009809ED"/>
    <w:rsid w:val="00980FCB"/>
    <w:rsid w:val="00981904"/>
    <w:rsid w:val="00981A29"/>
    <w:rsid w:val="00982008"/>
    <w:rsid w:val="009820EA"/>
    <w:rsid w:val="00983F8F"/>
    <w:rsid w:val="00984565"/>
    <w:rsid w:val="00984625"/>
    <w:rsid w:val="0098462E"/>
    <w:rsid w:val="00984971"/>
    <w:rsid w:val="00984E36"/>
    <w:rsid w:val="00984F4D"/>
    <w:rsid w:val="009859DB"/>
    <w:rsid w:val="00985C8B"/>
    <w:rsid w:val="009866DF"/>
    <w:rsid w:val="00986922"/>
    <w:rsid w:val="00986CE8"/>
    <w:rsid w:val="00986DE5"/>
    <w:rsid w:val="00986E3C"/>
    <w:rsid w:val="00986F81"/>
    <w:rsid w:val="009873E2"/>
    <w:rsid w:val="00987656"/>
    <w:rsid w:val="00987CCF"/>
    <w:rsid w:val="00990061"/>
    <w:rsid w:val="009904D3"/>
    <w:rsid w:val="009905D0"/>
    <w:rsid w:val="009907B0"/>
    <w:rsid w:val="00990A61"/>
    <w:rsid w:val="0099118E"/>
    <w:rsid w:val="00991633"/>
    <w:rsid w:val="00991BC7"/>
    <w:rsid w:val="00991FAE"/>
    <w:rsid w:val="009925FB"/>
    <w:rsid w:val="009926CE"/>
    <w:rsid w:val="00992A5E"/>
    <w:rsid w:val="00992ADE"/>
    <w:rsid w:val="00994EA1"/>
    <w:rsid w:val="00995342"/>
    <w:rsid w:val="00995B22"/>
    <w:rsid w:val="00996244"/>
    <w:rsid w:val="0099633A"/>
    <w:rsid w:val="0099654D"/>
    <w:rsid w:val="00996F6A"/>
    <w:rsid w:val="00997354"/>
    <w:rsid w:val="009977FF"/>
    <w:rsid w:val="00997B9C"/>
    <w:rsid w:val="009A02CE"/>
    <w:rsid w:val="009A05F4"/>
    <w:rsid w:val="009A121A"/>
    <w:rsid w:val="009A14B1"/>
    <w:rsid w:val="009A190E"/>
    <w:rsid w:val="009A1AE9"/>
    <w:rsid w:val="009A1BB8"/>
    <w:rsid w:val="009A21A3"/>
    <w:rsid w:val="009A3809"/>
    <w:rsid w:val="009A3892"/>
    <w:rsid w:val="009A4635"/>
    <w:rsid w:val="009A4B19"/>
    <w:rsid w:val="009A545E"/>
    <w:rsid w:val="009A584C"/>
    <w:rsid w:val="009A60D6"/>
    <w:rsid w:val="009A61B7"/>
    <w:rsid w:val="009A65FB"/>
    <w:rsid w:val="009A6A28"/>
    <w:rsid w:val="009A6E42"/>
    <w:rsid w:val="009A71AE"/>
    <w:rsid w:val="009A71FB"/>
    <w:rsid w:val="009A727B"/>
    <w:rsid w:val="009A7727"/>
    <w:rsid w:val="009A7EF5"/>
    <w:rsid w:val="009B0787"/>
    <w:rsid w:val="009B1583"/>
    <w:rsid w:val="009B17B0"/>
    <w:rsid w:val="009B21EC"/>
    <w:rsid w:val="009B3172"/>
    <w:rsid w:val="009B3DB8"/>
    <w:rsid w:val="009B477B"/>
    <w:rsid w:val="009B5281"/>
    <w:rsid w:val="009B6F9E"/>
    <w:rsid w:val="009B77E2"/>
    <w:rsid w:val="009B7DBA"/>
    <w:rsid w:val="009C0368"/>
    <w:rsid w:val="009C09C0"/>
    <w:rsid w:val="009C1AE5"/>
    <w:rsid w:val="009C2203"/>
    <w:rsid w:val="009C243C"/>
    <w:rsid w:val="009C291A"/>
    <w:rsid w:val="009C2AF3"/>
    <w:rsid w:val="009C2D8E"/>
    <w:rsid w:val="009C37C2"/>
    <w:rsid w:val="009C3855"/>
    <w:rsid w:val="009C4D96"/>
    <w:rsid w:val="009C564A"/>
    <w:rsid w:val="009C5E8E"/>
    <w:rsid w:val="009C685E"/>
    <w:rsid w:val="009C6BC9"/>
    <w:rsid w:val="009C78BF"/>
    <w:rsid w:val="009C7F10"/>
    <w:rsid w:val="009D037E"/>
    <w:rsid w:val="009D0C7E"/>
    <w:rsid w:val="009D0DB6"/>
    <w:rsid w:val="009D164D"/>
    <w:rsid w:val="009D1743"/>
    <w:rsid w:val="009D19FC"/>
    <w:rsid w:val="009D1A02"/>
    <w:rsid w:val="009D2032"/>
    <w:rsid w:val="009D208E"/>
    <w:rsid w:val="009D2303"/>
    <w:rsid w:val="009D2E88"/>
    <w:rsid w:val="009D3065"/>
    <w:rsid w:val="009D32AF"/>
    <w:rsid w:val="009D3305"/>
    <w:rsid w:val="009D3D41"/>
    <w:rsid w:val="009D412C"/>
    <w:rsid w:val="009D49C1"/>
    <w:rsid w:val="009D4AD2"/>
    <w:rsid w:val="009D51CE"/>
    <w:rsid w:val="009D5436"/>
    <w:rsid w:val="009D6503"/>
    <w:rsid w:val="009D65F2"/>
    <w:rsid w:val="009D65F4"/>
    <w:rsid w:val="009D70FA"/>
    <w:rsid w:val="009D723E"/>
    <w:rsid w:val="009D77FB"/>
    <w:rsid w:val="009D7CCA"/>
    <w:rsid w:val="009E077A"/>
    <w:rsid w:val="009E0939"/>
    <w:rsid w:val="009E094C"/>
    <w:rsid w:val="009E0A8D"/>
    <w:rsid w:val="009E0BFB"/>
    <w:rsid w:val="009E14CE"/>
    <w:rsid w:val="009E1910"/>
    <w:rsid w:val="009E1ABD"/>
    <w:rsid w:val="009E1F20"/>
    <w:rsid w:val="009E34B8"/>
    <w:rsid w:val="009E4608"/>
    <w:rsid w:val="009E46D3"/>
    <w:rsid w:val="009E4803"/>
    <w:rsid w:val="009E5F94"/>
    <w:rsid w:val="009E5FB7"/>
    <w:rsid w:val="009E6802"/>
    <w:rsid w:val="009E6991"/>
    <w:rsid w:val="009E6BE7"/>
    <w:rsid w:val="009E7F07"/>
    <w:rsid w:val="009F031C"/>
    <w:rsid w:val="009F06BB"/>
    <w:rsid w:val="009F07A4"/>
    <w:rsid w:val="009F080B"/>
    <w:rsid w:val="009F0EA1"/>
    <w:rsid w:val="009F1B3E"/>
    <w:rsid w:val="009F1BBE"/>
    <w:rsid w:val="009F34D3"/>
    <w:rsid w:val="009F5081"/>
    <w:rsid w:val="009F52FA"/>
    <w:rsid w:val="009F56AC"/>
    <w:rsid w:val="009F67C5"/>
    <w:rsid w:val="009F71F3"/>
    <w:rsid w:val="009F7233"/>
    <w:rsid w:val="009F74E9"/>
    <w:rsid w:val="009F7629"/>
    <w:rsid w:val="009F7689"/>
    <w:rsid w:val="00A00128"/>
    <w:rsid w:val="00A00314"/>
    <w:rsid w:val="00A007C5"/>
    <w:rsid w:val="00A00D26"/>
    <w:rsid w:val="00A0148F"/>
    <w:rsid w:val="00A01EFA"/>
    <w:rsid w:val="00A02268"/>
    <w:rsid w:val="00A02B84"/>
    <w:rsid w:val="00A02C24"/>
    <w:rsid w:val="00A03503"/>
    <w:rsid w:val="00A03693"/>
    <w:rsid w:val="00A036DA"/>
    <w:rsid w:val="00A03915"/>
    <w:rsid w:val="00A0450B"/>
    <w:rsid w:val="00A04C58"/>
    <w:rsid w:val="00A05D33"/>
    <w:rsid w:val="00A068FE"/>
    <w:rsid w:val="00A06A9D"/>
    <w:rsid w:val="00A06F2B"/>
    <w:rsid w:val="00A07C22"/>
    <w:rsid w:val="00A1027C"/>
    <w:rsid w:val="00A10C06"/>
    <w:rsid w:val="00A117BD"/>
    <w:rsid w:val="00A117CF"/>
    <w:rsid w:val="00A11D18"/>
    <w:rsid w:val="00A1201A"/>
    <w:rsid w:val="00A12194"/>
    <w:rsid w:val="00A12970"/>
    <w:rsid w:val="00A12CD2"/>
    <w:rsid w:val="00A1332C"/>
    <w:rsid w:val="00A13BBA"/>
    <w:rsid w:val="00A142BC"/>
    <w:rsid w:val="00A150B4"/>
    <w:rsid w:val="00A150EC"/>
    <w:rsid w:val="00A1619A"/>
    <w:rsid w:val="00A1695A"/>
    <w:rsid w:val="00A169A4"/>
    <w:rsid w:val="00A16E2C"/>
    <w:rsid w:val="00A20290"/>
    <w:rsid w:val="00A2038C"/>
    <w:rsid w:val="00A2086A"/>
    <w:rsid w:val="00A211A1"/>
    <w:rsid w:val="00A21450"/>
    <w:rsid w:val="00A21BB6"/>
    <w:rsid w:val="00A21D06"/>
    <w:rsid w:val="00A21EBB"/>
    <w:rsid w:val="00A21FB0"/>
    <w:rsid w:val="00A224F5"/>
    <w:rsid w:val="00A2256F"/>
    <w:rsid w:val="00A22EFC"/>
    <w:rsid w:val="00A22F45"/>
    <w:rsid w:val="00A23217"/>
    <w:rsid w:val="00A2332E"/>
    <w:rsid w:val="00A23353"/>
    <w:rsid w:val="00A234DE"/>
    <w:rsid w:val="00A24526"/>
    <w:rsid w:val="00A2452A"/>
    <w:rsid w:val="00A246EB"/>
    <w:rsid w:val="00A25939"/>
    <w:rsid w:val="00A2616E"/>
    <w:rsid w:val="00A26314"/>
    <w:rsid w:val="00A264E8"/>
    <w:rsid w:val="00A26CA8"/>
    <w:rsid w:val="00A26E9D"/>
    <w:rsid w:val="00A27141"/>
    <w:rsid w:val="00A27390"/>
    <w:rsid w:val="00A278DF"/>
    <w:rsid w:val="00A305CC"/>
    <w:rsid w:val="00A307F1"/>
    <w:rsid w:val="00A310FE"/>
    <w:rsid w:val="00A3177E"/>
    <w:rsid w:val="00A31D9A"/>
    <w:rsid w:val="00A31E49"/>
    <w:rsid w:val="00A32261"/>
    <w:rsid w:val="00A32356"/>
    <w:rsid w:val="00A32A73"/>
    <w:rsid w:val="00A335F4"/>
    <w:rsid w:val="00A33A47"/>
    <w:rsid w:val="00A33CCA"/>
    <w:rsid w:val="00A33DE5"/>
    <w:rsid w:val="00A340EF"/>
    <w:rsid w:val="00A340F3"/>
    <w:rsid w:val="00A346F5"/>
    <w:rsid w:val="00A355FB"/>
    <w:rsid w:val="00A358D6"/>
    <w:rsid w:val="00A35D58"/>
    <w:rsid w:val="00A3635E"/>
    <w:rsid w:val="00A36B2C"/>
    <w:rsid w:val="00A36DA6"/>
    <w:rsid w:val="00A37AEA"/>
    <w:rsid w:val="00A4045E"/>
    <w:rsid w:val="00A413E3"/>
    <w:rsid w:val="00A41B72"/>
    <w:rsid w:val="00A41E2A"/>
    <w:rsid w:val="00A42889"/>
    <w:rsid w:val="00A43077"/>
    <w:rsid w:val="00A439B7"/>
    <w:rsid w:val="00A43ADA"/>
    <w:rsid w:val="00A43B06"/>
    <w:rsid w:val="00A43BF5"/>
    <w:rsid w:val="00A441CF"/>
    <w:rsid w:val="00A44A7E"/>
    <w:rsid w:val="00A45A9B"/>
    <w:rsid w:val="00A45CCD"/>
    <w:rsid w:val="00A4641F"/>
    <w:rsid w:val="00A46719"/>
    <w:rsid w:val="00A47A86"/>
    <w:rsid w:val="00A5045C"/>
    <w:rsid w:val="00A50716"/>
    <w:rsid w:val="00A50D29"/>
    <w:rsid w:val="00A5135E"/>
    <w:rsid w:val="00A5159D"/>
    <w:rsid w:val="00A516AC"/>
    <w:rsid w:val="00A51A09"/>
    <w:rsid w:val="00A5251B"/>
    <w:rsid w:val="00A52631"/>
    <w:rsid w:val="00A53148"/>
    <w:rsid w:val="00A5335D"/>
    <w:rsid w:val="00A536F0"/>
    <w:rsid w:val="00A5372D"/>
    <w:rsid w:val="00A539FA"/>
    <w:rsid w:val="00A5454B"/>
    <w:rsid w:val="00A55FCF"/>
    <w:rsid w:val="00A5666A"/>
    <w:rsid w:val="00A56A11"/>
    <w:rsid w:val="00A56E56"/>
    <w:rsid w:val="00A5723D"/>
    <w:rsid w:val="00A5741C"/>
    <w:rsid w:val="00A578E1"/>
    <w:rsid w:val="00A57B36"/>
    <w:rsid w:val="00A604AB"/>
    <w:rsid w:val="00A611A8"/>
    <w:rsid w:val="00A616CB"/>
    <w:rsid w:val="00A61EB7"/>
    <w:rsid w:val="00A6206B"/>
    <w:rsid w:val="00A626CE"/>
    <w:rsid w:val="00A62D89"/>
    <w:rsid w:val="00A62F6B"/>
    <w:rsid w:val="00A62FC5"/>
    <w:rsid w:val="00A6336E"/>
    <w:rsid w:val="00A63959"/>
    <w:rsid w:val="00A646B0"/>
    <w:rsid w:val="00A64F55"/>
    <w:rsid w:val="00A652A4"/>
    <w:rsid w:val="00A652B7"/>
    <w:rsid w:val="00A65A6D"/>
    <w:rsid w:val="00A65CFB"/>
    <w:rsid w:val="00A670FB"/>
    <w:rsid w:val="00A674AC"/>
    <w:rsid w:val="00A67FC5"/>
    <w:rsid w:val="00A7084D"/>
    <w:rsid w:val="00A7102F"/>
    <w:rsid w:val="00A71339"/>
    <w:rsid w:val="00A71482"/>
    <w:rsid w:val="00A71663"/>
    <w:rsid w:val="00A71B0C"/>
    <w:rsid w:val="00A72755"/>
    <w:rsid w:val="00A730ED"/>
    <w:rsid w:val="00A7335B"/>
    <w:rsid w:val="00A73562"/>
    <w:rsid w:val="00A73B3A"/>
    <w:rsid w:val="00A74418"/>
    <w:rsid w:val="00A75086"/>
    <w:rsid w:val="00A75585"/>
    <w:rsid w:val="00A77075"/>
    <w:rsid w:val="00A77A7C"/>
    <w:rsid w:val="00A8063B"/>
    <w:rsid w:val="00A806B8"/>
    <w:rsid w:val="00A80B1A"/>
    <w:rsid w:val="00A8114A"/>
    <w:rsid w:val="00A814AA"/>
    <w:rsid w:val="00A828C0"/>
    <w:rsid w:val="00A829CE"/>
    <w:rsid w:val="00A82C96"/>
    <w:rsid w:val="00A83225"/>
    <w:rsid w:val="00A83F83"/>
    <w:rsid w:val="00A83FDE"/>
    <w:rsid w:val="00A8525A"/>
    <w:rsid w:val="00A8551C"/>
    <w:rsid w:val="00A8572E"/>
    <w:rsid w:val="00A859A6"/>
    <w:rsid w:val="00A85DE8"/>
    <w:rsid w:val="00A86628"/>
    <w:rsid w:val="00A86BA8"/>
    <w:rsid w:val="00A86DCB"/>
    <w:rsid w:val="00A86FF6"/>
    <w:rsid w:val="00A87782"/>
    <w:rsid w:val="00A90775"/>
    <w:rsid w:val="00A90CE0"/>
    <w:rsid w:val="00A90CFE"/>
    <w:rsid w:val="00A90DF7"/>
    <w:rsid w:val="00A9308E"/>
    <w:rsid w:val="00A939D4"/>
    <w:rsid w:val="00A93F12"/>
    <w:rsid w:val="00A9452C"/>
    <w:rsid w:val="00A950E8"/>
    <w:rsid w:val="00A954D2"/>
    <w:rsid w:val="00A95C8E"/>
    <w:rsid w:val="00A95D4A"/>
    <w:rsid w:val="00A96366"/>
    <w:rsid w:val="00A975DE"/>
    <w:rsid w:val="00A976A6"/>
    <w:rsid w:val="00A97C99"/>
    <w:rsid w:val="00A97E0F"/>
    <w:rsid w:val="00AA18BF"/>
    <w:rsid w:val="00AA1B28"/>
    <w:rsid w:val="00AA220C"/>
    <w:rsid w:val="00AA2930"/>
    <w:rsid w:val="00AA2FE0"/>
    <w:rsid w:val="00AA383F"/>
    <w:rsid w:val="00AA3D42"/>
    <w:rsid w:val="00AA3E25"/>
    <w:rsid w:val="00AA4862"/>
    <w:rsid w:val="00AA4BE7"/>
    <w:rsid w:val="00AA4F63"/>
    <w:rsid w:val="00AA5A86"/>
    <w:rsid w:val="00AA5B52"/>
    <w:rsid w:val="00AA638F"/>
    <w:rsid w:val="00AA65F9"/>
    <w:rsid w:val="00AA68FE"/>
    <w:rsid w:val="00AA6BAF"/>
    <w:rsid w:val="00AA7877"/>
    <w:rsid w:val="00AB090C"/>
    <w:rsid w:val="00AB09B4"/>
    <w:rsid w:val="00AB0ED3"/>
    <w:rsid w:val="00AB151E"/>
    <w:rsid w:val="00AB157F"/>
    <w:rsid w:val="00AB18E9"/>
    <w:rsid w:val="00AB1935"/>
    <w:rsid w:val="00AB1E5D"/>
    <w:rsid w:val="00AB28D6"/>
    <w:rsid w:val="00AB2A2C"/>
    <w:rsid w:val="00AB2DE2"/>
    <w:rsid w:val="00AB355B"/>
    <w:rsid w:val="00AB374D"/>
    <w:rsid w:val="00AB46AE"/>
    <w:rsid w:val="00AB4A28"/>
    <w:rsid w:val="00AB58FC"/>
    <w:rsid w:val="00AB6EDD"/>
    <w:rsid w:val="00AB7C96"/>
    <w:rsid w:val="00AC015E"/>
    <w:rsid w:val="00AC045A"/>
    <w:rsid w:val="00AC08E2"/>
    <w:rsid w:val="00AC15E2"/>
    <w:rsid w:val="00AC1EAB"/>
    <w:rsid w:val="00AC20F9"/>
    <w:rsid w:val="00AC2A6E"/>
    <w:rsid w:val="00AC2C5F"/>
    <w:rsid w:val="00AC2E2B"/>
    <w:rsid w:val="00AC35C7"/>
    <w:rsid w:val="00AC35DC"/>
    <w:rsid w:val="00AC3E43"/>
    <w:rsid w:val="00AC4F82"/>
    <w:rsid w:val="00AC5157"/>
    <w:rsid w:val="00AC5506"/>
    <w:rsid w:val="00AC59FB"/>
    <w:rsid w:val="00AC6843"/>
    <w:rsid w:val="00AC6B56"/>
    <w:rsid w:val="00AC7826"/>
    <w:rsid w:val="00AC79B9"/>
    <w:rsid w:val="00AC7CC8"/>
    <w:rsid w:val="00AC7DD5"/>
    <w:rsid w:val="00AC7DF1"/>
    <w:rsid w:val="00AD0EFE"/>
    <w:rsid w:val="00AD1535"/>
    <w:rsid w:val="00AD182A"/>
    <w:rsid w:val="00AD1A7A"/>
    <w:rsid w:val="00AD21D6"/>
    <w:rsid w:val="00AD24E5"/>
    <w:rsid w:val="00AD2652"/>
    <w:rsid w:val="00AD3206"/>
    <w:rsid w:val="00AD3AA3"/>
    <w:rsid w:val="00AD3F1D"/>
    <w:rsid w:val="00AD42FD"/>
    <w:rsid w:val="00AD44DB"/>
    <w:rsid w:val="00AD46B0"/>
    <w:rsid w:val="00AD4D6F"/>
    <w:rsid w:val="00AD4DF5"/>
    <w:rsid w:val="00AD4E99"/>
    <w:rsid w:val="00AD4EF4"/>
    <w:rsid w:val="00AD5219"/>
    <w:rsid w:val="00AD5985"/>
    <w:rsid w:val="00AD708C"/>
    <w:rsid w:val="00AD730B"/>
    <w:rsid w:val="00AD736E"/>
    <w:rsid w:val="00AD791C"/>
    <w:rsid w:val="00AD7F86"/>
    <w:rsid w:val="00AE0DEB"/>
    <w:rsid w:val="00AE10EC"/>
    <w:rsid w:val="00AE16AC"/>
    <w:rsid w:val="00AE21C0"/>
    <w:rsid w:val="00AE2280"/>
    <w:rsid w:val="00AE230B"/>
    <w:rsid w:val="00AE26F6"/>
    <w:rsid w:val="00AE2EF8"/>
    <w:rsid w:val="00AE35DE"/>
    <w:rsid w:val="00AE3862"/>
    <w:rsid w:val="00AE3A63"/>
    <w:rsid w:val="00AE3F94"/>
    <w:rsid w:val="00AE41AA"/>
    <w:rsid w:val="00AE4457"/>
    <w:rsid w:val="00AE54E6"/>
    <w:rsid w:val="00AE5C90"/>
    <w:rsid w:val="00AE6325"/>
    <w:rsid w:val="00AE6749"/>
    <w:rsid w:val="00AE6931"/>
    <w:rsid w:val="00AE6F0A"/>
    <w:rsid w:val="00AE7058"/>
    <w:rsid w:val="00AE7911"/>
    <w:rsid w:val="00AE7F12"/>
    <w:rsid w:val="00AF02D1"/>
    <w:rsid w:val="00AF0E61"/>
    <w:rsid w:val="00AF1629"/>
    <w:rsid w:val="00AF1C83"/>
    <w:rsid w:val="00AF1DED"/>
    <w:rsid w:val="00AF1F9D"/>
    <w:rsid w:val="00AF1FAE"/>
    <w:rsid w:val="00AF232E"/>
    <w:rsid w:val="00AF283B"/>
    <w:rsid w:val="00AF3028"/>
    <w:rsid w:val="00AF40C8"/>
    <w:rsid w:val="00AF4504"/>
    <w:rsid w:val="00AF4B85"/>
    <w:rsid w:val="00AF6400"/>
    <w:rsid w:val="00AF65EB"/>
    <w:rsid w:val="00AF662F"/>
    <w:rsid w:val="00AF75EA"/>
    <w:rsid w:val="00AF7A37"/>
    <w:rsid w:val="00AF7F57"/>
    <w:rsid w:val="00B00786"/>
    <w:rsid w:val="00B01023"/>
    <w:rsid w:val="00B01272"/>
    <w:rsid w:val="00B01AD5"/>
    <w:rsid w:val="00B01DD0"/>
    <w:rsid w:val="00B03267"/>
    <w:rsid w:val="00B03655"/>
    <w:rsid w:val="00B042F7"/>
    <w:rsid w:val="00B043C0"/>
    <w:rsid w:val="00B04CF3"/>
    <w:rsid w:val="00B04DB2"/>
    <w:rsid w:val="00B05CE0"/>
    <w:rsid w:val="00B061EC"/>
    <w:rsid w:val="00B06312"/>
    <w:rsid w:val="00B06816"/>
    <w:rsid w:val="00B06842"/>
    <w:rsid w:val="00B07419"/>
    <w:rsid w:val="00B0755F"/>
    <w:rsid w:val="00B075B7"/>
    <w:rsid w:val="00B07947"/>
    <w:rsid w:val="00B10A0B"/>
    <w:rsid w:val="00B10F9B"/>
    <w:rsid w:val="00B11004"/>
    <w:rsid w:val="00B11632"/>
    <w:rsid w:val="00B118AF"/>
    <w:rsid w:val="00B11DD5"/>
    <w:rsid w:val="00B120C8"/>
    <w:rsid w:val="00B12A78"/>
    <w:rsid w:val="00B142EE"/>
    <w:rsid w:val="00B14A2A"/>
    <w:rsid w:val="00B15DDE"/>
    <w:rsid w:val="00B1634A"/>
    <w:rsid w:val="00B165F3"/>
    <w:rsid w:val="00B166BF"/>
    <w:rsid w:val="00B17C31"/>
    <w:rsid w:val="00B17F87"/>
    <w:rsid w:val="00B20A11"/>
    <w:rsid w:val="00B20C8F"/>
    <w:rsid w:val="00B21483"/>
    <w:rsid w:val="00B217FA"/>
    <w:rsid w:val="00B21C83"/>
    <w:rsid w:val="00B22320"/>
    <w:rsid w:val="00B223C2"/>
    <w:rsid w:val="00B229BC"/>
    <w:rsid w:val="00B233A0"/>
    <w:rsid w:val="00B23AE4"/>
    <w:rsid w:val="00B23ED2"/>
    <w:rsid w:val="00B2426D"/>
    <w:rsid w:val="00B245E7"/>
    <w:rsid w:val="00B2473B"/>
    <w:rsid w:val="00B2493E"/>
    <w:rsid w:val="00B25CAC"/>
    <w:rsid w:val="00B275B5"/>
    <w:rsid w:val="00B317DC"/>
    <w:rsid w:val="00B31DA2"/>
    <w:rsid w:val="00B3289D"/>
    <w:rsid w:val="00B32DC5"/>
    <w:rsid w:val="00B32DC9"/>
    <w:rsid w:val="00B3426E"/>
    <w:rsid w:val="00B34470"/>
    <w:rsid w:val="00B34B82"/>
    <w:rsid w:val="00B34C4C"/>
    <w:rsid w:val="00B35A59"/>
    <w:rsid w:val="00B35BD7"/>
    <w:rsid w:val="00B360C8"/>
    <w:rsid w:val="00B364D5"/>
    <w:rsid w:val="00B37071"/>
    <w:rsid w:val="00B37ADE"/>
    <w:rsid w:val="00B37E99"/>
    <w:rsid w:val="00B4081C"/>
    <w:rsid w:val="00B41447"/>
    <w:rsid w:val="00B415EF"/>
    <w:rsid w:val="00B41BC7"/>
    <w:rsid w:val="00B420AF"/>
    <w:rsid w:val="00B427C6"/>
    <w:rsid w:val="00B42872"/>
    <w:rsid w:val="00B42ABF"/>
    <w:rsid w:val="00B42BE4"/>
    <w:rsid w:val="00B43150"/>
    <w:rsid w:val="00B43168"/>
    <w:rsid w:val="00B43AFD"/>
    <w:rsid w:val="00B4459E"/>
    <w:rsid w:val="00B446E0"/>
    <w:rsid w:val="00B4487B"/>
    <w:rsid w:val="00B44D1C"/>
    <w:rsid w:val="00B44DB9"/>
    <w:rsid w:val="00B45311"/>
    <w:rsid w:val="00B45A65"/>
    <w:rsid w:val="00B45E5F"/>
    <w:rsid w:val="00B46617"/>
    <w:rsid w:val="00B469B2"/>
    <w:rsid w:val="00B46CDA"/>
    <w:rsid w:val="00B46D97"/>
    <w:rsid w:val="00B46ED8"/>
    <w:rsid w:val="00B47081"/>
    <w:rsid w:val="00B47664"/>
    <w:rsid w:val="00B50175"/>
    <w:rsid w:val="00B51547"/>
    <w:rsid w:val="00B51BCC"/>
    <w:rsid w:val="00B51CFB"/>
    <w:rsid w:val="00B53754"/>
    <w:rsid w:val="00B53A95"/>
    <w:rsid w:val="00B53B1A"/>
    <w:rsid w:val="00B53EEA"/>
    <w:rsid w:val="00B544A9"/>
    <w:rsid w:val="00B54E30"/>
    <w:rsid w:val="00B554D9"/>
    <w:rsid w:val="00B55EC8"/>
    <w:rsid w:val="00B566CE"/>
    <w:rsid w:val="00B57710"/>
    <w:rsid w:val="00B57CCC"/>
    <w:rsid w:val="00B603F3"/>
    <w:rsid w:val="00B60529"/>
    <w:rsid w:val="00B60B0F"/>
    <w:rsid w:val="00B60C78"/>
    <w:rsid w:val="00B60CA2"/>
    <w:rsid w:val="00B61A9E"/>
    <w:rsid w:val="00B61B54"/>
    <w:rsid w:val="00B61D4F"/>
    <w:rsid w:val="00B62447"/>
    <w:rsid w:val="00B62891"/>
    <w:rsid w:val="00B628F0"/>
    <w:rsid w:val="00B63B7E"/>
    <w:rsid w:val="00B64E4A"/>
    <w:rsid w:val="00B6509A"/>
    <w:rsid w:val="00B658F6"/>
    <w:rsid w:val="00B65C35"/>
    <w:rsid w:val="00B65F18"/>
    <w:rsid w:val="00B6645C"/>
    <w:rsid w:val="00B66AD2"/>
    <w:rsid w:val="00B6725F"/>
    <w:rsid w:val="00B678D2"/>
    <w:rsid w:val="00B701AD"/>
    <w:rsid w:val="00B702F1"/>
    <w:rsid w:val="00B713B3"/>
    <w:rsid w:val="00B71851"/>
    <w:rsid w:val="00B71C3C"/>
    <w:rsid w:val="00B72D41"/>
    <w:rsid w:val="00B73639"/>
    <w:rsid w:val="00B73993"/>
    <w:rsid w:val="00B74AE3"/>
    <w:rsid w:val="00B74E46"/>
    <w:rsid w:val="00B75018"/>
    <w:rsid w:val="00B75111"/>
    <w:rsid w:val="00B755FA"/>
    <w:rsid w:val="00B76096"/>
    <w:rsid w:val="00B7688F"/>
    <w:rsid w:val="00B76FDA"/>
    <w:rsid w:val="00B77205"/>
    <w:rsid w:val="00B772AD"/>
    <w:rsid w:val="00B77318"/>
    <w:rsid w:val="00B7773E"/>
    <w:rsid w:val="00B77E7A"/>
    <w:rsid w:val="00B80D65"/>
    <w:rsid w:val="00B80F66"/>
    <w:rsid w:val="00B81050"/>
    <w:rsid w:val="00B81618"/>
    <w:rsid w:val="00B817D1"/>
    <w:rsid w:val="00B822FD"/>
    <w:rsid w:val="00B8235B"/>
    <w:rsid w:val="00B82444"/>
    <w:rsid w:val="00B82F6E"/>
    <w:rsid w:val="00B8341D"/>
    <w:rsid w:val="00B839AD"/>
    <w:rsid w:val="00B841AB"/>
    <w:rsid w:val="00B843F4"/>
    <w:rsid w:val="00B849A8"/>
    <w:rsid w:val="00B84A91"/>
    <w:rsid w:val="00B852D3"/>
    <w:rsid w:val="00B856BF"/>
    <w:rsid w:val="00B8585E"/>
    <w:rsid w:val="00B85A40"/>
    <w:rsid w:val="00B86075"/>
    <w:rsid w:val="00B868E2"/>
    <w:rsid w:val="00B87300"/>
    <w:rsid w:val="00B87D93"/>
    <w:rsid w:val="00B90ACB"/>
    <w:rsid w:val="00B90D99"/>
    <w:rsid w:val="00B912BC"/>
    <w:rsid w:val="00B929F9"/>
    <w:rsid w:val="00B93B19"/>
    <w:rsid w:val="00B93B98"/>
    <w:rsid w:val="00B94B58"/>
    <w:rsid w:val="00B94BEF"/>
    <w:rsid w:val="00B94CF0"/>
    <w:rsid w:val="00B95030"/>
    <w:rsid w:val="00B9563F"/>
    <w:rsid w:val="00B957C1"/>
    <w:rsid w:val="00B95CA6"/>
    <w:rsid w:val="00B964AE"/>
    <w:rsid w:val="00B96730"/>
    <w:rsid w:val="00B96F15"/>
    <w:rsid w:val="00B972A2"/>
    <w:rsid w:val="00BA08BC"/>
    <w:rsid w:val="00BA143A"/>
    <w:rsid w:val="00BA16C8"/>
    <w:rsid w:val="00BA171F"/>
    <w:rsid w:val="00BA2776"/>
    <w:rsid w:val="00BA2A9D"/>
    <w:rsid w:val="00BA3892"/>
    <w:rsid w:val="00BA3A9D"/>
    <w:rsid w:val="00BA4177"/>
    <w:rsid w:val="00BA4562"/>
    <w:rsid w:val="00BA482B"/>
    <w:rsid w:val="00BA51AD"/>
    <w:rsid w:val="00BA5C85"/>
    <w:rsid w:val="00BA5E57"/>
    <w:rsid w:val="00BA5EBB"/>
    <w:rsid w:val="00BA5F86"/>
    <w:rsid w:val="00BA6607"/>
    <w:rsid w:val="00BA71E0"/>
    <w:rsid w:val="00BA7E25"/>
    <w:rsid w:val="00BB0302"/>
    <w:rsid w:val="00BB08B2"/>
    <w:rsid w:val="00BB0DEC"/>
    <w:rsid w:val="00BB2302"/>
    <w:rsid w:val="00BB4997"/>
    <w:rsid w:val="00BB538E"/>
    <w:rsid w:val="00BB5AF3"/>
    <w:rsid w:val="00BB6138"/>
    <w:rsid w:val="00BB7A37"/>
    <w:rsid w:val="00BB7D9C"/>
    <w:rsid w:val="00BC011F"/>
    <w:rsid w:val="00BC01A1"/>
    <w:rsid w:val="00BC0584"/>
    <w:rsid w:val="00BC0C11"/>
    <w:rsid w:val="00BC1F96"/>
    <w:rsid w:val="00BC2183"/>
    <w:rsid w:val="00BC268C"/>
    <w:rsid w:val="00BC28C7"/>
    <w:rsid w:val="00BC2C86"/>
    <w:rsid w:val="00BC2F95"/>
    <w:rsid w:val="00BC3292"/>
    <w:rsid w:val="00BC363A"/>
    <w:rsid w:val="00BC3BEF"/>
    <w:rsid w:val="00BC3D4B"/>
    <w:rsid w:val="00BC4651"/>
    <w:rsid w:val="00BC4673"/>
    <w:rsid w:val="00BC46DF"/>
    <w:rsid w:val="00BC481E"/>
    <w:rsid w:val="00BC49B3"/>
    <w:rsid w:val="00BC4D34"/>
    <w:rsid w:val="00BC5042"/>
    <w:rsid w:val="00BC50CB"/>
    <w:rsid w:val="00BC587B"/>
    <w:rsid w:val="00BC6507"/>
    <w:rsid w:val="00BC69D3"/>
    <w:rsid w:val="00BC6B43"/>
    <w:rsid w:val="00BC71E5"/>
    <w:rsid w:val="00BC7C0D"/>
    <w:rsid w:val="00BC7C3F"/>
    <w:rsid w:val="00BD0459"/>
    <w:rsid w:val="00BD094C"/>
    <w:rsid w:val="00BD09A3"/>
    <w:rsid w:val="00BD0E83"/>
    <w:rsid w:val="00BD1151"/>
    <w:rsid w:val="00BD15DD"/>
    <w:rsid w:val="00BD1622"/>
    <w:rsid w:val="00BD209B"/>
    <w:rsid w:val="00BD25C4"/>
    <w:rsid w:val="00BD2A74"/>
    <w:rsid w:val="00BD317E"/>
    <w:rsid w:val="00BD3203"/>
    <w:rsid w:val="00BD38F6"/>
    <w:rsid w:val="00BD3F0D"/>
    <w:rsid w:val="00BD416B"/>
    <w:rsid w:val="00BD481B"/>
    <w:rsid w:val="00BD4C5E"/>
    <w:rsid w:val="00BD5104"/>
    <w:rsid w:val="00BD5DBA"/>
    <w:rsid w:val="00BD6CB5"/>
    <w:rsid w:val="00BD7E89"/>
    <w:rsid w:val="00BE07C2"/>
    <w:rsid w:val="00BE0832"/>
    <w:rsid w:val="00BE097E"/>
    <w:rsid w:val="00BE0AC0"/>
    <w:rsid w:val="00BE0D7A"/>
    <w:rsid w:val="00BE0E8D"/>
    <w:rsid w:val="00BE0F9E"/>
    <w:rsid w:val="00BE17C5"/>
    <w:rsid w:val="00BE1EF3"/>
    <w:rsid w:val="00BE2096"/>
    <w:rsid w:val="00BE276F"/>
    <w:rsid w:val="00BE2A1B"/>
    <w:rsid w:val="00BE2CE4"/>
    <w:rsid w:val="00BE3293"/>
    <w:rsid w:val="00BE47DB"/>
    <w:rsid w:val="00BE487E"/>
    <w:rsid w:val="00BE48B5"/>
    <w:rsid w:val="00BE573F"/>
    <w:rsid w:val="00BE5B5A"/>
    <w:rsid w:val="00BE5FA5"/>
    <w:rsid w:val="00BE64B5"/>
    <w:rsid w:val="00BE7122"/>
    <w:rsid w:val="00BE7FEE"/>
    <w:rsid w:val="00BF0BDA"/>
    <w:rsid w:val="00BF11D7"/>
    <w:rsid w:val="00BF1BA4"/>
    <w:rsid w:val="00BF2266"/>
    <w:rsid w:val="00BF2E86"/>
    <w:rsid w:val="00BF3260"/>
    <w:rsid w:val="00BF3832"/>
    <w:rsid w:val="00BF3A74"/>
    <w:rsid w:val="00BF42E7"/>
    <w:rsid w:val="00BF4678"/>
    <w:rsid w:val="00BF4E5C"/>
    <w:rsid w:val="00BF5333"/>
    <w:rsid w:val="00BF5FA9"/>
    <w:rsid w:val="00BF68CC"/>
    <w:rsid w:val="00BF6CF0"/>
    <w:rsid w:val="00BF775A"/>
    <w:rsid w:val="00BF7ABE"/>
    <w:rsid w:val="00BF7B3B"/>
    <w:rsid w:val="00BF7F6D"/>
    <w:rsid w:val="00C00659"/>
    <w:rsid w:val="00C00FC4"/>
    <w:rsid w:val="00C015F4"/>
    <w:rsid w:val="00C017F5"/>
    <w:rsid w:val="00C018E3"/>
    <w:rsid w:val="00C0201B"/>
    <w:rsid w:val="00C021E8"/>
    <w:rsid w:val="00C03203"/>
    <w:rsid w:val="00C03232"/>
    <w:rsid w:val="00C034AE"/>
    <w:rsid w:val="00C03788"/>
    <w:rsid w:val="00C037D7"/>
    <w:rsid w:val="00C03DBE"/>
    <w:rsid w:val="00C04435"/>
    <w:rsid w:val="00C04660"/>
    <w:rsid w:val="00C04E0C"/>
    <w:rsid w:val="00C0549C"/>
    <w:rsid w:val="00C05A9F"/>
    <w:rsid w:val="00C05FB5"/>
    <w:rsid w:val="00C06972"/>
    <w:rsid w:val="00C06AF9"/>
    <w:rsid w:val="00C07028"/>
    <w:rsid w:val="00C0764B"/>
    <w:rsid w:val="00C077CC"/>
    <w:rsid w:val="00C07AB9"/>
    <w:rsid w:val="00C1021A"/>
    <w:rsid w:val="00C10B81"/>
    <w:rsid w:val="00C10F29"/>
    <w:rsid w:val="00C1156C"/>
    <w:rsid w:val="00C116EE"/>
    <w:rsid w:val="00C11BE5"/>
    <w:rsid w:val="00C125C5"/>
    <w:rsid w:val="00C13511"/>
    <w:rsid w:val="00C145E7"/>
    <w:rsid w:val="00C14AA0"/>
    <w:rsid w:val="00C152D0"/>
    <w:rsid w:val="00C152F3"/>
    <w:rsid w:val="00C15F18"/>
    <w:rsid w:val="00C15F4D"/>
    <w:rsid w:val="00C165CF"/>
    <w:rsid w:val="00C170F3"/>
    <w:rsid w:val="00C17CD8"/>
    <w:rsid w:val="00C2006F"/>
    <w:rsid w:val="00C20E8A"/>
    <w:rsid w:val="00C21033"/>
    <w:rsid w:val="00C2117A"/>
    <w:rsid w:val="00C21839"/>
    <w:rsid w:val="00C218F0"/>
    <w:rsid w:val="00C21A29"/>
    <w:rsid w:val="00C236DE"/>
    <w:rsid w:val="00C23C45"/>
    <w:rsid w:val="00C2458D"/>
    <w:rsid w:val="00C245C0"/>
    <w:rsid w:val="00C2510B"/>
    <w:rsid w:val="00C251A4"/>
    <w:rsid w:val="00C2547F"/>
    <w:rsid w:val="00C25C3C"/>
    <w:rsid w:val="00C2616A"/>
    <w:rsid w:val="00C26C21"/>
    <w:rsid w:val="00C26E7F"/>
    <w:rsid w:val="00C2766E"/>
    <w:rsid w:val="00C27C9E"/>
    <w:rsid w:val="00C27CAE"/>
    <w:rsid w:val="00C27E42"/>
    <w:rsid w:val="00C3009C"/>
    <w:rsid w:val="00C308B2"/>
    <w:rsid w:val="00C308C8"/>
    <w:rsid w:val="00C310A4"/>
    <w:rsid w:val="00C312E2"/>
    <w:rsid w:val="00C315CD"/>
    <w:rsid w:val="00C31718"/>
    <w:rsid w:val="00C31BC4"/>
    <w:rsid w:val="00C32C63"/>
    <w:rsid w:val="00C33336"/>
    <w:rsid w:val="00C34A19"/>
    <w:rsid w:val="00C34A64"/>
    <w:rsid w:val="00C34AD8"/>
    <w:rsid w:val="00C35123"/>
    <w:rsid w:val="00C35139"/>
    <w:rsid w:val="00C355C5"/>
    <w:rsid w:val="00C35661"/>
    <w:rsid w:val="00C35ADD"/>
    <w:rsid w:val="00C35CFC"/>
    <w:rsid w:val="00C367A4"/>
    <w:rsid w:val="00C40113"/>
    <w:rsid w:val="00C405D6"/>
    <w:rsid w:val="00C41AF4"/>
    <w:rsid w:val="00C42640"/>
    <w:rsid w:val="00C4289C"/>
    <w:rsid w:val="00C42966"/>
    <w:rsid w:val="00C42E4A"/>
    <w:rsid w:val="00C42E5B"/>
    <w:rsid w:val="00C438BB"/>
    <w:rsid w:val="00C44782"/>
    <w:rsid w:val="00C44921"/>
    <w:rsid w:val="00C45A6B"/>
    <w:rsid w:val="00C45EE2"/>
    <w:rsid w:val="00C46225"/>
    <w:rsid w:val="00C46FE0"/>
    <w:rsid w:val="00C47298"/>
    <w:rsid w:val="00C474F6"/>
    <w:rsid w:val="00C47DDF"/>
    <w:rsid w:val="00C50162"/>
    <w:rsid w:val="00C502AF"/>
    <w:rsid w:val="00C505AC"/>
    <w:rsid w:val="00C50F32"/>
    <w:rsid w:val="00C512BC"/>
    <w:rsid w:val="00C515A3"/>
    <w:rsid w:val="00C517EC"/>
    <w:rsid w:val="00C51AC9"/>
    <w:rsid w:val="00C52199"/>
    <w:rsid w:val="00C52471"/>
    <w:rsid w:val="00C532CC"/>
    <w:rsid w:val="00C53EE9"/>
    <w:rsid w:val="00C54DFE"/>
    <w:rsid w:val="00C55269"/>
    <w:rsid w:val="00C55497"/>
    <w:rsid w:val="00C5764C"/>
    <w:rsid w:val="00C57D5F"/>
    <w:rsid w:val="00C600D3"/>
    <w:rsid w:val="00C613B4"/>
    <w:rsid w:val="00C61974"/>
    <w:rsid w:val="00C61A3A"/>
    <w:rsid w:val="00C61A70"/>
    <w:rsid w:val="00C62427"/>
    <w:rsid w:val="00C63829"/>
    <w:rsid w:val="00C63D05"/>
    <w:rsid w:val="00C64DBE"/>
    <w:rsid w:val="00C6525B"/>
    <w:rsid w:val="00C655F3"/>
    <w:rsid w:val="00C65626"/>
    <w:rsid w:val="00C658BC"/>
    <w:rsid w:val="00C65FA7"/>
    <w:rsid w:val="00C66352"/>
    <w:rsid w:val="00C6674F"/>
    <w:rsid w:val="00C66AA8"/>
    <w:rsid w:val="00C66C7B"/>
    <w:rsid w:val="00C67058"/>
    <w:rsid w:val="00C671A2"/>
    <w:rsid w:val="00C67768"/>
    <w:rsid w:val="00C6788D"/>
    <w:rsid w:val="00C67A43"/>
    <w:rsid w:val="00C67B51"/>
    <w:rsid w:val="00C706BA"/>
    <w:rsid w:val="00C70C38"/>
    <w:rsid w:val="00C718C2"/>
    <w:rsid w:val="00C71AF2"/>
    <w:rsid w:val="00C72042"/>
    <w:rsid w:val="00C723B3"/>
    <w:rsid w:val="00C723BD"/>
    <w:rsid w:val="00C7240D"/>
    <w:rsid w:val="00C72611"/>
    <w:rsid w:val="00C72A18"/>
    <w:rsid w:val="00C72AFB"/>
    <w:rsid w:val="00C73B67"/>
    <w:rsid w:val="00C73FE9"/>
    <w:rsid w:val="00C74525"/>
    <w:rsid w:val="00C74A34"/>
    <w:rsid w:val="00C74C99"/>
    <w:rsid w:val="00C76645"/>
    <w:rsid w:val="00C766A1"/>
    <w:rsid w:val="00C768C1"/>
    <w:rsid w:val="00C76B82"/>
    <w:rsid w:val="00C76E8A"/>
    <w:rsid w:val="00C77ABA"/>
    <w:rsid w:val="00C77C33"/>
    <w:rsid w:val="00C80AD6"/>
    <w:rsid w:val="00C818D2"/>
    <w:rsid w:val="00C819E4"/>
    <w:rsid w:val="00C823C7"/>
    <w:rsid w:val="00C8270F"/>
    <w:rsid w:val="00C828B1"/>
    <w:rsid w:val="00C8309D"/>
    <w:rsid w:val="00C83444"/>
    <w:rsid w:val="00C83676"/>
    <w:rsid w:val="00C837B3"/>
    <w:rsid w:val="00C83E10"/>
    <w:rsid w:val="00C84421"/>
    <w:rsid w:val="00C84723"/>
    <w:rsid w:val="00C848C5"/>
    <w:rsid w:val="00C84C07"/>
    <w:rsid w:val="00C84D34"/>
    <w:rsid w:val="00C85214"/>
    <w:rsid w:val="00C85608"/>
    <w:rsid w:val="00C85710"/>
    <w:rsid w:val="00C85F48"/>
    <w:rsid w:val="00C86532"/>
    <w:rsid w:val="00C86D6D"/>
    <w:rsid w:val="00C911A8"/>
    <w:rsid w:val="00C91263"/>
    <w:rsid w:val="00C91439"/>
    <w:rsid w:val="00C91B25"/>
    <w:rsid w:val="00C92385"/>
    <w:rsid w:val="00C924DC"/>
    <w:rsid w:val="00C92B25"/>
    <w:rsid w:val="00C92B30"/>
    <w:rsid w:val="00C9399B"/>
    <w:rsid w:val="00C93BBC"/>
    <w:rsid w:val="00C943A4"/>
    <w:rsid w:val="00C94630"/>
    <w:rsid w:val="00C94C11"/>
    <w:rsid w:val="00C94CDB"/>
    <w:rsid w:val="00C95EB9"/>
    <w:rsid w:val="00C95FB6"/>
    <w:rsid w:val="00C96774"/>
    <w:rsid w:val="00CA165C"/>
    <w:rsid w:val="00CA1932"/>
    <w:rsid w:val="00CA1CDB"/>
    <w:rsid w:val="00CA22EA"/>
    <w:rsid w:val="00CA2F16"/>
    <w:rsid w:val="00CA36A5"/>
    <w:rsid w:val="00CA3819"/>
    <w:rsid w:val="00CA46E8"/>
    <w:rsid w:val="00CA4D94"/>
    <w:rsid w:val="00CA541D"/>
    <w:rsid w:val="00CA57EA"/>
    <w:rsid w:val="00CA5933"/>
    <w:rsid w:val="00CA5C5F"/>
    <w:rsid w:val="00CA60C1"/>
    <w:rsid w:val="00CA6146"/>
    <w:rsid w:val="00CA62F9"/>
    <w:rsid w:val="00CA64F8"/>
    <w:rsid w:val="00CA66BD"/>
    <w:rsid w:val="00CA6A48"/>
    <w:rsid w:val="00CA6F10"/>
    <w:rsid w:val="00CA6F24"/>
    <w:rsid w:val="00CA792E"/>
    <w:rsid w:val="00CA7984"/>
    <w:rsid w:val="00CB0EBD"/>
    <w:rsid w:val="00CB1545"/>
    <w:rsid w:val="00CB39FC"/>
    <w:rsid w:val="00CB4156"/>
    <w:rsid w:val="00CB422E"/>
    <w:rsid w:val="00CB46BA"/>
    <w:rsid w:val="00CB4CF9"/>
    <w:rsid w:val="00CB4FAF"/>
    <w:rsid w:val="00CB600D"/>
    <w:rsid w:val="00CB65BB"/>
    <w:rsid w:val="00CB6B57"/>
    <w:rsid w:val="00CB72FA"/>
    <w:rsid w:val="00CC083E"/>
    <w:rsid w:val="00CC0BD5"/>
    <w:rsid w:val="00CC0C10"/>
    <w:rsid w:val="00CC1510"/>
    <w:rsid w:val="00CC1BB3"/>
    <w:rsid w:val="00CC1CF5"/>
    <w:rsid w:val="00CC209E"/>
    <w:rsid w:val="00CC2A89"/>
    <w:rsid w:val="00CC2B23"/>
    <w:rsid w:val="00CC3372"/>
    <w:rsid w:val="00CC36E8"/>
    <w:rsid w:val="00CC36F1"/>
    <w:rsid w:val="00CC3C0A"/>
    <w:rsid w:val="00CC40EB"/>
    <w:rsid w:val="00CC4198"/>
    <w:rsid w:val="00CC4207"/>
    <w:rsid w:val="00CC45E2"/>
    <w:rsid w:val="00CC4DFA"/>
    <w:rsid w:val="00CC4FBD"/>
    <w:rsid w:val="00CC5161"/>
    <w:rsid w:val="00CC593E"/>
    <w:rsid w:val="00CC61B3"/>
    <w:rsid w:val="00CC63B9"/>
    <w:rsid w:val="00CC6713"/>
    <w:rsid w:val="00CC706E"/>
    <w:rsid w:val="00CC76B4"/>
    <w:rsid w:val="00CD018E"/>
    <w:rsid w:val="00CD033F"/>
    <w:rsid w:val="00CD0725"/>
    <w:rsid w:val="00CD129F"/>
    <w:rsid w:val="00CD12E2"/>
    <w:rsid w:val="00CD15BD"/>
    <w:rsid w:val="00CD24B8"/>
    <w:rsid w:val="00CD294E"/>
    <w:rsid w:val="00CD29F8"/>
    <w:rsid w:val="00CD2EEC"/>
    <w:rsid w:val="00CD346C"/>
    <w:rsid w:val="00CD35FE"/>
    <w:rsid w:val="00CD4843"/>
    <w:rsid w:val="00CD4A87"/>
    <w:rsid w:val="00CD4AA3"/>
    <w:rsid w:val="00CD4FBF"/>
    <w:rsid w:val="00CD5442"/>
    <w:rsid w:val="00CD5AB0"/>
    <w:rsid w:val="00CD5EB2"/>
    <w:rsid w:val="00CD6857"/>
    <w:rsid w:val="00CD6A3B"/>
    <w:rsid w:val="00CE0004"/>
    <w:rsid w:val="00CE004D"/>
    <w:rsid w:val="00CE06A3"/>
    <w:rsid w:val="00CE0B39"/>
    <w:rsid w:val="00CE0DB0"/>
    <w:rsid w:val="00CE0F6F"/>
    <w:rsid w:val="00CE1255"/>
    <w:rsid w:val="00CE132D"/>
    <w:rsid w:val="00CE23C9"/>
    <w:rsid w:val="00CE2AB6"/>
    <w:rsid w:val="00CE2D61"/>
    <w:rsid w:val="00CE315B"/>
    <w:rsid w:val="00CE33E7"/>
    <w:rsid w:val="00CE3F91"/>
    <w:rsid w:val="00CE46FD"/>
    <w:rsid w:val="00CE5FF6"/>
    <w:rsid w:val="00CE60BB"/>
    <w:rsid w:val="00CE620C"/>
    <w:rsid w:val="00CE69F1"/>
    <w:rsid w:val="00CE7BCE"/>
    <w:rsid w:val="00CE7C2C"/>
    <w:rsid w:val="00CF0279"/>
    <w:rsid w:val="00CF095B"/>
    <w:rsid w:val="00CF0F5C"/>
    <w:rsid w:val="00CF10F8"/>
    <w:rsid w:val="00CF1902"/>
    <w:rsid w:val="00CF1DF5"/>
    <w:rsid w:val="00CF26CE"/>
    <w:rsid w:val="00CF2A3E"/>
    <w:rsid w:val="00CF2C33"/>
    <w:rsid w:val="00CF3055"/>
    <w:rsid w:val="00CF34A2"/>
    <w:rsid w:val="00CF3906"/>
    <w:rsid w:val="00CF3B71"/>
    <w:rsid w:val="00CF4BA7"/>
    <w:rsid w:val="00CF5556"/>
    <w:rsid w:val="00CF5723"/>
    <w:rsid w:val="00CF6996"/>
    <w:rsid w:val="00D010ED"/>
    <w:rsid w:val="00D0117F"/>
    <w:rsid w:val="00D021CA"/>
    <w:rsid w:val="00D02403"/>
    <w:rsid w:val="00D02823"/>
    <w:rsid w:val="00D0383F"/>
    <w:rsid w:val="00D0392E"/>
    <w:rsid w:val="00D03C89"/>
    <w:rsid w:val="00D0509F"/>
    <w:rsid w:val="00D05505"/>
    <w:rsid w:val="00D05F43"/>
    <w:rsid w:val="00D061AB"/>
    <w:rsid w:val="00D06605"/>
    <w:rsid w:val="00D06DE8"/>
    <w:rsid w:val="00D06DF6"/>
    <w:rsid w:val="00D07525"/>
    <w:rsid w:val="00D07C2D"/>
    <w:rsid w:val="00D103CF"/>
    <w:rsid w:val="00D10579"/>
    <w:rsid w:val="00D11146"/>
    <w:rsid w:val="00D11696"/>
    <w:rsid w:val="00D11D90"/>
    <w:rsid w:val="00D11FB8"/>
    <w:rsid w:val="00D12620"/>
    <w:rsid w:val="00D12652"/>
    <w:rsid w:val="00D135E4"/>
    <w:rsid w:val="00D13731"/>
    <w:rsid w:val="00D13D1B"/>
    <w:rsid w:val="00D14759"/>
    <w:rsid w:val="00D14ADE"/>
    <w:rsid w:val="00D154B2"/>
    <w:rsid w:val="00D1569A"/>
    <w:rsid w:val="00D16B91"/>
    <w:rsid w:val="00D16B97"/>
    <w:rsid w:val="00D16DA0"/>
    <w:rsid w:val="00D179BD"/>
    <w:rsid w:val="00D17AFD"/>
    <w:rsid w:val="00D20453"/>
    <w:rsid w:val="00D2058D"/>
    <w:rsid w:val="00D2199F"/>
    <w:rsid w:val="00D22641"/>
    <w:rsid w:val="00D22E16"/>
    <w:rsid w:val="00D23455"/>
    <w:rsid w:val="00D23A09"/>
    <w:rsid w:val="00D23DAF"/>
    <w:rsid w:val="00D25C9E"/>
    <w:rsid w:val="00D263D3"/>
    <w:rsid w:val="00D275A1"/>
    <w:rsid w:val="00D2798B"/>
    <w:rsid w:val="00D27CB4"/>
    <w:rsid w:val="00D309DE"/>
    <w:rsid w:val="00D30ACB"/>
    <w:rsid w:val="00D30B0B"/>
    <w:rsid w:val="00D30CA3"/>
    <w:rsid w:val="00D30D19"/>
    <w:rsid w:val="00D31B0E"/>
    <w:rsid w:val="00D331EF"/>
    <w:rsid w:val="00D33B83"/>
    <w:rsid w:val="00D34823"/>
    <w:rsid w:val="00D35656"/>
    <w:rsid w:val="00D35827"/>
    <w:rsid w:val="00D35C81"/>
    <w:rsid w:val="00D3634A"/>
    <w:rsid w:val="00D364A3"/>
    <w:rsid w:val="00D36B23"/>
    <w:rsid w:val="00D36B6A"/>
    <w:rsid w:val="00D37003"/>
    <w:rsid w:val="00D374BE"/>
    <w:rsid w:val="00D37E00"/>
    <w:rsid w:val="00D4047E"/>
    <w:rsid w:val="00D40517"/>
    <w:rsid w:val="00D41747"/>
    <w:rsid w:val="00D430F6"/>
    <w:rsid w:val="00D439D0"/>
    <w:rsid w:val="00D443E1"/>
    <w:rsid w:val="00D450C5"/>
    <w:rsid w:val="00D46A03"/>
    <w:rsid w:val="00D46D1E"/>
    <w:rsid w:val="00D47ADB"/>
    <w:rsid w:val="00D47BEF"/>
    <w:rsid w:val="00D47F6A"/>
    <w:rsid w:val="00D5010E"/>
    <w:rsid w:val="00D50BEF"/>
    <w:rsid w:val="00D50DCD"/>
    <w:rsid w:val="00D514BF"/>
    <w:rsid w:val="00D51955"/>
    <w:rsid w:val="00D51F57"/>
    <w:rsid w:val="00D524EC"/>
    <w:rsid w:val="00D52977"/>
    <w:rsid w:val="00D53592"/>
    <w:rsid w:val="00D53698"/>
    <w:rsid w:val="00D53A9C"/>
    <w:rsid w:val="00D541CA"/>
    <w:rsid w:val="00D543BD"/>
    <w:rsid w:val="00D54711"/>
    <w:rsid w:val="00D55127"/>
    <w:rsid w:val="00D551EA"/>
    <w:rsid w:val="00D565BD"/>
    <w:rsid w:val="00D56F10"/>
    <w:rsid w:val="00D578A4"/>
    <w:rsid w:val="00D57A1D"/>
    <w:rsid w:val="00D57ABF"/>
    <w:rsid w:val="00D605C2"/>
    <w:rsid w:val="00D60BDF"/>
    <w:rsid w:val="00D62161"/>
    <w:rsid w:val="00D6314F"/>
    <w:rsid w:val="00D63793"/>
    <w:rsid w:val="00D64466"/>
    <w:rsid w:val="00D6499B"/>
    <w:rsid w:val="00D64C89"/>
    <w:rsid w:val="00D64F66"/>
    <w:rsid w:val="00D6602D"/>
    <w:rsid w:val="00D66116"/>
    <w:rsid w:val="00D666A0"/>
    <w:rsid w:val="00D674BD"/>
    <w:rsid w:val="00D67592"/>
    <w:rsid w:val="00D676B7"/>
    <w:rsid w:val="00D67932"/>
    <w:rsid w:val="00D70458"/>
    <w:rsid w:val="00D70679"/>
    <w:rsid w:val="00D70FFB"/>
    <w:rsid w:val="00D71718"/>
    <w:rsid w:val="00D71728"/>
    <w:rsid w:val="00D71A29"/>
    <w:rsid w:val="00D72187"/>
    <w:rsid w:val="00D72B59"/>
    <w:rsid w:val="00D72CEA"/>
    <w:rsid w:val="00D7372D"/>
    <w:rsid w:val="00D73DAE"/>
    <w:rsid w:val="00D74FED"/>
    <w:rsid w:val="00D76031"/>
    <w:rsid w:val="00D76814"/>
    <w:rsid w:val="00D80155"/>
    <w:rsid w:val="00D808A5"/>
    <w:rsid w:val="00D81622"/>
    <w:rsid w:val="00D81898"/>
    <w:rsid w:val="00D8190A"/>
    <w:rsid w:val="00D81EA9"/>
    <w:rsid w:val="00D81FD7"/>
    <w:rsid w:val="00D8202E"/>
    <w:rsid w:val="00D827F2"/>
    <w:rsid w:val="00D82F85"/>
    <w:rsid w:val="00D83B2D"/>
    <w:rsid w:val="00D84B42"/>
    <w:rsid w:val="00D854D1"/>
    <w:rsid w:val="00D8557F"/>
    <w:rsid w:val="00D85DD5"/>
    <w:rsid w:val="00D86D94"/>
    <w:rsid w:val="00D9059D"/>
    <w:rsid w:val="00D927F3"/>
    <w:rsid w:val="00D93B75"/>
    <w:rsid w:val="00D949C1"/>
    <w:rsid w:val="00D94D8B"/>
    <w:rsid w:val="00D94DDF"/>
    <w:rsid w:val="00D95D1B"/>
    <w:rsid w:val="00D95D77"/>
    <w:rsid w:val="00D961D1"/>
    <w:rsid w:val="00D96FD4"/>
    <w:rsid w:val="00D9775F"/>
    <w:rsid w:val="00D9793C"/>
    <w:rsid w:val="00D97A0B"/>
    <w:rsid w:val="00DA0055"/>
    <w:rsid w:val="00DA06B8"/>
    <w:rsid w:val="00DA09C3"/>
    <w:rsid w:val="00DA0B22"/>
    <w:rsid w:val="00DA1763"/>
    <w:rsid w:val="00DA1F22"/>
    <w:rsid w:val="00DA2509"/>
    <w:rsid w:val="00DA26DF"/>
    <w:rsid w:val="00DA2941"/>
    <w:rsid w:val="00DA3000"/>
    <w:rsid w:val="00DA37BA"/>
    <w:rsid w:val="00DA3A37"/>
    <w:rsid w:val="00DA3E9E"/>
    <w:rsid w:val="00DA3FD1"/>
    <w:rsid w:val="00DA44DE"/>
    <w:rsid w:val="00DA5068"/>
    <w:rsid w:val="00DA5A0C"/>
    <w:rsid w:val="00DA6281"/>
    <w:rsid w:val="00DA66FF"/>
    <w:rsid w:val="00DA6711"/>
    <w:rsid w:val="00DA696E"/>
    <w:rsid w:val="00DA6B57"/>
    <w:rsid w:val="00DA72F0"/>
    <w:rsid w:val="00DB0323"/>
    <w:rsid w:val="00DB05EC"/>
    <w:rsid w:val="00DB0808"/>
    <w:rsid w:val="00DB08B8"/>
    <w:rsid w:val="00DB189E"/>
    <w:rsid w:val="00DB18C3"/>
    <w:rsid w:val="00DB1E5A"/>
    <w:rsid w:val="00DB28F8"/>
    <w:rsid w:val="00DB34B7"/>
    <w:rsid w:val="00DB3B09"/>
    <w:rsid w:val="00DB3B7D"/>
    <w:rsid w:val="00DB3C5D"/>
    <w:rsid w:val="00DB40F9"/>
    <w:rsid w:val="00DB4233"/>
    <w:rsid w:val="00DB443C"/>
    <w:rsid w:val="00DB52EE"/>
    <w:rsid w:val="00DB5321"/>
    <w:rsid w:val="00DB53D3"/>
    <w:rsid w:val="00DB54A1"/>
    <w:rsid w:val="00DB54B6"/>
    <w:rsid w:val="00DB54BA"/>
    <w:rsid w:val="00DB647E"/>
    <w:rsid w:val="00DB6496"/>
    <w:rsid w:val="00DB6BA0"/>
    <w:rsid w:val="00DB7433"/>
    <w:rsid w:val="00DB7B42"/>
    <w:rsid w:val="00DB7D8E"/>
    <w:rsid w:val="00DB7EED"/>
    <w:rsid w:val="00DC0244"/>
    <w:rsid w:val="00DC024B"/>
    <w:rsid w:val="00DC04FF"/>
    <w:rsid w:val="00DC08D3"/>
    <w:rsid w:val="00DC095D"/>
    <w:rsid w:val="00DC0A1C"/>
    <w:rsid w:val="00DC13D6"/>
    <w:rsid w:val="00DC1EE1"/>
    <w:rsid w:val="00DC2885"/>
    <w:rsid w:val="00DC2EB6"/>
    <w:rsid w:val="00DC39FA"/>
    <w:rsid w:val="00DC43A0"/>
    <w:rsid w:val="00DC45B3"/>
    <w:rsid w:val="00DC47D3"/>
    <w:rsid w:val="00DC48BB"/>
    <w:rsid w:val="00DC4A71"/>
    <w:rsid w:val="00DC5703"/>
    <w:rsid w:val="00DC5976"/>
    <w:rsid w:val="00DC6ADC"/>
    <w:rsid w:val="00DC6FCB"/>
    <w:rsid w:val="00DC7609"/>
    <w:rsid w:val="00DC7F5C"/>
    <w:rsid w:val="00DD141A"/>
    <w:rsid w:val="00DD17DD"/>
    <w:rsid w:val="00DD1C29"/>
    <w:rsid w:val="00DD1E04"/>
    <w:rsid w:val="00DD24E0"/>
    <w:rsid w:val="00DD2C85"/>
    <w:rsid w:val="00DD2CD9"/>
    <w:rsid w:val="00DD2F27"/>
    <w:rsid w:val="00DD4AF0"/>
    <w:rsid w:val="00DD56F5"/>
    <w:rsid w:val="00DD5AAE"/>
    <w:rsid w:val="00DD5EA1"/>
    <w:rsid w:val="00DD6B2B"/>
    <w:rsid w:val="00DD7F39"/>
    <w:rsid w:val="00DE0410"/>
    <w:rsid w:val="00DE13D0"/>
    <w:rsid w:val="00DE1677"/>
    <w:rsid w:val="00DE1C1B"/>
    <w:rsid w:val="00DE1C36"/>
    <w:rsid w:val="00DE1EBA"/>
    <w:rsid w:val="00DE1F0A"/>
    <w:rsid w:val="00DE26F1"/>
    <w:rsid w:val="00DE2748"/>
    <w:rsid w:val="00DE31E3"/>
    <w:rsid w:val="00DE3A5E"/>
    <w:rsid w:val="00DE43A7"/>
    <w:rsid w:val="00DE48EF"/>
    <w:rsid w:val="00DE48F9"/>
    <w:rsid w:val="00DE596E"/>
    <w:rsid w:val="00DE6D43"/>
    <w:rsid w:val="00DE6F0A"/>
    <w:rsid w:val="00DE7CCE"/>
    <w:rsid w:val="00DF0074"/>
    <w:rsid w:val="00DF0451"/>
    <w:rsid w:val="00DF0BD4"/>
    <w:rsid w:val="00DF0DE3"/>
    <w:rsid w:val="00DF1A70"/>
    <w:rsid w:val="00DF1F1A"/>
    <w:rsid w:val="00DF224A"/>
    <w:rsid w:val="00DF27E1"/>
    <w:rsid w:val="00DF3085"/>
    <w:rsid w:val="00DF3320"/>
    <w:rsid w:val="00DF3416"/>
    <w:rsid w:val="00DF3D95"/>
    <w:rsid w:val="00DF5E72"/>
    <w:rsid w:val="00DF77C3"/>
    <w:rsid w:val="00DF7A4F"/>
    <w:rsid w:val="00DF7ABF"/>
    <w:rsid w:val="00DF7F8E"/>
    <w:rsid w:val="00DF7FF2"/>
    <w:rsid w:val="00E0039B"/>
    <w:rsid w:val="00E00495"/>
    <w:rsid w:val="00E01131"/>
    <w:rsid w:val="00E0131B"/>
    <w:rsid w:val="00E0145D"/>
    <w:rsid w:val="00E02035"/>
    <w:rsid w:val="00E02A88"/>
    <w:rsid w:val="00E03D30"/>
    <w:rsid w:val="00E03F78"/>
    <w:rsid w:val="00E03F86"/>
    <w:rsid w:val="00E04200"/>
    <w:rsid w:val="00E0440D"/>
    <w:rsid w:val="00E04BD9"/>
    <w:rsid w:val="00E04E4C"/>
    <w:rsid w:val="00E054F0"/>
    <w:rsid w:val="00E057E2"/>
    <w:rsid w:val="00E05836"/>
    <w:rsid w:val="00E05E23"/>
    <w:rsid w:val="00E07053"/>
    <w:rsid w:val="00E077AD"/>
    <w:rsid w:val="00E1054B"/>
    <w:rsid w:val="00E1065B"/>
    <w:rsid w:val="00E1092B"/>
    <w:rsid w:val="00E10A09"/>
    <w:rsid w:val="00E11177"/>
    <w:rsid w:val="00E1247E"/>
    <w:rsid w:val="00E12811"/>
    <w:rsid w:val="00E143E7"/>
    <w:rsid w:val="00E14BAC"/>
    <w:rsid w:val="00E15137"/>
    <w:rsid w:val="00E156CC"/>
    <w:rsid w:val="00E15843"/>
    <w:rsid w:val="00E15C14"/>
    <w:rsid w:val="00E1631F"/>
    <w:rsid w:val="00E16E65"/>
    <w:rsid w:val="00E17F61"/>
    <w:rsid w:val="00E20E0A"/>
    <w:rsid w:val="00E20E52"/>
    <w:rsid w:val="00E214A1"/>
    <w:rsid w:val="00E21DDD"/>
    <w:rsid w:val="00E21E58"/>
    <w:rsid w:val="00E227E2"/>
    <w:rsid w:val="00E22E1E"/>
    <w:rsid w:val="00E233DF"/>
    <w:rsid w:val="00E238F7"/>
    <w:rsid w:val="00E23A30"/>
    <w:rsid w:val="00E23EA9"/>
    <w:rsid w:val="00E2402F"/>
    <w:rsid w:val="00E24501"/>
    <w:rsid w:val="00E25244"/>
    <w:rsid w:val="00E25A4D"/>
    <w:rsid w:val="00E26603"/>
    <w:rsid w:val="00E26717"/>
    <w:rsid w:val="00E26C81"/>
    <w:rsid w:val="00E27329"/>
    <w:rsid w:val="00E2759D"/>
    <w:rsid w:val="00E30145"/>
    <w:rsid w:val="00E30721"/>
    <w:rsid w:val="00E30B0C"/>
    <w:rsid w:val="00E31784"/>
    <w:rsid w:val="00E31937"/>
    <w:rsid w:val="00E319D2"/>
    <w:rsid w:val="00E3318F"/>
    <w:rsid w:val="00E33C36"/>
    <w:rsid w:val="00E33D8C"/>
    <w:rsid w:val="00E33FD3"/>
    <w:rsid w:val="00E34964"/>
    <w:rsid w:val="00E34E88"/>
    <w:rsid w:val="00E35050"/>
    <w:rsid w:val="00E35482"/>
    <w:rsid w:val="00E35EE8"/>
    <w:rsid w:val="00E36A5C"/>
    <w:rsid w:val="00E36BB0"/>
    <w:rsid w:val="00E3716B"/>
    <w:rsid w:val="00E371BD"/>
    <w:rsid w:val="00E37422"/>
    <w:rsid w:val="00E4000F"/>
    <w:rsid w:val="00E40997"/>
    <w:rsid w:val="00E40C2D"/>
    <w:rsid w:val="00E4308F"/>
    <w:rsid w:val="00E436B0"/>
    <w:rsid w:val="00E43755"/>
    <w:rsid w:val="00E442E2"/>
    <w:rsid w:val="00E44646"/>
    <w:rsid w:val="00E45018"/>
    <w:rsid w:val="00E454F1"/>
    <w:rsid w:val="00E459AF"/>
    <w:rsid w:val="00E46549"/>
    <w:rsid w:val="00E46D8D"/>
    <w:rsid w:val="00E4755B"/>
    <w:rsid w:val="00E50403"/>
    <w:rsid w:val="00E504A3"/>
    <w:rsid w:val="00E509BA"/>
    <w:rsid w:val="00E50B2A"/>
    <w:rsid w:val="00E513A3"/>
    <w:rsid w:val="00E51B6A"/>
    <w:rsid w:val="00E51EF7"/>
    <w:rsid w:val="00E5256C"/>
    <w:rsid w:val="00E525FC"/>
    <w:rsid w:val="00E536E5"/>
    <w:rsid w:val="00E53E23"/>
    <w:rsid w:val="00E53FF7"/>
    <w:rsid w:val="00E545E8"/>
    <w:rsid w:val="00E547CF"/>
    <w:rsid w:val="00E54D2A"/>
    <w:rsid w:val="00E558AE"/>
    <w:rsid w:val="00E55F2A"/>
    <w:rsid w:val="00E56727"/>
    <w:rsid w:val="00E5699D"/>
    <w:rsid w:val="00E56BE2"/>
    <w:rsid w:val="00E5716C"/>
    <w:rsid w:val="00E5729A"/>
    <w:rsid w:val="00E573F7"/>
    <w:rsid w:val="00E60169"/>
    <w:rsid w:val="00E60B05"/>
    <w:rsid w:val="00E62029"/>
    <w:rsid w:val="00E62585"/>
    <w:rsid w:val="00E62863"/>
    <w:rsid w:val="00E637B1"/>
    <w:rsid w:val="00E63D4C"/>
    <w:rsid w:val="00E63DE4"/>
    <w:rsid w:val="00E63F8A"/>
    <w:rsid w:val="00E6442F"/>
    <w:rsid w:val="00E64D29"/>
    <w:rsid w:val="00E64FCC"/>
    <w:rsid w:val="00E653D4"/>
    <w:rsid w:val="00E65C9E"/>
    <w:rsid w:val="00E65FE6"/>
    <w:rsid w:val="00E709CD"/>
    <w:rsid w:val="00E7100B"/>
    <w:rsid w:val="00E716E1"/>
    <w:rsid w:val="00E71828"/>
    <w:rsid w:val="00E719E9"/>
    <w:rsid w:val="00E728F5"/>
    <w:rsid w:val="00E72E35"/>
    <w:rsid w:val="00E740DB"/>
    <w:rsid w:val="00E757CC"/>
    <w:rsid w:val="00E75988"/>
    <w:rsid w:val="00E77169"/>
    <w:rsid w:val="00E77F62"/>
    <w:rsid w:val="00E80150"/>
    <w:rsid w:val="00E806E7"/>
    <w:rsid w:val="00E810CB"/>
    <w:rsid w:val="00E811C8"/>
    <w:rsid w:val="00E813F0"/>
    <w:rsid w:val="00E81E4A"/>
    <w:rsid w:val="00E82533"/>
    <w:rsid w:val="00E827DD"/>
    <w:rsid w:val="00E82A6E"/>
    <w:rsid w:val="00E82EC2"/>
    <w:rsid w:val="00E831E8"/>
    <w:rsid w:val="00E83706"/>
    <w:rsid w:val="00E839C4"/>
    <w:rsid w:val="00E84634"/>
    <w:rsid w:val="00E85A8B"/>
    <w:rsid w:val="00E85BEF"/>
    <w:rsid w:val="00E85E72"/>
    <w:rsid w:val="00E86AAD"/>
    <w:rsid w:val="00E86E40"/>
    <w:rsid w:val="00E87667"/>
    <w:rsid w:val="00E9002C"/>
    <w:rsid w:val="00E904EA"/>
    <w:rsid w:val="00E9072A"/>
    <w:rsid w:val="00E9092E"/>
    <w:rsid w:val="00E90BB3"/>
    <w:rsid w:val="00E91245"/>
    <w:rsid w:val="00E91DD6"/>
    <w:rsid w:val="00E92B31"/>
    <w:rsid w:val="00E92BD4"/>
    <w:rsid w:val="00E92F3D"/>
    <w:rsid w:val="00E93AD4"/>
    <w:rsid w:val="00E947D7"/>
    <w:rsid w:val="00E9548B"/>
    <w:rsid w:val="00E9570C"/>
    <w:rsid w:val="00E9585B"/>
    <w:rsid w:val="00E95C10"/>
    <w:rsid w:val="00E9724D"/>
    <w:rsid w:val="00E97774"/>
    <w:rsid w:val="00E97B4C"/>
    <w:rsid w:val="00E97B90"/>
    <w:rsid w:val="00E97CB2"/>
    <w:rsid w:val="00E97D08"/>
    <w:rsid w:val="00E97F69"/>
    <w:rsid w:val="00E97FAB"/>
    <w:rsid w:val="00EA03F8"/>
    <w:rsid w:val="00EA046F"/>
    <w:rsid w:val="00EA0C77"/>
    <w:rsid w:val="00EA0E88"/>
    <w:rsid w:val="00EA0FB4"/>
    <w:rsid w:val="00EA101A"/>
    <w:rsid w:val="00EA1D87"/>
    <w:rsid w:val="00EA1E71"/>
    <w:rsid w:val="00EA2189"/>
    <w:rsid w:val="00EA2E5E"/>
    <w:rsid w:val="00EA307E"/>
    <w:rsid w:val="00EA3861"/>
    <w:rsid w:val="00EA3A75"/>
    <w:rsid w:val="00EA3D3B"/>
    <w:rsid w:val="00EA45EF"/>
    <w:rsid w:val="00EA5302"/>
    <w:rsid w:val="00EA57D7"/>
    <w:rsid w:val="00EA61AD"/>
    <w:rsid w:val="00EA6F21"/>
    <w:rsid w:val="00EA7316"/>
    <w:rsid w:val="00EA7A72"/>
    <w:rsid w:val="00EA7CE3"/>
    <w:rsid w:val="00EA7E78"/>
    <w:rsid w:val="00EB0330"/>
    <w:rsid w:val="00EB0434"/>
    <w:rsid w:val="00EB0960"/>
    <w:rsid w:val="00EB0A8E"/>
    <w:rsid w:val="00EB0DFF"/>
    <w:rsid w:val="00EB0F96"/>
    <w:rsid w:val="00EB0F9F"/>
    <w:rsid w:val="00EB1D5F"/>
    <w:rsid w:val="00EB236E"/>
    <w:rsid w:val="00EB27A0"/>
    <w:rsid w:val="00EB2853"/>
    <w:rsid w:val="00EB2FD1"/>
    <w:rsid w:val="00EB375F"/>
    <w:rsid w:val="00EB4AAB"/>
    <w:rsid w:val="00EB4BC1"/>
    <w:rsid w:val="00EB4EBD"/>
    <w:rsid w:val="00EB7551"/>
    <w:rsid w:val="00EB7953"/>
    <w:rsid w:val="00EB7AB4"/>
    <w:rsid w:val="00EB7DE5"/>
    <w:rsid w:val="00EB7F7F"/>
    <w:rsid w:val="00EC01A5"/>
    <w:rsid w:val="00EC0774"/>
    <w:rsid w:val="00EC0FB7"/>
    <w:rsid w:val="00EC11C5"/>
    <w:rsid w:val="00EC1A4F"/>
    <w:rsid w:val="00EC1F2F"/>
    <w:rsid w:val="00EC25B3"/>
    <w:rsid w:val="00EC285E"/>
    <w:rsid w:val="00EC2A60"/>
    <w:rsid w:val="00EC2CC6"/>
    <w:rsid w:val="00EC2DBA"/>
    <w:rsid w:val="00EC301B"/>
    <w:rsid w:val="00EC32E0"/>
    <w:rsid w:val="00EC342C"/>
    <w:rsid w:val="00EC3DE9"/>
    <w:rsid w:val="00EC4866"/>
    <w:rsid w:val="00EC4B34"/>
    <w:rsid w:val="00EC4B94"/>
    <w:rsid w:val="00EC5592"/>
    <w:rsid w:val="00EC5679"/>
    <w:rsid w:val="00EC586C"/>
    <w:rsid w:val="00EC5C3E"/>
    <w:rsid w:val="00EC5D61"/>
    <w:rsid w:val="00EC6028"/>
    <w:rsid w:val="00EC667B"/>
    <w:rsid w:val="00EC696B"/>
    <w:rsid w:val="00EC69B5"/>
    <w:rsid w:val="00EC6DAF"/>
    <w:rsid w:val="00EC7246"/>
    <w:rsid w:val="00EC76F0"/>
    <w:rsid w:val="00EC7816"/>
    <w:rsid w:val="00EC7918"/>
    <w:rsid w:val="00EC79A4"/>
    <w:rsid w:val="00EC7BA1"/>
    <w:rsid w:val="00EC7BB2"/>
    <w:rsid w:val="00ED024E"/>
    <w:rsid w:val="00ED1153"/>
    <w:rsid w:val="00ED11B6"/>
    <w:rsid w:val="00ED1BB1"/>
    <w:rsid w:val="00ED1D17"/>
    <w:rsid w:val="00ED276C"/>
    <w:rsid w:val="00ED30CD"/>
    <w:rsid w:val="00ED3740"/>
    <w:rsid w:val="00ED4176"/>
    <w:rsid w:val="00ED4256"/>
    <w:rsid w:val="00ED443C"/>
    <w:rsid w:val="00ED4D7D"/>
    <w:rsid w:val="00ED4E11"/>
    <w:rsid w:val="00ED520F"/>
    <w:rsid w:val="00ED58BC"/>
    <w:rsid w:val="00ED6603"/>
    <w:rsid w:val="00ED6AC3"/>
    <w:rsid w:val="00ED77C9"/>
    <w:rsid w:val="00ED7F26"/>
    <w:rsid w:val="00EE01B3"/>
    <w:rsid w:val="00EE0B5E"/>
    <w:rsid w:val="00EE207D"/>
    <w:rsid w:val="00EE2475"/>
    <w:rsid w:val="00EE2D62"/>
    <w:rsid w:val="00EE3858"/>
    <w:rsid w:val="00EE3C64"/>
    <w:rsid w:val="00EE3C7E"/>
    <w:rsid w:val="00EE3D89"/>
    <w:rsid w:val="00EE3F4F"/>
    <w:rsid w:val="00EE4827"/>
    <w:rsid w:val="00EE5C43"/>
    <w:rsid w:val="00EE6588"/>
    <w:rsid w:val="00EE6CC3"/>
    <w:rsid w:val="00EF0D20"/>
    <w:rsid w:val="00EF1DD2"/>
    <w:rsid w:val="00EF1EA5"/>
    <w:rsid w:val="00EF207C"/>
    <w:rsid w:val="00EF2271"/>
    <w:rsid w:val="00EF3815"/>
    <w:rsid w:val="00EF4845"/>
    <w:rsid w:val="00EF49A3"/>
    <w:rsid w:val="00EF52B9"/>
    <w:rsid w:val="00EF540B"/>
    <w:rsid w:val="00EF6177"/>
    <w:rsid w:val="00EF67DB"/>
    <w:rsid w:val="00EF75E2"/>
    <w:rsid w:val="00EF7846"/>
    <w:rsid w:val="00EF7E1E"/>
    <w:rsid w:val="00F00838"/>
    <w:rsid w:val="00F00E08"/>
    <w:rsid w:val="00F0136F"/>
    <w:rsid w:val="00F0143B"/>
    <w:rsid w:val="00F015E1"/>
    <w:rsid w:val="00F028FF"/>
    <w:rsid w:val="00F02A27"/>
    <w:rsid w:val="00F03783"/>
    <w:rsid w:val="00F03905"/>
    <w:rsid w:val="00F03DB1"/>
    <w:rsid w:val="00F03F6F"/>
    <w:rsid w:val="00F04345"/>
    <w:rsid w:val="00F04569"/>
    <w:rsid w:val="00F0533F"/>
    <w:rsid w:val="00F055E5"/>
    <w:rsid w:val="00F05B30"/>
    <w:rsid w:val="00F06119"/>
    <w:rsid w:val="00F06735"/>
    <w:rsid w:val="00F06B4F"/>
    <w:rsid w:val="00F06FD3"/>
    <w:rsid w:val="00F073BF"/>
    <w:rsid w:val="00F0789C"/>
    <w:rsid w:val="00F101A8"/>
    <w:rsid w:val="00F10300"/>
    <w:rsid w:val="00F1030B"/>
    <w:rsid w:val="00F10AA1"/>
    <w:rsid w:val="00F10B6B"/>
    <w:rsid w:val="00F10EA6"/>
    <w:rsid w:val="00F113F5"/>
    <w:rsid w:val="00F11BC9"/>
    <w:rsid w:val="00F129F6"/>
    <w:rsid w:val="00F134CD"/>
    <w:rsid w:val="00F13559"/>
    <w:rsid w:val="00F13CF1"/>
    <w:rsid w:val="00F14983"/>
    <w:rsid w:val="00F149B4"/>
    <w:rsid w:val="00F14BB6"/>
    <w:rsid w:val="00F14DF2"/>
    <w:rsid w:val="00F1529B"/>
    <w:rsid w:val="00F15723"/>
    <w:rsid w:val="00F159F8"/>
    <w:rsid w:val="00F1621D"/>
    <w:rsid w:val="00F16558"/>
    <w:rsid w:val="00F16735"/>
    <w:rsid w:val="00F16D7A"/>
    <w:rsid w:val="00F16F57"/>
    <w:rsid w:val="00F172C8"/>
    <w:rsid w:val="00F17B85"/>
    <w:rsid w:val="00F20EC0"/>
    <w:rsid w:val="00F20F5C"/>
    <w:rsid w:val="00F21128"/>
    <w:rsid w:val="00F22142"/>
    <w:rsid w:val="00F225B3"/>
    <w:rsid w:val="00F2277A"/>
    <w:rsid w:val="00F2331F"/>
    <w:rsid w:val="00F2339A"/>
    <w:rsid w:val="00F234EB"/>
    <w:rsid w:val="00F2417B"/>
    <w:rsid w:val="00F25DBA"/>
    <w:rsid w:val="00F2605E"/>
    <w:rsid w:val="00F264F9"/>
    <w:rsid w:val="00F303B0"/>
    <w:rsid w:val="00F30686"/>
    <w:rsid w:val="00F30BCE"/>
    <w:rsid w:val="00F31C5C"/>
    <w:rsid w:val="00F31F91"/>
    <w:rsid w:val="00F32519"/>
    <w:rsid w:val="00F33416"/>
    <w:rsid w:val="00F338AF"/>
    <w:rsid w:val="00F33A85"/>
    <w:rsid w:val="00F33D28"/>
    <w:rsid w:val="00F34A91"/>
    <w:rsid w:val="00F35909"/>
    <w:rsid w:val="00F359CD"/>
    <w:rsid w:val="00F3625A"/>
    <w:rsid w:val="00F36387"/>
    <w:rsid w:val="00F36ED3"/>
    <w:rsid w:val="00F37756"/>
    <w:rsid w:val="00F37A35"/>
    <w:rsid w:val="00F40361"/>
    <w:rsid w:val="00F412E3"/>
    <w:rsid w:val="00F41AE3"/>
    <w:rsid w:val="00F41FF1"/>
    <w:rsid w:val="00F4386C"/>
    <w:rsid w:val="00F43B91"/>
    <w:rsid w:val="00F43C46"/>
    <w:rsid w:val="00F43EC6"/>
    <w:rsid w:val="00F4401F"/>
    <w:rsid w:val="00F44EB9"/>
    <w:rsid w:val="00F4647E"/>
    <w:rsid w:val="00F46E48"/>
    <w:rsid w:val="00F47186"/>
    <w:rsid w:val="00F472D7"/>
    <w:rsid w:val="00F474C4"/>
    <w:rsid w:val="00F50AD8"/>
    <w:rsid w:val="00F50E15"/>
    <w:rsid w:val="00F50F4D"/>
    <w:rsid w:val="00F517FE"/>
    <w:rsid w:val="00F53173"/>
    <w:rsid w:val="00F53FA0"/>
    <w:rsid w:val="00F5405C"/>
    <w:rsid w:val="00F54740"/>
    <w:rsid w:val="00F5497E"/>
    <w:rsid w:val="00F55170"/>
    <w:rsid w:val="00F55CC7"/>
    <w:rsid w:val="00F57834"/>
    <w:rsid w:val="00F57BCE"/>
    <w:rsid w:val="00F57DAB"/>
    <w:rsid w:val="00F60F9B"/>
    <w:rsid w:val="00F61669"/>
    <w:rsid w:val="00F617E2"/>
    <w:rsid w:val="00F618B0"/>
    <w:rsid w:val="00F61CFD"/>
    <w:rsid w:val="00F62A85"/>
    <w:rsid w:val="00F63B22"/>
    <w:rsid w:val="00F63D48"/>
    <w:rsid w:val="00F641B6"/>
    <w:rsid w:val="00F64D78"/>
    <w:rsid w:val="00F6548F"/>
    <w:rsid w:val="00F658C8"/>
    <w:rsid w:val="00F65C10"/>
    <w:rsid w:val="00F66766"/>
    <w:rsid w:val="00F669C8"/>
    <w:rsid w:val="00F673BA"/>
    <w:rsid w:val="00F679CD"/>
    <w:rsid w:val="00F67A81"/>
    <w:rsid w:val="00F67DFD"/>
    <w:rsid w:val="00F7035E"/>
    <w:rsid w:val="00F70867"/>
    <w:rsid w:val="00F7088F"/>
    <w:rsid w:val="00F714A7"/>
    <w:rsid w:val="00F72A5B"/>
    <w:rsid w:val="00F73C34"/>
    <w:rsid w:val="00F74570"/>
    <w:rsid w:val="00F749E3"/>
    <w:rsid w:val="00F756BD"/>
    <w:rsid w:val="00F76BFA"/>
    <w:rsid w:val="00F76CE7"/>
    <w:rsid w:val="00F76EA0"/>
    <w:rsid w:val="00F76FA1"/>
    <w:rsid w:val="00F77F09"/>
    <w:rsid w:val="00F77FD0"/>
    <w:rsid w:val="00F8029B"/>
    <w:rsid w:val="00F81404"/>
    <w:rsid w:val="00F819DD"/>
    <w:rsid w:val="00F81B11"/>
    <w:rsid w:val="00F820F9"/>
    <w:rsid w:val="00F82622"/>
    <w:rsid w:val="00F8286C"/>
    <w:rsid w:val="00F83124"/>
    <w:rsid w:val="00F84282"/>
    <w:rsid w:val="00F84773"/>
    <w:rsid w:val="00F84951"/>
    <w:rsid w:val="00F84E73"/>
    <w:rsid w:val="00F85757"/>
    <w:rsid w:val="00F85F3F"/>
    <w:rsid w:val="00F86A89"/>
    <w:rsid w:val="00F87AB2"/>
    <w:rsid w:val="00F87CA0"/>
    <w:rsid w:val="00F87F5D"/>
    <w:rsid w:val="00F905D2"/>
    <w:rsid w:val="00F90695"/>
    <w:rsid w:val="00F91FC3"/>
    <w:rsid w:val="00F924BF"/>
    <w:rsid w:val="00F92A14"/>
    <w:rsid w:val="00F92F03"/>
    <w:rsid w:val="00F934B8"/>
    <w:rsid w:val="00F93CFE"/>
    <w:rsid w:val="00F94218"/>
    <w:rsid w:val="00F943EE"/>
    <w:rsid w:val="00F9457B"/>
    <w:rsid w:val="00F94DEA"/>
    <w:rsid w:val="00F962B3"/>
    <w:rsid w:val="00F963B6"/>
    <w:rsid w:val="00F9643D"/>
    <w:rsid w:val="00F96A56"/>
    <w:rsid w:val="00F96DC2"/>
    <w:rsid w:val="00FA01B8"/>
    <w:rsid w:val="00FA035E"/>
    <w:rsid w:val="00FA07A8"/>
    <w:rsid w:val="00FA122A"/>
    <w:rsid w:val="00FA1D82"/>
    <w:rsid w:val="00FA272E"/>
    <w:rsid w:val="00FA40FF"/>
    <w:rsid w:val="00FA4E81"/>
    <w:rsid w:val="00FA5427"/>
    <w:rsid w:val="00FA65CB"/>
    <w:rsid w:val="00FA673C"/>
    <w:rsid w:val="00FA7EC5"/>
    <w:rsid w:val="00FA7F3F"/>
    <w:rsid w:val="00FB0754"/>
    <w:rsid w:val="00FB0AAB"/>
    <w:rsid w:val="00FB0F33"/>
    <w:rsid w:val="00FB1094"/>
    <w:rsid w:val="00FB1F29"/>
    <w:rsid w:val="00FB2C15"/>
    <w:rsid w:val="00FB2C7C"/>
    <w:rsid w:val="00FB2CB7"/>
    <w:rsid w:val="00FB2FA4"/>
    <w:rsid w:val="00FB3200"/>
    <w:rsid w:val="00FB3429"/>
    <w:rsid w:val="00FB3696"/>
    <w:rsid w:val="00FB5209"/>
    <w:rsid w:val="00FB5764"/>
    <w:rsid w:val="00FB6656"/>
    <w:rsid w:val="00FB66FA"/>
    <w:rsid w:val="00FB67D3"/>
    <w:rsid w:val="00FB6ACE"/>
    <w:rsid w:val="00FB773B"/>
    <w:rsid w:val="00FC05E2"/>
    <w:rsid w:val="00FC1685"/>
    <w:rsid w:val="00FC1A6E"/>
    <w:rsid w:val="00FC1BE5"/>
    <w:rsid w:val="00FC1CEE"/>
    <w:rsid w:val="00FC1D45"/>
    <w:rsid w:val="00FC2079"/>
    <w:rsid w:val="00FC32BE"/>
    <w:rsid w:val="00FC3374"/>
    <w:rsid w:val="00FC3927"/>
    <w:rsid w:val="00FC3AB2"/>
    <w:rsid w:val="00FC4209"/>
    <w:rsid w:val="00FC4712"/>
    <w:rsid w:val="00FC5401"/>
    <w:rsid w:val="00FC5A70"/>
    <w:rsid w:val="00FC79E0"/>
    <w:rsid w:val="00FD06FD"/>
    <w:rsid w:val="00FD0915"/>
    <w:rsid w:val="00FD1195"/>
    <w:rsid w:val="00FD23D0"/>
    <w:rsid w:val="00FD2B55"/>
    <w:rsid w:val="00FD3155"/>
    <w:rsid w:val="00FD406B"/>
    <w:rsid w:val="00FD41AD"/>
    <w:rsid w:val="00FD441E"/>
    <w:rsid w:val="00FD4766"/>
    <w:rsid w:val="00FD4981"/>
    <w:rsid w:val="00FD565F"/>
    <w:rsid w:val="00FD5F08"/>
    <w:rsid w:val="00FD69AB"/>
    <w:rsid w:val="00FD6D47"/>
    <w:rsid w:val="00FD79C9"/>
    <w:rsid w:val="00FD7B93"/>
    <w:rsid w:val="00FE0111"/>
    <w:rsid w:val="00FE0527"/>
    <w:rsid w:val="00FE12AA"/>
    <w:rsid w:val="00FE18D4"/>
    <w:rsid w:val="00FE2291"/>
    <w:rsid w:val="00FE346C"/>
    <w:rsid w:val="00FE3663"/>
    <w:rsid w:val="00FE3817"/>
    <w:rsid w:val="00FE4F15"/>
    <w:rsid w:val="00FE5592"/>
    <w:rsid w:val="00FE5D04"/>
    <w:rsid w:val="00FE5D30"/>
    <w:rsid w:val="00FE6DCB"/>
    <w:rsid w:val="00FE6DD9"/>
    <w:rsid w:val="00FE6FB0"/>
    <w:rsid w:val="00FE73F0"/>
    <w:rsid w:val="00FE7855"/>
    <w:rsid w:val="00FE7A6E"/>
    <w:rsid w:val="00FE7B87"/>
    <w:rsid w:val="00FE7FA2"/>
    <w:rsid w:val="00FF025E"/>
    <w:rsid w:val="00FF0B68"/>
    <w:rsid w:val="00FF11F8"/>
    <w:rsid w:val="00FF195C"/>
    <w:rsid w:val="00FF2400"/>
    <w:rsid w:val="00FF2C25"/>
    <w:rsid w:val="00FF39DD"/>
    <w:rsid w:val="00FF48A6"/>
    <w:rsid w:val="00FF49DF"/>
    <w:rsid w:val="00FF4A3E"/>
    <w:rsid w:val="00FF549B"/>
    <w:rsid w:val="00FF5747"/>
    <w:rsid w:val="00FF617C"/>
    <w:rsid w:val="00FF635A"/>
    <w:rsid w:val="00FF636A"/>
    <w:rsid w:val="00FF70C8"/>
    <w:rsid w:val="00FF7DAF"/>
    <w:rsid w:val="00FF7E3E"/>
    <w:rsid w:val="00FF7F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94CF4D"/>
  <w15:docId w15:val="{9684245F-A725-4717-8855-6F0689B87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uiPriority="0"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2" w:unhideWhenUsed="1" w:qFormat="1"/>
    <w:lsdException w:name="List Bullet" w:semiHidden="1" w:unhideWhenUsed="1"/>
    <w:lsdException w:name="List Number" w:semiHidden="1" w:unhideWhenUsed="1"/>
    <w:lsdException w:name="List 2" w:semiHidden="1" w:uiPriority="2" w:unhideWhenUsed="1" w:qFormat="1"/>
    <w:lsdException w:name="List 3" w:semiHidden="1" w:uiPriority="2" w:unhideWhenUsed="1" w:qFormat="1"/>
    <w:lsdException w:name="List 4" w:semiHidden="1" w:uiPriority="2" w:unhideWhenUsed="1" w:qFormat="1"/>
    <w:lsdException w:name="List 5" w:semiHidden="1" w:uiPriority="2"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4C2"/>
    <w:pPr>
      <w:widowControl w:val="0"/>
      <w:autoSpaceDE w:val="0"/>
      <w:autoSpaceDN w:val="0"/>
      <w:adjustRightInd w:val="0"/>
      <w:spacing w:after="120"/>
      <w:jc w:val="both"/>
    </w:pPr>
    <w:rPr>
      <w:rFonts w:ascii="Arial" w:eastAsia="MS Mincho" w:hAnsi="Arial"/>
      <w:sz w:val="22"/>
      <w:szCs w:val="22"/>
      <w:lang w:eastAsia="en-GB"/>
    </w:rPr>
  </w:style>
  <w:style w:type="paragraph" w:styleId="Heading1">
    <w:name w:val="heading 1"/>
    <w:basedOn w:val="Normal"/>
    <w:next w:val="Normal"/>
    <w:link w:val="Heading1Char"/>
    <w:autoRedefine/>
    <w:uiPriority w:val="9"/>
    <w:qFormat/>
    <w:rsid w:val="00CD4843"/>
    <w:pPr>
      <w:widowControl/>
      <w:autoSpaceDE/>
      <w:autoSpaceDN/>
      <w:adjustRightInd/>
      <w:spacing w:before="240" w:after="240" w:line="276" w:lineRule="auto"/>
      <w:outlineLvl w:val="0"/>
    </w:pPr>
    <w:rPr>
      <w:rFonts w:ascii="Arial Bold" w:hAnsi="Arial Bold" w:cs="Arial"/>
      <w:b/>
      <w:sz w:val="28"/>
      <w:szCs w:val="28"/>
      <w:lang w:eastAsia="en-US"/>
    </w:rPr>
  </w:style>
  <w:style w:type="paragraph" w:styleId="Heading2">
    <w:name w:val="heading 2"/>
    <w:basedOn w:val="Normal"/>
    <w:next w:val="Normal"/>
    <w:link w:val="Heading2Char"/>
    <w:autoRedefine/>
    <w:uiPriority w:val="99"/>
    <w:qFormat/>
    <w:rsid w:val="000713D7"/>
    <w:pPr>
      <w:keepNext/>
      <w:spacing w:before="120" w:line="312" w:lineRule="auto"/>
      <w:outlineLvl w:val="1"/>
    </w:pPr>
    <w:rPr>
      <w:b/>
      <w:bCs/>
      <w:iCs/>
    </w:rPr>
  </w:style>
  <w:style w:type="paragraph" w:styleId="Heading3">
    <w:name w:val="heading 3"/>
    <w:basedOn w:val="Normal"/>
    <w:next w:val="Normal"/>
    <w:link w:val="Heading3Char"/>
    <w:autoRedefine/>
    <w:uiPriority w:val="99"/>
    <w:qFormat/>
    <w:rsid w:val="00ED6603"/>
    <w:pPr>
      <w:keepNext/>
      <w:outlineLvl w:val="2"/>
    </w:pPr>
    <w:rPr>
      <w:bCs/>
      <w:i/>
      <w:color w:val="000000" w:themeColor="text1"/>
    </w:rPr>
  </w:style>
  <w:style w:type="paragraph" w:styleId="Heading4">
    <w:name w:val="heading 4"/>
    <w:basedOn w:val="Normal"/>
    <w:next w:val="Normal"/>
    <w:link w:val="Heading4Char"/>
    <w:uiPriority w:val="99"/>
    <w:qFormat/>
    <w:rsid w:val="00A2332E"/>
    <w:pPr>
      <w:keepNext/>
      <w:outlineLvl w:val="3"/>
    </w:pPr>
    <w:rPr>
      <w:bCs/>
      <w:kern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CD4843"/>
    <w:rPr>
      <w:rFonts w:ascii="Arial Bold" w:eastAsia="MS Mincho" w:hAnsi="Arial Bold" w:cs="Arial"/>
      <w:b/>
      <w:sz w:val="28"/>
      <w:szCs w:val="28"/>
      <w:lang w:eastAsia="en-US"/>
    </w:rPr>
  </w:style>
  <w:style w:type="character" w:customStyle="1" w:styleId="Heading2Char">
    <w:name w:val="Heading 2 Char"/>
    <w:link w:val="Heading2"/>
    <w:uiPriority w:val="99"/>
    <w:locked/>
    <w:rsid w:val="000713D7"/>
    <w:rPr>
      <w:rFonts w:ascii="Arial" w:eastAsia="MS Mincho" w:hAnsi="Arial"/>
      <w:b/>
      <w:bCs/>
      <w:iCs/>
      <w:sz w:val="22"/>
      <w:szCs w:val="22"/>
      <w:lang w:eastAsia="en-GB"/>
    </w:rPr>
  </w:style>
  <w:style w:type="character" w:customStyle="1" w:styleId="Heading3Char">
    <w:name w:val="Heading 3 Char"/>
    <w:link w:val="Heading3"/>
    <w:uiPriority w:val="99"/>
    <w:locked/>
    <w:rsid w:val="00ED6603"/>
    <w:rPr>
      <w:rFonts w:ascii="Arial" w:eastAsia="MS Mincho" w:hAnsi="Arial"/>
      <w:bCs/>
      <w:i/>
      <w:color w:val="000000" w:themeColor="text1"/>
      <w:sz w:val="22"/>
      <w:szCs w:val="22"/>
      <w:lang w:eastAsia="en-GB"/>
    </w:rPr>
  </w:style>
  <w:style w:type="character" w:customStyle="1" w:styleId="Heading4Char">
    <w:name w:val="Heading 4 Char"/>
    <w:link w:val="Heading4"/>
    <w:uiPriority w:val="99"/>
    <w:locked/>
    <w:rsid w:val="00A2332E"/>
    <w:rPr>
      <w:rFonts w:ascii="Arial" w:eastAsia="MS Mincho" w:hAnsi="Arial"/>
      <w:bCs/>
      <w:kern w:val="32"/>
      <w:sz w:val="22"/>
      <w:szCs w:val="22"/>
      <w:u w:val="single"/>
      <w:lang w:eastAsia="en-GB"/>
    </w:rPr>
  </w:style>
  <w:style w:type="paragraph" w:customStyle="1" w:styleId="Default">
    <w:name w:val="Default"/>
    <w:rsid w:val="007B2F92"/>
    <w:pPr>
      <w:widowControl w:val="0"/>
      <w:autoSpaceDE w:val="0"/>
      <w:autoSpaceDN w:val="0"/>
      <w:adjustRightInd w:val="0"/>
    </w:pPr>
    <w:rPr>
      <w:rFonts w:eastAsia="MS Mincho"/>
      <w:color w:val="000000"/>
      <w:sz w:val="24"/>
      <w:szCs w:val="24"/>
      <w:lang w:val="en-GB" w:eastAsia="ja-JP"/>
    </w:rPr>
  </w:style>
  <w:style w:type="paragraph" w:customStyle="1" w:styleId="mainhead">
    <w:name w:val="mainhead"/>
    <w:basedOn w:val="Default"/>
    <w:next w:val="Default"/>
    <w:uiPriority w:val="99"/>
    <w:rsid w:val="007B2F92"/>
    <w:pPr>
      <w:spacing w:before="240"/>
    </w:pPr>
    <w:rPr>
      <w:color w:val="auto"/>
    </w:rPr>
  </w:style>
  <w:style w:type="character" w:styleId="FootnoteReference">
    <w:name w:val="footnote reference"/>
    <w:uiPriority w:val="99"/>
    <w:rsid w:val="007B2F92"/>
    <w:rPr>
      <w:color w:val="000000"/>
    </w:rPr>
  </w:style>
  <w:style w:type="paragraph" w:customStyle="1" w:styleId="ac-01">
    <w:name w:val="ac-01"/>
    <w:basedOn w:val="Default"/>
    <w:next w:val="Default"/>
    <w:rsid w:val="007B2F92"/>
    <w:rPr>
      <w:color w:val="auto"/>
    </w:rPr>
  </w:style>
  <w:style w:type="paragraph" w:styleId="FootnoteText">
    <w:name w:val="footnote text"/>
    <w:aliases w:val="Footnote Text Char,Footnote Text Char1,Footnote Text Char2,Footnote Text Char11,Footnote Text Char3,Footnote Text Char4,Footnote Text Char5,Footnote Text Char6,Footnote Text Char12,Footnote Text Char21,Footnote Text Char31,Footnote New,Ch"/>
    <w:basedOn w:val="Default"/>
    <w:next w:val="Default"/>
    <w:link w:val="FootnoteTextChar8"/>
    <w:uiPriority w:val="99"/>
    <w:rsid w:val="007B2F92"/>
    <w:rPr>
      <w:color w:val="auto"/>
    </w:rPr>
  </w:style>
  <w:style w:type="character" w:customStyle="1" w:styleId="FootnoteTextChar7">
    <w:name w:val="Footnote Text Char7"/>
    <w:aliases w:val="Footnote Text Char Char,Footnote Text Char1 Char,Footnote Text Char2 Char,Footnote Text Char11 Char,Footnote Text Char3 Char,Footnote Text Char4 Char,Footnote Text Char5 Char,Footnote Text Char6 Char,Footnote Text Char12 Char,Ch Char"/>
    <w:uiPriority w:val="99"/>
    <w:rsid w:val="004D6225"/>
    <w:rPr>
      <w:rFonts w:eastAsia="MS Mincho"/>
      <w:lang w:val="en-GB" w:eastAsia="ja-JP"/>
    </w:rPr>
  </w:style>
  <w:style w:type="character" w:customStyle="1" w:styleId="FootnoteTextChar8">
    <w:name w:val="Footnote Text Char8"/>
    <w:aliases w:val="Footnote Text Char Char1,Footnote Text Char1 Char1,Footnote Text Char2 Char1,Footnote Text Char11 Char1,Footnote Text Char3 Char1,Footnote Text Char4 Char1,Footnote Text Char5 Char1,Footnote Text Char6 Char1,Footnote Text Char21 Char"/>
    <w:link w:val="FootnoteText"/>
    <w:uiPriority w:val="99"/>
    <w:locked/>
    <w:rsid w:val="00094384"/>
    <w:rPr>
      <w:rFonts w:eastAsia="MS Mincho"/>
      <w:sz w:val="24"/>
      <w:lang w:val="en-GB" w:eastAsia="ja-JP"/>
    </w:rPr>
  </w:style>
  <w:style w:type="paragraph" w:styleId="BalloonText">
    <w:name w:val="Balloon Text"/>
    <w:basedOn w:val="Normal"/>
    <w:link w:val="BalloonTextChar"/>
    <w:uiPriority w:val="99"/>
    <w:semiHidden/>
    <w:rsid w:val="007B2F92"/>
    <w:rPr>
      <w:rFonts w:ascii="Tahoma" w:hAnsi="Tahoma" w:cs="Tahoma"/>
      <w:sz w:val="16"/>
      <w:szCs w:val="16"/>
    </w:rPr>
  </w:style>
  <w:style w:type="character" w:customStyle="1" w:styleId="BalloonTextChar">
    <w:name w:val="Balloon Text Char"/>
    <w:link w:val="BalloonText"/>
    <w:uiPriority w:val="99"/>
    <w:semiHidden/>
    <w:locked/>
    <w:rsid w:val="00B8585E"/>
    <w:rPr>
      <w:rFonts w:eastAsia="MS Mincho"/>
      <w:sz w:val="2"/>
      <w:lang w:val="en-GB" w:eastAsia="ja-JP"/>
    </w:rPr>
  </w:style>
  <w:style w:type="character" w:styleId="CommentReference">
    <w:name w:val="annotation reference"/>
    <w:uiPriority w:val="99"/>
    <w:rsid w:val="007B2F92"/>
    <w:rPr>
      <w:sz w:val="16"/>
    </w:rPr>
  </w:style>
  <w:style w:type="paragraph" w:styleId="CommentText">
    <w:name w:val="annotation text"/>
    <w:basedOn w:val="Normal"/>
    <w:link w:val="CommentTextChar"/>
    <w:uiPriority w:val="99"/>
    <w:rsid w:val="007B2F92"/>
    <w:rPr>
      <w:sz w:val="20"/>
      <w:szCs w:val="20"/>
    </w:rPr>
  </w:style>
  <w:style w:type="character" w:customStyle="1" w:styleId="CommentTextChar">
    <w:name w:val="Comment Text Char"/>
    <w:link w:val="CommentText"/>
    <w:uiPriority w:val="99"/>
    <w:locked/>
    <w:rsid w:val="00B964AE"/>
    <w:rPr>
      <w:rFonts w:eastAsia="MS Mincho"/>
      <w:lang w:val="en-GB" w:eastAsia="ja-JP"/>
    </w:rPr>
  </w:style>
  <w:style w:type="paragraph" w:styleId="CommentSubject">
    <w:name w:val="annotation subject"/>
    <w:basedOn w:val="CommentText"/>
    <w:next w:val="CommentText"/>
    <w:link w:val="CommentSubjectChar"/>
    <w:uiPriority w:val="99"/>
    <w:semiHidden/>
    <w:rsid w:val="007B2F92"/>
    <w:rPr>
      <w:b/>
      <w:bCs/>
    </w:rPr>
  </w:style>
  <w:style w:type="character" w:customStyle="1" w:styleId="CommentSubjectChar">
    <w:name w:val="Comment Subject Char"/>
    <w:link w:val="CommentSubject"/>
    <w:uiPriority w:val="99"/>
    <w:semiHidden/>
    <w:locked/>
    <w:rsid w:val="00B8585E"/>
    <w:rPr>
      <w:rFonts w:eastAsia="MS Mincho"/>
      <w:b/>
      <w:sz w:val="20"/>
      <w:lang w:val="en-GB" w:eastAsia="ja-JP"/>
    </w:rPr>
  </w:style>
  <w:style w:type="paragraph" w:customStyle="1" w:styleId="CM18">
    <w:name w:val="CM18"/>
    <w:basedOn w:val="Default"/>
    <w:next w:val="Default"/>
    <w:uiPriority w:val="99"/>
    <w:rsid w:val="007B2F92"/>
    <w:pPr>
      <w:spacing w:line="200" w:lineRule="atLeast"/>
    </w:pPr>
    <w:rPr>
      <w:rFonts w:ascii="Myriad Pro" w:hAnsi="Myriad Pro" w:cs="Myriad Pro"/>
      <w:color w:val="auto"/>
    </w:rPr>
  </w:style>
  <w:style w:type="table" w:styleId="TableGrid">
    <w:name w:val="Table Grid"/>
    <w:basedOn w:val="TableNormal"/>
    <w:uiPriority w:val="59"/>
    <w:rsid w:val="007B2F92"/>
    <w:pPr>
      <w:widowControl w:val="0"/>
      <w:autoSpaceDE w:val="0"/>
      <w:autoSpaceDN w:val="0"/>
      <w:adjustRightInd w:val="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B2F92"/>
    <w:pPr>
      <w:tabs>
        <w:tab w:val="center" w:pos="4153"/>
        <w:tab w:val="right" w:pos="8306"/>
      </w:tabs>
    </w:pPr>
  </w:style>
  <w:style w:type="character" w:customStyle="1" w:styleId="HeaderChar">
    <w:name w:val="Header Char"/>
    <w:link w:val="Header"/>
    <w:uiPriority w:val="99"/>
    <w:locked/>
    <w:rsid w:val="00B8585E"/>
    <w:rPr>
      <w:rFonts w:eastAsia="MS Mincho"/>
      <w:sz w:val="24"/>
      <w:lang w:val="en-GB" w:eastAsia="ja-JP"/>
    </w:rPr>
  </w:style>
  <w:style w:type="paragraph" w:styleId="Footer">
    <w:name w:val="footer"/>
    <w:basedOn w:val="Normal"/>
    <w:link w:val="FooterChar"/>
    <w:uiPriority w:val="99"/>
    <w:rsid w:val="007B2F92"/>
    <w:pPr>
      <w:tabs>
        <w:tab w:val="center" w:pos="4153"/>
        <w:tab w:val="right" w:pos="8306"/>
      </w:tabs>
    </w:pPr>
  </w:style>
  <w:style w:type="character" w:customStyle="1" w:styleId="FooterChar">
    <w:name w:val="Footer Char"/>
    <w:link w:val="Footer"/>
    <w:uiPriority w:val="99"/>
    <w:locked/>
    <w:rsid w:val="00B8585E"/>
    <w:rPr>
      <w:rFonts w:eastAsia="MS Mincho"/>
      <w:sz w:val="24"/>
      <w:lang w:val="en-GB" w:eastAsia="ja-JP"/>
    </w:rPr>
  </w:style>
  <w:style w:type="paragraph" w:customStyle="1" w:styleId="Heading4LatinTahoma">
    <w:name w:val="Heading 4 + (Latin) Tahoma"/>
    <w:aliases w:val="11 pt,Not Bold,Italic,Before:  0 pt,After:  6..."/>
    <w:basedOn w:val="Heading3"/>
    <w:uiPriority w:val="99"/>
    <w:rsid w:val="007B2F92"/>
    <w:pPr>
      <w:spacing w:line="360" w:lineRule="auto"/>
    </w:pPr>
    <w:rPr>
      <w:rFonts w:ascii="Tahoma" w:hAnsi="Tahoma" w:cs="Tahoma"/>
      <w:b/>
      <w:bCs w:val="0"/>
      <w:i w:val="0"/>
      <w:iCs/>
    </w:rPr>
  </w:style>
  <w:style w:type="paragraph" w:styleId="BodyText">
    <w:name w:val="Body Text"/>
    <w:basedOn w:val="Normal"/>
    <w:link w:val="BodyTextChar"/>
    <w:uiPriority w:val="99"/>
    <w:rsid w:val="007B2F92"/>
    <w:pPr>
      <w:widowControl/>
      <w:autoSpaceDE/>
      <w:autoSpaceDN/>
      <w:adjustRightInd/>
    </w:pPr>
    <w:rPr>
      <w:rFonts w:ascii="Tahoma" w:eastAsia="Times New Roman" w:hAnsi="Tahoma"/>
      <w:sz w:val="20"/>
      <w:szCs w:val="20"/>
      <w:lang w:val="en-US"/>
    </w:rPr>
  </w:style>
  <w:style w:type="character" w:customStyle="1" w:styleId="BodyTextChar">
    <w:name w:val="Body Text Char"/>
    <w:link w:val="BodyText"/>
    <w:uiPriority w:val="99"/>
    <w:semiHidden/>
    <w:locked/>
    <w:rsid w:val="00B8585E"/>
    <w:rPr>
      <w:rFonts w:eastAsia="MS Mincho"/>
      <w:sz w:val="24"/>
      <w:lang w:val="en-GB" w:eastAsia="ja-JP"/>
    </w:rPr>
  </w:style>
  <w:style w:type="paragraph" w:styleId="TOC1">
    <w:name w:val="toc 1"/>
    <w:basedOn w:val="Normal"/>
    <w:next w:val="Normal"/>
    <w:autoRedefine/>
    <w:uiPriority w:val="39"/>
    <w:rsid w:val="009E46D3"/>
    <w:pPr>
      <w:tabs>
        <w:tab w:val="right" w:pos="440"/>
        <w:tab w:val="right" w:pos="8366"/>
        <w:tab w:val="right" w:pos="8630"/>
      </w:tabs>
    </w:pPr>
    <w:rPr>
      <w:b/>
      <w:bCs/>
      <w:noProof/>
    </w:rPr>
  </w:style>
  <w:style w:type="paragraph" w:styleId="TOC2">
    <w:name w:val="toc 2"/>
    <w:basedOn w:val="Normal"/>
    <w:next w:val="Normal"/>
    <w:autoRedefine/>
    <w:uiPriority w:val="39"/>
    <w:rsid w:val="00BE2CE4"/>
    <w:pPr>
      <w:tabs>
        <w:tab w:val="right" w:pos="8364"/>
      </w:tabs>
    </w:pPr>
    <w:rPr>
      <w:rFonts w:cstheme="minorHAnsi"/>
      <w:bCs/>
      <w:szCs w:val="20"/>
    </w:rPr>
  </w:style>
  <w:style w:type="paragraph" w:styleId="TOC3">
    <w:name w:val="toc 3"/>
    <w:basedOn w:val="Normal"/>
    <w:next w:val="Normal"/>
    <w:autoRedefine/>
    <w:uiPriority w:val="39"/>
    <w:rsid w:val="00BE2CE4"/>
    <w:pPr>
      <w:tabs>
        <w:tab w:val="right" w:pos="8366"/>
      </w:tabs>
      <w:ind w:left="221"/>
    </w:pPr>
    <w:rPr>
      <w:rFonts w:cstheme="minorHAnsi"/>
      <w:szCs w:val="20"/>
    </w:rPr>
  </w:style>
  <w:style w:type="paragraph" w:customStyle="1" w:styleId="Heading2NoSpacebefore">
    <w:name w:val="Heading 2No Space before"/>
    <w:basedOn w:val="Heading2"/>
    <w:uiPriority w:val="99"/>
    <w:rsid w:val="007B2F92"/>
    <w:pPr>
      <w:keepLines/>
      <w:widowControl/>
      <w:autoSpaceDE/>
      <w:autoSpaceDN/>
      <w:adjustRightInd/>
      <w:spacing w:after="0" w:line="240" w:lineRule="atLeast"/>
    </w:pPr>
    <w:rPr>
      <w:rFonts w:eastAsia="Times New Roman"/>
      <w:i/>
      <w:iCs w:val="0"/>
      <w:szCs w:val="20"/>
      <w:lang w:val="en-US" w:eastAsia="en-US"/>
    </w:rPr>
  </w:style>
  <w:style w:type="paragraph" w:customStyle="1" w:styleId="NumberedParagraph-BulletelistLeft0Firstline0">
    <w:name w:val="Numbered Paragraph - Bullete list + Left:  0&quot; First line:  0&quot;"/>
    <w:basedOn w:val="Default"/>
    <w:uiPriority w:val="99"/>
    <w:rsid w:val="009246B4"/>
    <w:pPr>
      <w:numPr>
        <w:numId w:val="3"/>
      </w:numPr>
      <w:spacing w:after="120"/>
      <w:jc w:val="both"/>
    </w:pPr>
    <w:rPr>
      <w:sz w:val="22"/>
      <w:szCs w:val="22"/>
    </w:rPr>
  </w:style>
  <w:style w:type="paragraph" w:customStyle="1" w:styleId="NumberedParagraphISA400">
    <w:name w:val="Numbered Paragraph ISA 400"/>
    <w:basedOn w:val="Normal"/>
    <w:uiPriority w:val="99"/>
    <w:rsid w:val="007B2F92"/>
    <w:pPr>
      <w:widowControl/>
      <w:tabs>
        <w:tab w:val="left" w:pos="480"/>
        <w:tab w:val="right" w:pos="522"/>
        <w:tab w:val="num" w:pos="720"/>
      </w:tabs>
      <w:suppressAutoHyphens/>
      <w:autoSpaceDE/>
      <w:autoSpaceDN/>
      <w:adjustRightInd/>
      <w:spacing w:before="120" w:line="280" w:lineRule="exact"/>
      <w:ind w:left="720" w:hanging="360"/>
    </w:pPr>
    <w:rPr>
      <w:kern w:val="1"/>
      <w:lang w:eastAsia="he-IL" w:bidi="he-IL"/>
    </w:rPr>
  </w:style>
  <w:style w:type="character" w:styleId="PageNumber">
    <w:name w:val="page number"/>
    <w:uiPriority w:val="99"/>
    <w:rsid w:val="007B2F92"/>
  </w:style>
  <w:style w:type="paragraph" w:customStyle="1" w:styleId="AU-TxtFirst">
    <w:name w:val="AU-TxtFirst"/>
    <w:uiPriority w:val="99"/>
    <w:rsid w:val="007B2F92"/>
    <w:pPr>
      <w:widowControl w:val="0"/>
      <w:autoSpaceDE w:val="0"/>
      <w:autoSpaceDN w:val="0"/>
      <w:adjustRightInd w:val="0"/>
      <w:spacing w:before="85"/>
      <w:jc w:val="both"/>
    </w:pPr>
    <w:rPr>
      <w:color w:val="000000"/>
      <w:sz w:val="22"/>
      <w:szCs w:val="22"/>
      <w:lang w:val="en-GB" w:eastAsia="en-GB"/>
    </w:rPr>
  </w:style>
  <w:style w:type="paragraph" w:customStyle="1" w:styleId="AU-TxtSpB">
    <w:name w:val="AU-TxtSpB"/>
    <w:uiPriority w:val="99"/>
    <w:rsid w:val="007B2F92"/>
    <w:pPr>
      <w:widowControl w:val="0"/>
      <w:autoSpaceDE w:val="0"/>
      <w:autoSpaceDN w:val="0"/>
      <w:adjustRightInd w:val="0"/>
      <w:spacing w:before="85"/>
      <w:jc w:val="both"/>
    </w:pPr>
    <w:rPr>
      <w:color w:val="000000"/>
      <w:sz w:val="22"/>
      <w:szCs w:val="22"/>
      <w:lang w:val="en-GB" w:eastAsia="en-GB"/>
    </w:rPr>
  </w:style>
  <w:style w:type="paragraph" w:customStyle="1" w:styleId="AuditReport">
    <w:name w:val="Audit Report"/>
    <w:uiPriority w:val="99"/>
    <w:rsid w:val="007B2F92"/>
    <w:pPr>
      <w:widowControl w:val="0"/>
      <w:autoSpaceDE w:val="0"/>
      <w:autoSpaceDN w:val="0"/>
      <w:adjustRightInd w:val="0"/>
      <w:spacing w:before="85"/>
      <w:jc w:val="both"/>
    </w:pPr>
    <w:rPr>
      <w:color w:val="000000"/>
      <w:sz w:val="22"/>
      <w:szCs w:val="22"/>
      <w:lang w:val="en-GB" w:eastAsia="en-GB"/>
    </w:rPr>
  </w:style>
  <w:style w:type="paragraph" w:customStyle="1" w:styleId="Heading-10LSpAft35">
    <w:name w:val="Heading-10LSpAft.35"/>
    <w:uiPriority w:val="99"/>
    <w:rsid w:val="007B2F92"/>
    <w:pPr>
      <w:widowControl w:val="0"/>
      <w:tabs>
        <w:tab w:val="right" w:pos="9792"/>
      </w:tabs>
      <w:autoSpaceDE w:val="0"/>
      <w:autoSpaceDN w:val="0"/>
      <w:adjustRightInd w:val="0"/>
      <w:spacing w:after="198"/>
    </w:pPr>
    <w:rPr>
      <w:b/>
      <w:bCs/>
      <w:color w:val="000000"/>
      <w:sz w:val="28"/>
      <w:szCs w:val="28"/>
      <w:lang w:val="en-GB" w:eastAsia="en-GB"/>
    </w:rPr>
  </w:style>
  <w:style w:type="paragraph" w:styleId="TOC4">
    <w:name w:val="toc 4"/>
    <w:basedOn w:val="Normal"/>
    <w:next w:val="Normal"/>
    <w:autoRedefine/>
    <w:uiPriority w:val="39"/>
    <w:rsid w:val="0006095F"/>
    <w:pPr>
      <w:ind w:left="442"/>
    </w:pPr>
    <w:rPr>
      <w:rFonts w:cstheme="minorHAnsi"/>
      <w:szCs w:val="20"/>
    </w:rPr>
  </w:style>
  <w:style w:type="character" w:styleId="Hyperlink">
    <w:name w:val="Hyperlink"/>
    <w:uiPriority w:val="99"/>
    <w:rsid w:val="00345D92"/>
    <w:rPr>
      <w:color w:val="0000FF"/>
      <w:u w:val="single"/>
    </w:rPr>
  </w:style>
  <w:style w:type="character" w:styleId="FollowedHyperlink">
    <w:name w:val="FollowedHyperlink"/>
    <w:uiPriority w:val="99"/>
    <w:rsid w:val="00345D92"/>
    <w:rPr>
      <w:color w:val="800080"/>
      <w:u w:val="single"/>
    </w:rPr>
  </w:style>
  <w:style w:type="paragraph" w:customStyle="1" w:styleId="StyleHeading4LatinTahoma11ptNotBoldItalicBefore0p">
    <w:name w:val="Style Heading 4 + (Latin) Tahoma11 ptNot BoldItalicBefore:  0 p..."/>
    <w:basedOn w:val="Heading4"/>
    <w:uiPriority w:val="99"/>
    <w:rsid w:val="00EB0330"/>
    <w:rPr>
      <w:rFonts w:eastAsia="Times New Roman"/>
      <w:b/>
      <w:iCs/>
      <w:szCs w:val="20"/>
    </w:rPr>
  </w:style>
  <w:style w:type="paragraph" w:customStyle="1" w:styleId="BodySingle">
    <w:name w:val="Body Single"/>
    <w:basedOn w:val="BodyText"/>
    <w:uiPriority w:val="99"/>
    <w:rsid w:val="00CE69F1"/>
    <w:pPr>
      <w:spacing w:line="260" w:lineRule="atLeast"/>
      <w:jc w:val="left"/>
    </w:pPr>
    <w:rPr>
      <w:rFonts w:ascii="Arial" w:hAnsi="Arial" w:cs="Arial"/>
      <w:sz w:val="24"/>
      <w:lang w:val="en-GB" w:eastAsia="en-US"/>
    </w:rPr>
  </w:style>
  <w:style w:type="paragraph" w:customStyle="1" w:styleId="NumberedParagraph">
    <w:name w:val="Numbered Paragraph"/>
    <w:basedOn w:val="NumList"/>
    <w:uiPriority w:val="99"/>
    <w:rsid w:val="009246B4"/>
  </w:style>
  <w:style w:type="paragraph" w:customStyle="1" w:styleId="level2">
    <w:name w:val="level 2"/>
    <w:basedOn w:val="Normal"/>
    <w:uiPriority w:val="99"/>
    <w:rsid w:val="00234EB4"/>
    <w:pPr>
      <w:widowControl/>
      <w:tabs>
        <w:tab w:val="right" w:pos="360"/>
        <w:tab w:val="left" w:pos="576"/>
      </w:tabs>
      <w:autoSpaceDE/>
      <w:autoSpaceDN/>
      <w:adjustRightInd/>
      <w:ind w:left="1008" w:hanging="432"/>
    </w:pPr>
    <w:rPr>
      <w:rFonts w:eastAsia="Times New Roman"/>
      <w:lang w:val="en-US" w:eastAsia="en-US"/>
    </w:rPr>
  </w:style>
  <w:style w:type="paragraph" w:customStyle="1" w:styleId="level3">
    <w:name w:val="level 3"/>
    <w:basedOn w:val="Normal"/>
    <w:uiPriority w:val="99"/>
    <w:rsid w:val="00234EB4"/>
    <w:pPr>
      <w:widowControl/>
      <w:autoSpaceDE/>
      <w:autoSpaceDN/>
      <w:adjustRightInd/>
      <w:ind w:left="1440" w:hanging="432"/>
    </w:pPr>
    <w:rPr>
      <w:rFonts w:eastAsia="Times New Roman"/>
      <w:lang w:val="en-US" w:eastAsia="en-US"/>
    </w:rPr>
  </w:style>
  <w:style w:type="paragraph" w:customStyle="1" w:styleId="BodyText1">
    <w:name w:val="Body Text1"/>
    <w:basedOn w:val="Normal"/>
    <w:uiPriority w:val="99"/>
    <w:rsid w:val="00234EB4"/>
    <w:pPr>
      <w:widowControl/>
      <w:autoSpaceDE/>
      <w:autoSpaceDN/>
      <w:adjustRightInd/>
      <w:spacing w:line="280" w:lineRule="exact"/>
    </w:pPr>
    <w:rPr>
      <w:rFonts w:eastAsia="Times New Roman"/>
      <w:kern w:val="8"/>
      <w:szCs w:val="20"/>
      <w:lang w:eastAsia="en-US" w:bidi="he-IL"/>
    </w:rPr>
  </w:style>
  <w:style w:type="paragraph" w:styleId="Title">
    <w:name w:val="Title"/>
    <w:basedOn w:val="Normal"/>
    <w:link w:val="TitleChar"/>
    <w:uiPriority w:val="99"/>
    <w:qFormat/>
    <w:rsid w:val="00B856BF"/>
    <w:pPr>
      <w:widowControl/>
      <w:autoSpaceDE/>
      <w:autoSpaceDN/>
      <w:adjustRightInd/>
      <w:jc w:val="center"/>
    </w:pPr>
    <w:rPr>
      <w:rFonts w:eastAsia="Times New Roman"/>
      <w:b/>
      <w:color w:val="77B800"/>
      <w:sz w:val="56"/>
      <w:szCs w:val="20"/>
      <w:lang w:val="en-US"/>
    </w:rPr>
  </w:style>
  <w:style w:type="character" w:customStyle="1" w:styleId="TitleChar">
    <w:name w:val="Title Char"/>
    <w:link w:val="Title"/>
    <w:uiPriority w:val="99"/>
    <w:locked/>
    <w:rsid w:val="00B856BF"/>
    <w:rPr>
      <w:rFonts w:ascii="Arial" w:hAnsi="Arial"/>
      <w:b/>
      <w:color w:val="77B800"/>
      <w:sz w:val="56"/>
      <w:lang w:val="en-US" w:eastAsia="en-GB"/>
    </w:rPr>
  </w:style>
  <w:style w:type="paragraph" w:styleId="TOC5">
    <w:name w:val="toc 5"/>
    <w:basedOn w:val="Normal"/>
    <w:next w:val="Normal"/>
    <w:autoRedefine/>
    <w:uiPriority w:val="39"/>
    <w:rsid w:val="006C49F6"/>
    <w:pPr>
      <w:ind w:left="660"/>
    </w:pPr>
    <w:rPr>
      <w:rFonts w:asciiTheme="minorHAnsi" w:hAnsiTheme="minorHAnsi" w:cstheme="minorHAnsi"/>
      <w:sz w:val="20"/>
      <w:szCs w:val="20"/>
    </w:rPr>
  </w:style>
  <w:style w:type="paragraph" w:styleId="TOC6">
    <w:name w:val="toc 6"/>
    <w:basedOn w:val="Normal"/>
    <w:next w:val="Normal"/>
    <w:autoRedefine/>
    <w:uiPriority w:val="39"/>
    <w:rsid w:val="006C49F6"/>
    <w:pPr>
      <w:ind w:left="880"/>
    </w:pPr>
    <w:rPr>
      <w:rFonts w:asciiTheme="minorHAnsi" w:hAnsiTheme="minorHAnsi" w:cstheme="minorHAnsi"/>
      <w:sz w:val="20"/>
      <w:szCs w:val="20"/>
    </w:rPr>
  </w:style>
  <w:style w:type="paragraph" w:styleId="TOC7">
    <w:name w:val="toc 7"/>
    <w:basedOn w:val="Normal"/>
    <w:next w:val="Normal"/>
    <w:autoRedefine/>
    <w:uiPriority w:val="39"/>
    <w:rsid w:val="006C49F6"/>
    <w:pPr>
      <w:ind w:left="1100"/>
    </w:pPr>
    <w:rPr>
      <w:rFonts w:asciiTheme="minorHAnsi" w:hAnsiTheme="minorHAnsi" w:cstheme="minorHAnsi"/>
      <w:sz w:val="20"/>
      <w:szCs w:val="20"/>
    </w:rPr>
  </w:style>
  <w:style w:type="paragraph" w:styleId="TOC8">
    <w:name w:val="toc 8"/>
    <w:basedOn w:val="Normal"/>
    <w:next w:val="Normal"/>
    <w:autoRedefine/>
    <w:uiPriority w:val="39"/>
    <w:rsid w:val="006C49F6"/>
    <w:pPr>
      <w:ind w:left="1320"/>
    </w:pPr>
    <w:rPr>
      <w:rFonts w:asciiTheme="minorHAnsi" w:hAnsiTheme="minorHAnsi" w:cstheme="minorHAnsi"/>
      <w:sz w:val="20"/>
      <w:szCs w:val="20"/>
    </w:rPr>
  </w:style>
  <w:style w:type="paragraph" w:styleId="TOC9">
    <w:name w:val="toc 9"/>
    <w:basedOn w:val="Normal"/>
    <w:next w:val="Normal"/>
    <w:autoRedefine/>
    <w:uiPriority w:val="39"/>
    <w:rsid w:val="006C49F6"/>
    <w:pPr>
      <w:ind w:left="1540"/>
    </w:pPr>
    <w:rPr>
      <w:rFonts w:asciiTheme="minorHAnsi" w:hAnsiTheme="minorHAnsi" w:cstheme="minorHAnsi"/>
      <w:sz w:val="20"/>
      <w:szCs w:val="20"/>
    </w:rPr>
  </w:style>
  <w:style w:type="paragraph" w:customStyle="1" w:styleId="Style1">
    <w:name w:val="Style1"/>
    <w:basedOn w:val="Heading3"/>
    <w:uiPriority w:val="99"/>
    <w:rsid w:val="001127C1"/>
    <w:rPr>
      <w:bCs w:val="0"/>
      <w:iCs/>
    </w:rPr>
  </w:style>
  <w:style w:type="paragraph" w:customStyle="1" w:styleId="RNormal">
    <w:name w:val="RNormal"/>
    <w:basedOn w:val="Normal"/>
    <w:uiPriority w:val="99"/>
    <w:rsid w:val="00CF5723"/>
    <w:pPr>
      <w:widowControl/>
      <w:autoSpaceDE/>
      <w:autoSpaceDN/>
      <w:adjustRightInd/>
    </w:pPr>
    <w:rPr>
      <w:rFonts w:eastAsia="Times New Roman"/>
      <w:lang w:val="en-US" w:eastAsia="en-US"/>
    </w:rPr>
  </w:style>
  <w:style w:type="character" w:styleId="Emphasis">
    <w:name w:val="Emphasis"/>
    <w:uiPriority w:val="20"/>
    <w:qFormat/>
    <w:rsid w:val="005E3F78"/>
    <w:rPr>
      <w:i/>
    </w:rPr>
  </w:style>
  <w:style w:type="paragraph" w:customStyle="1" w:styleId="bodytext-just">
    <w:name w:val="bodytext - just"/>
    <w:basedOn w:val="Normal"/>
    <w:link w:val="bodytext-justChar"/>
    <w:uiPriority w:val="99"/>
    <w:rsid w:val="000778B5"/>
    <w:pPr>
      <w:widowControl/>
      <w:tabs>
        <w:tab w:val="left" w:pos="567"/>
        <w:tab w:val="left" w:leader="dot" w:pos="6804"/>
      </w:tabs>
      <w:autoSpaceDE/>
      <w:autoSpaceDN/>
      <w:adjustRightInd/>
      <w:spacing w:before="120" w:line="260" w:lineRule="exact"/>
      <w:ind w:right="-108"/>
    </w:pPr>
    <w:rPr>
      <w:rFonts w:eastAsia="Times New Roman"/>
      <w:sz w:val="21"/>
      <w:szCs w:val="20"/>
      <w:lang w:val="en-US" w:eastAsia="en-US"/>
    </w:rPr>
  </w:style>
  <w:style w:type="character" w:customStyle="1" w:styleId="bodytext-justChar">
    <w:name w:val="bodytext - just Char"/>
    <w:link w:val="bodytext-just"/>
    <w:uiPriority w:val="99"/>
    <w:locked/>
    <w:rsid w:val="000778B5"/>
    <w:rPr>
      <w:rFonts w:ascii="Arial" w:hAnsi="Arial"/>
      <w:sz w:val="21"/>
      <w:lang w:val="en-US" w:eastAsia="en-US"/>
    </w:rPr>
  </w:style>
  <w:style w:type="paragraph" w:styleId="TOCHeading">
    <w:name w:val="TOC Heading"/>
    <w:basedOn w:val="Heading1"/>
    <w:next w:val="Normal"/>
    <w:uiPriority w:val="39"/>
    <w:qFormat/>
    <w:rsid w:val="008E1706"/>
    <w:pPr>
      <w:outlineLvl w:val="9"/>
    </w:pPr>
    <w:rPr>
      <w:rFonts w:eastAsia="MS Gothic"/>
      <w:color w:val="000000" w:themeColor="text1"/>
      <w:lang w:val="en-US" w:eastAsia="ja-JP"/>
    </w:rPr>
  </w:style>
  <w:style w:type="paragraph" w:styleId="ListParagraph">
    <w:name w:val="List Paragraph"/>
    <w:aliases w:val="1st Bullet"/>
    <w:basedOn w:val="Normal"/>
    <w:link w:val="ListParagraphChar"/>
    <w:uiPriority w:val="34"/>
    <w:qFormat/>
    <w:rsid w:val="00EB7F7F"/>
    <w:pPr>
      <w:ind w:left="720"/>
    </w:pPr>
  </w:style>
  <w:style w:type="character" w:styleId="Strong">
    <w:name w:val="Strong"/>
    <w:basedOn w:val="DefaultParagraphFont"/>
    <w:uiPriority w:val="22"/>
    <w:qFormat/>
    <w:locked/>
    <w:rsid w:val="003E5731"/>
    <w:rPr>
      <w:b/>
      <w:bCs/>
    </w:rPr>
  </w:style>
  <w:style w:type="paragraph" w:styleId="DocumentMap">
    <w:name w:val="Document Map"/>
    <w:basedOn w:val="Normal"/>
    <w:link w:val="DocumentMapChar"/>
    <w:uiPriority w:val="99"/>
    <w:semiHidden/>
    <w:unhideWhenUsed/>
    <w:rsid w:val="00457E3B"/>
    <w:rPr>
      <w:rFonts w:ascii="Tahoma" w:hAnsi="Tahoma" w:cs="Tahoma"/>
      <w:sz w:val="16"/>
      <w:szCs w:val="16"/>
    </w:rPr>
  </w:style>
  <w:style w:type="character" w:customStyle="1" w:styleId="DocumentMapChar">
    <w:name w:val="Document Map Char"/>
    <w:basedOn w:val="DefaultParagraphFont"/>
    <w:link w:val="DocumentMap"/>
    <w:uiPriority w:val="99"/>
    <w:semiHidden/>
    <w:rsid w:val="00457E3B"/>
    <w:rPr>
      <w:rFonts w:ascii="Tahoma" w:eastAsia="MS Mincho" w:hAnsi="Tahoma" w:cs="Tahoma"/>
      <w:sz w:val="16"/>
      <w:szCs w:val="16"/>
      <w:lang w:val="en-GB" w:eastAsia="ja-JP"/>
    </w:rPr>
  </w:style>
  <w:style w:type="paragraph" w:customStyle="1" w:styleId="PageTitle2">
    <w:name w:val="PageTitle2"/>
    <w:basedOn w:val="Normal"/>
    <w:rsid w:val="00A730ED"/>
    <w:pPr>
      <w:widowControl/>
      <w:overflowPunct w:val="0"/>
      <w:ind w:right="-320"/>
      <w:textAlignment w:val="baseline"/>
    </w:pPr>
    <w:rPr>
      <w:rFonts w:ascii="Times" w:eastAsia="Times New Roman" w:hAnsi="Times"/>
      <w:b/>
      <w:sz w:val="28"/>
      <w:szCs w:val="20"/>
      <w:lang w:eastAsia="en-US"/>
    </w:rPr>
  </w:style>
  <w:style w:type="paragraph" w:styleId="NormalWeb">
    <w:name w:val="Normal (Web)"/>
    <w:basedOn w:val="Normal"/>
    <w:uiPriority w:val="99"/>
    <w:semiHidden/>
    <w:unhideWhenUsed/>
    <w:rsid w:val="001F2C63"/>
    <w:pPr>
      <w:widowControl/>
      <w:autoSpaceDE/>
      <w:autoSpaceDN/>
      <w:adjustRightInd/>
      <w:spacing w:before="100" w:beforeAutospacing="1" w:after="100" w:afterAutospacing="1"/>
    </w:pPr>
    <w:rPr>
      <w:rFonts w:eastAsiaTheme="minorEastAsia"/>
      <w:sz w:val="24"/>
      <w:lang w:eastAsia="en-ZA"/>
    </w:rPr>
  </w:style>
  <w:style w:type="paragraph" w:customStyle="1" w:styleId="lg-a-1">
    <w:name w:val="lg-a-1"/>
    <w:basedOn w:val="Normal"/>
    <w:rsid w:val="007F3DB6"/>
    <w:pPr>
      <w:widowControl/>
      <w:autoSpaceDE/>
      <w:autoSpaceDN/>
      <w:adjustRightInd/>
      <w:spacing w:before="180"/>
      <w:ind w:left="1361" w:hanging="1361"/>
    </w:pPr>
    <w:rPr>
      <w:rFonts w:ascii="Verdana" w:eastAsia="Times New Roman" w:hAnsi="Verdana"/>
      <w:color w:val="000000"/>
      <w:sz w:val="18"/>
      <w:szCs w:val="18"/>
      <w:lang w:eastAsia="en-ZA"/>
    </w:rPr>
  </w:style>
  <w:style w:type="paragraph" w:customStyle="1" w:styleId="lg-para3">
    <w:name w:val="lg-para3"/>
    <w:basedOn w:val="Normal"/>
    <w:rsid w:val="007F3DB6"/>
    <w:pPr>
      <w:widowControl/>
      <w:autoSpaceDE/>
      <w:autoSpaceDN/>
      <w:adjustRightInd/>
      <w:spacing w:before="120"/>
      <w:ind w:firstLine="601"/>
    </w:pPr>
    <w:rPr>
      <w:rFonts w:ascii="Verdana" w:eastAsia="Times New Roman" w:hAnsi="Verdana"/>
      <w:color w:val="000000"/>
      <w:sz w:val="18"/>
      <w:szCs w:val="18"/>
      <w:lang w:eastAsia="en-ZA"/>
    </w:rPr>
  </w:style>
  <w:style w:type="paragraph" w:customStyle="1" w:styleId="lg-section">
    <w:name w:val="lg-section"/>
    <w:basedOn w:val="Normal"/>
    <w:rsid w:val="007F3DB6"/>
    <w:pPr>
      <w:widowControl/>
      <w:autoSpaceDE/>
      <w:autoSpaceDN/>
      <w:adjustRightInd/>
      <w:spacing w:before="300"/>
      <w:ind w:firstLine="403"/>
    </w:pPr>
    <w:rPr>
      <w:rFonts w:ascii="Verdana" w:eastAsia="Times New Roman" w:hAnsi="Verdana"/>
      <w:color w:val="000000"/>
      <w:sz w:val="18"/>
      <w:szCs w:val="18"/>
      <w:lang w:eastAsia="en-ZA"/>
    </w:rPr>
  </w:style>
  <w:style w:type="paragraph" w:styleId="Revision">
    <w:name w:val="Revision"/>
    <w:hidden/>
    <w:uiPriority w:val="99"/>
    <w:semiHidden/>
    <w:rsid w:val="00DB7D8E"/>
    <w:rPr>
      <w:rFonts w:eastAsia="MS Mincho"/>
      <w:sz w:val="22"/>
      <w:szCs w:val="24"/>
      <w:lang w:val="en-GB" w:eastAsia="ja-JP"/>
    </w:rPr>
  </w:style>
  <w:style w:type="paragraph" w:customStyle="1" w:styleId="bullet">
    <w:name w:val="bullet"/>
    <w:basedOn w:val="Normal"/>
    <w:rsid w:val="00F1621D"/>
    <w:pPr>
      <w:widowControl/>
      <w:numPr>
        <w:ilvl w:val="1"/>
        <w:numId w:val="1"/>
      </w:numPr>
      <w:autoSpaceDE/>
      <w:autoSpaceDN/>
      <w:adjustRightInd/>
    </w:pPr>
    <w:rPr>
      <w:rFonts w:eastAsia="Times New Roman"/>
      <w:sz w:val="24"/>
    </w:rPr>
  </w:style>
  <w:style w:type="paragraph" w:styleId="EndnoteText">
    <w:name w:val="endnote text"/>
    <w:basedOn w:val="Normal"/>
    <w:link w:val="EndnoteTextChar"/>
    <w:rsid w:val="00F1621D"/>
    <w:pPr>
      <w:widowControl/>
      <w:autoSpaceDE/>
      <w:autoSpaceDN/>
      <w:adjustRightInd/>
    </w:pPr>
    <w:rPr>
      <w:rFonts w:eastAsia="Times New Roman"/>
      <w:sz w:val="20"/>
      <w:szCs w:val="20"/>
    </w:rPr>
  </w:style>
  <w:style w:type="character" w:customStyle="1" w:styleId="EndnoteTextChar">
    <w:name w:val="Endnote Text Char"/>
    <w:basedOn w:val="DefaultParagraphFont"/>
    <w:link w:val="EndnoteText"/>
    <w:rsid w:val="00F1621D"/>
    <w:rPr>
      <w:lang w:val="en-GB" w:eastAsia="en-GB"/>
    </w:rPr>
  </w:style>
  <w:style w:type="character" w:styleId="EndnoteReference">
    <w:name w:val="endnote reference"/>
    <w:basedOn w:val="DefaultParagraphFont"/>
    <w:rsid w:val="00F1621D"/>
    <w:rPr>
      <w:sz w:val="22"/>
      <w:szCs w:val="22"/>
      <w:vertAlign w:val="superscript"/>
    </w:rPr>
  </w:style>
  <w:style w:type="paragraph" w:customStyle="1" w:styleId="lg-i-a-1">
    <w:name w:val="lg-i-a-1"/>
    <w:basedOn w:val="Normal"/>
    <w:rsid w:val="00A9308E"/>
    <w:pPr>
      <w:widowControl/>
      <w:autoSpaceDE/>
      <w:autoSpaceDN/>
      <w:adjustRightInd/>
      <w:spacing w:before="180"/>
      <w:ind w:left="1758" w:hanging="1758"/>
    </w:pPr>
    <w:rPr>
      <w:rFonts w:ascii="Verdana" w:eastAsia="Times New Roman" w:hAnsi="Verdana"/>
      <w:color w:val="000000"/>
      <w:sz w:val="18"/>
      <w:szCs w:val="18"/>
      <w:lang w:eastAsia="en-ZA"/>
    </w:rPr>
  </w:style>
  <w:style w:type="paragraph" w:customStyle="1" w:styleId="NumList">
    <w:name w:val="NumList"/>
    <w:basedOn w:val="Normal"/>
    <w:rsid w:val="009246B4"/>
    <w:pPr>
      <w:numPr>
        <w:numId w:val="16"/>
      </w:numPr>
    </w:pPr>
  </w:style>
  <w:style w:type="paragraph" w:customStyle="1" w:styleId="ProposalInfomation">
    <w:name w:val="Proposal Infomation"/>
    <w:basedOn w:val="Normal"/>
    <w:link w:val="ProposalInfomationChar"/>
    <w:qFormat/>
    <w:rsid w:val="00CF6996"/>
    <w:pPr>
      <w:widowControl/>
      <w:autoSpaceDE/>
      <w:autoSpaceDN/>
      <w:adjustRightInd/>
      <w:spacing w:line="276" w:lineRule="auto"/>
    </w:pPr>
    <w:rPr>
      <w:rFonts w:eastAsia="Times New Roman"/>
      <w:color w:val="51626F"/>
      <w:sz w:val="28"/>
      <w:szCs w:val="20"/>
      <w:lang w:val="en-US" w:eastAsia="en-US"/>
    </w:rPr>
  </w:style>
  <w:style w:type="character" w:customStyle="1" w:styleId="ProposalInfomationChar">
    <w:name w:val="Proposal Infomation Char"/>
    <w:basedOn w:val="DefaultParagraphFont"/>
    <w:link w:val="ProposalInfomation"/>
    <w:rsid w:val="00CF6996"/>
    <w:rPr>
      <w:rFonts w:ascii="Arial" w:hAnsi="Arial"/>
      <w:color w:val="51626F"/>
      <w:sz w:val="28"/>
      <w:lang w:val="en-US" w:eastAsia="en-US"/>
    </w:rPr>
  </w:style>
  <w:style w:type="character" w:styleId="PlaceholderText">
    <w:name w:val="Placeholder Text"/>
    <w:basedOn w:val="DefaultParagraphFont"/>
    <w:semiHidden/>
    <w:rsid w:val="007F36BF"/>
    <w:rPr>
      <w:color w:val="808080"/>
    </w:rPr>
  </w:style>
  <w:style w:type="paragraph" w:styleId="BodyText3">
    <w:name w:val="Body Text 3"/>
    <w:basedOn w:val="Normal"/>
    <w:link w:val="BodyText3Char"/>
    <w:uiPriority w:val="99"/>
    <w:semiHidden/>
    <w:unhideWhenUsed/>
    <w:rsid w:val="009E5FB7"/>
    <w:rPr>
      <w:sz w:val="16"/>
      <w:szCs w:val="16"/>
    </w:rPr>
  </w:style>
  <w:style w:type="character" w:customStyle="1" w:styleId="BodyText3Char">
    <w:name w:val="Body Text 3 Char"/>
    <w:basedOn w:val="DefaultParagraphFont"/>
    <w:link w:val="BodyText3"/>
    <w:uiPriority w:val="99"/>
    <w:semiHidden/>
    <w:rsid w:val="009E5FB7"/>
    <w:rPr>
      <w:rFonts w:ascii="Arial" w:eastAsia="MS Mincho" w:hAnsi="Arial"/>
      <w:sz w:val="16"/>
      <w:szCs w:val="16"/>
      <w:lang w:val="en-GB" w:eastAsia="en-GB"/>
    </w:rPr>
  </w:style>
  <w:style w:type="paragraph" w:styleId="BodyTextIndent2">
    <w:name w:val="Body Text Indent 2"/>
    <w:basedOn w:val="Normal"/>
    <w:link w:val="BodyTextIndent2Char"/>
    <w:uiPriority w:val="99"/>
    <w:semiHidden/>
    <w:unhideWhenUsed/>
    <w:rsid w:val="009E5FB7"/>
    <w:pPr>
      <w:spacing w:line="480" w:lineRule="auto"/>
      <w:ind w:left="283"/>
    </w:pPr>
  </w:style>
  <w:style w:type="character" w:customStyle="1" w:styleId="BodyTextIndent2Char">
    <w:name w:val="Body Text Indent 2 Char"/>
    <w:basedOn w:val="DefaultParagraphFont"/>
    <w:link w:val="BodyTextIndent2"/>
    <w:uiPriority w:val="99"/>
    <w:semiHidden/>
    <w:rsid w:val="009E5FB7"/>
    <w:rPr>
      <w:rFonts w:ascii="Arial" w:eastAsia="MS Mincho" w:hAnsi="Arial"/>
      <w:sz w:val="22"/>
      <w:szCs w:val="22"/>
      <w:lang w:val="en-GB" w:eastAsia="en-GB"/>
    </w:rPr>
  </w:style>
  <w:style w:type="paragraph" w:styleId="BodyTextIndent3">
    <w:name w:val="Body Text Indent 3"/>
    <w:basedOn w:val="Normal"/>
    <w:link w:val="BodyTextIndent3Char"/>
    <w:uiPriority w:val="99"/>
    <w:semiHidden/>
    <w:unhideWhenUsed/>
    <w:rsid w:val="009E5FB7"/>
    <w:pPr>
      <w:ind w:left="283"/>
    </w:pPr>
    <w:rPr>
      <w:sz w:val="16"/>
      <w:szCs w:val="16"/>
    </w:rPr>
  </w:style>
  <w:style w:type="character" w:customStyle="1" w:styleId="BodyTextIndent3Char">
    <w:name w:val="Body Text Indent 3 Char"/>
    <w:basedOn w:val="DefaultParagraphFont"/>
    <w:link w:val="BodyTextIndent3"/>
    <w:uiPriority w:val="99"/>
    <w:semiHidden/>
    <w:rsid w:val="009E5FB7"/>
    <w:rPr>
      <w:rFonts w:ascii="Arial" w:eastAsia="MS Mincho" w:hAnsi="Arial"/>
      <w:sz w:val="16"/>
      <w:szCs w:val="16"/>
      <w:lang w:val="en-GB" w:eastAsia="en-GB"/>
    </w:rPr>
  </w:style>
  <w:style w:type="paragraph" w:customStyle="1" w:styleId="mb">
    <w:name w:val="mb"/>
    <w:basedOn w:val="Heading1"/>
    <w:rsid w:val="009E5FB7"/>
    <w:pPr>
      <w:tabs>
        <w:tab w:val="left" w:pos="-720"/>
      </w:tabs>
      <w:suppressAutoHyphens/>
      <w:spacing w:after="0"/>
      <w:outlineLvl w:val="9"/>
    </w:pPr>
    <w:rPr>
      <w:rFonts w:ascii="Univers" w:eastAsia="Times New Roman" w:hAnsi="Univers"/>
      <w:b w:val="0"/>
      <w:spacing w:val="-2"/>
      <w:szCs w:val="20"/>
    </w:rPr>
  </w:style>
  <w:style w:type="paragraph" w:customStyle="1" w:styleId="CQSnormal">
    <w:name w:val="CQS normal"/>
    <w:basedOn w:val="Normal"/>
    <w:link w:val="CQSnormalChar"/>
    <w:semiHidden/>
    <w:rsid w:val="00265617"/>
    <w:pPr>
      <w:widowControl/>
      <w:autoSpaceDE/>
      <w:autoSpaceDN/>
      <w:adjustRightInd/>
      <w:spacing w:line="276" w:lineRule="auto"/>
    </w:pPr>
    <w:rPr>
      <w:rFonts w:eastAsia="Times New Roman"/>
      <w:color w:val="000000" w:themeColor="text1"/>
      <w:sz w:val="20"/>
      <w:szCs w:val="20"/>
      <w:lang w:val="en-US" w:eastAsia="en-US"/>
    </w:rPr>
  </w:style>
  <w:style w:type="character" w:customStyle="1" w:styleId="CQSnormalChar">
    <w:name w:val="CQS normal Char"/>
    <w:basedOn w:val="DefaultParagraphFont"/>
    <w:link w:val="CQSnormal"/>
    <w:semiHidden/>
    <w:locked/>
    <w:rsid w:val="00265617"/>
    <w:rPr>
      <w:rFonts w:ascii="Arial" w:hAnsi="Arial"/>
      <w:color w:val="000000" w:themeColor="text1"/>
      <w:lang w:val="en-US" w:eastAsia="en-US"/>
    </w:rPr>
  </w:style>
  <w:style w:type="paragraph" w:customStyle="1" w:styleId="F2Normal">
    <w:name w:val="F2 Normal"/>
    <w:basedOn w:val="Normal"/>
    <w:next w:val="Normal"/>
    <w:rsid w:val="0022585F"/>
    <w:pPr>
      <w:widowControl/>
      <w:autoSpaceDE/>
      <w:autoSpaceDN/>
      <w:adjustRightInd/>
      <w:spacing w:after="0"/>
    </w:pPr>
    <w:rPr>
      <w:rFonts w:eastAsia="Times New Roman"/>
      <w:szCs w:val="20"/>
      <w:lang w:eastAsia="en-US"/>
    </w:rPr>
  </w:style>
  <w:style w:type="paragraph" w:customStyle="1" w:styleId="F8Heading2">
    <w:name w:val="F8 Heading 2"/>
    <w:basedOn w:val="F2Normal"/>
    <w:rsid w:val="0022585F"/>
    <w:rPr>
      <w:b/>
    </w:rPr>
  </w:style>
  <w:style w:type="character" w:customStyle="1" w:styleId="Heading1Char7">
    <w:name w:val="Heading 1 Char7"/>
    <w:basedOn w:val="DefaultParagraphFont"/>
    <w:uiPriority w:val="9"/>
    <w:rsid w:val="00FA035E"/>
    <w:rPr>
      <w:rFonts w:ascii="Arial" w:eastAsiaTheme="majorEastAsia" w:hAnsi="Arial" w:cstheme="majorBidi"/>
      <w:b/>
      <w:bCs/>
      <w:color w:val="000000" w:themeColor="text1"/>
      <w:sz w:val="28"/>
      <w:szCs w:val="28"/>
    </w:rPr>
  </w:style>
  <w:style w:type="character" w:customStyle="1" w:styleId="Mention1">
    <w:name w:val="Mention1"/>
    <w:basedOn w:val="DefaultParagraphFont"/>
    <w:uiPriority w:val="99"/>
    <w:semiHidden/>
    <w:unhideWhenUsed/>
    <w:rsid w:val="00EA2189"/>
    <w:rPr>
      <w:color w:val="2B579A"/>
      <w:shd w:val="clear" w:color="auto" w:fill="E6E6E6"/>
    </w:rPr>
  </w:style>
  <w:style w:type="paragraph" w:styleId="List">
    <w:name w:val="List"/>
    <w:aliases w:val="List_HB"/>
    <w:uiPriority w:val="2"/>
    <w:qFormat/>
    <w:rsid w:val="00054E3A"/>
    <w:pPr>
      <w:numPr>
        <w:numId w:val="12"/>
      </w:numPr>
      <w:spacing w:before="120" w:line="240" w:lineRule="exact"/>
      <w:ind w:left="734"/>
      <w:jc w:val="both"/>
    </w:pPr>
    <w:rPr>
      <w:szCs w:val="24"/>
      <w:lang w:val="en-US" w:eastAsia="en-US"/>
    </w:rPr>
  </w:style>
  <w:style w:type="paragraph" w:styleId="List2">
    <w:name w:val="List 2"/>
    <w:aliases w:val="List 2_HB"/>
    <w:basedOn w:val="List"/>
    <w:uiPriority w:val="2"/>
    <w:qFormat/>
    <w:rsid w:val="00054E3A"/>
    <w:pPr>
      <w:numPr>
        <w:ilvl w:val="1"/>
      </w:numPr>
      <w:ind w:left="1267"/>
      <w:outlineLvl w:val="1"/>
    </w:pPr>
  </w:style>
  <w:style w:type="paragraph" w:styleId="List3">
    <w:name w:val="List 3"/>
    <w:aliases w:val="List 3_HB"/>
    <w:basedOn w:val="List2"/>
    <w:uiPriority w:val="2"/>
    <w:qFormat/>
    <w:rsid w:val="00054E3A"/>
    <w:pPr>
      <w:numPr>
        <w:ilvl w:val="2"/>
      </w:numPr>
      <w:ind w:left="1814"/>
      <w:outlineLvl w:val="2"/>
    </w:pPr>
  </w:style>
  <w:style w:type="paragraph" w:styleId="List4">
    <w:name w:val="List 4"/>
    <w:aliases w:val="List 4_HB"/>
    <w:basedOn w:val="List3"/>
    <w:uiPriority w:val="2"/>
    <w:qFormat/>
    <w:rsid w:val="00054E3A"/>
    <w:pPr>
      <w:numPr>
        <w:ilvl w:val="3"/>
      </w:numPr>
      <w:ind w:left="2361"/>
      <w:outlineLvl w:val="3"/>
    </w:pPr>
  </w:style>
  <w:style w:type="paragraph" w:styleId="List5">
    <w:name w:val="List 5"/>
    <w:aliases w:val="List 5_HB"/>
    <w:basedOn w:val="List4"/>
    <w:uiPriority w:val="2"/>
    <w:qFormat/>
    <w:rsid w:val="00054E3A"/>
    <w:pPr>
      <w:numPr>
        <w:ilvl w:val="4"/>
      </w:numPr>
      <w:ind w:left="2909"/>
      <w:outlineLvl w:val="4"/>
    </w:pPr>
  </w:style>
  <w:style w:type="numbering" w:customStyle="1" w:styleId="IFACNumberedList">
    <w:name w:val="IFAC Numbered List"/>
    <w:uiPriority w:val="99"/>
    <w:rsid w:val="00054E3A"/>
    <w:pPr>
      <w:numPr>
        <w:numId w:val="12"/>
      </w:numPr>
    </w:pPr>
  </w:style>
  <w:style w:type="paragraph" w:customStyle="1" w:styleId="Bullet1IndentedHB">
    <w:name w:val="Bullet 1 Indented_HB"/>
    <w:basedOn w:val="Normal"/>
    <w:autoRedefine/>
    <w:qFormat/>
    <w:rsid w:val="00054E3A"/>
    <w:pPr>
      <w:widowControl/>
      <w:numPr>
        <w:numId w:val="13"/>
      </w:numPr>
      <w:tabs>
        <w:tab w:val="left" w:pos="1267"/>
      </w:tabs>
      <w:autoSpaceDE/>
      <w:autoSpaceDN/>
      <w:adjustRightInd/>
      <w:spacing w:before="120" w:after="0" w:line="240" w:lineRule="exact"/>
      <w:ind w:left="1267" w:hanging="547"/>
    </w:pPr>
    <w:rPr>
      <w:rFonts w:ascii="Times New Roman" w:eastAsia="Calibri" w:hAnsi="Times New Roman"/>
      <w:sz w:val="20"/>
      <w:lang w:val="en-US" w:eastAsia="en-US"/>
    </w:rPr>
  </w:style>
  <w:style w:type="paragraph" w:customStyle="1" w:styleId="IFACNumberAndLetterHB">
    <w:name w:val="IFAC NumberAndLetter_HB"/>
    <w:basedOn w:val="ListParagraph"/>
    <w:autoRedefine/>
    <w:qFormat/>
    <w:rsid w:val="00054E3A"/>
    <w:pPr>
      <w:widowControl/>
      <w:numPr>
        <w:numId w:val="14"/>
      </w:numPr>
      <w:tabs>
        <w:tab w:val="left" w:pos="720"/>
      </w:tabs>
      <w:autoSpaceDE/>
      <w:autoSpaceDN/>
      <w:adjustRightInd/>
      <w:spacing w:before="120" w:after="0" w:line="240" w:lineRule="exact"/>
      <w:ind w:left="734" w:hanging="547"/>
    </w:pPr>
    <w:rPr>
      <w:rFonts w:ascii="Times New Roman" w:eastAsia="Times New Roman" w:hAnsi="Times New Roman"/>
      <w:kern w:val="20"/>
      <w:sz w:val="20"/>
      <w:szCs w:val="20"/>
      <w:lang w:val="en-US" w:eastAsia="en-US"/>
    </w:rPr>
  </w:style>
  <w:style w:type="character" w:customStyle="1" w:styleId="UnresolvedMention1">
    <w:name w:val="Unresolved Mention1"/>
    <w:basedOn w:val="DefaultParagraphFont"/>
    <w:uiPriority w:val="99"/>
    <w:semiHidden/>
    <w:unhideWhenUsed/>
    <w:rsid w:val="002667D1"/>
    <w:rPr>
      <w:color w:val="808080"/>
      <w:shd w:val="clear" w:color="auto" w:fill="E6E6E6"/>
    </w:rPr>
  </w:style>
  <w:style w:type="paragraph" w:customStyle="1" w:styleId="EYBulletedtext1">
    <w:name w:val="EY Bulleted text 1"/>
    <w:basedOn w:val="Normal"/>
    <w:rsid w:val="00E53E23"/>
    <w:pPr>
      <w:widowControl/>
      <w:numPr>
        <w:numId w:val="20"/>
      </w:numPr>
      <w:suppressAutoHyphens/>
      <w:autoSpaceDE/>
      <w:autoSpaceDN/>
      <w:adjustRightInd/>
      <w:spacing w:after="0" w:line="260" w:lineRule="exact"/>
      <w:jc w:val="left"/>
    </w:pPr>
    <w:rPr>
      <w:rFonts w:eastAsia="Times New Roman"/>
      <w:kern w:val="12"/>
      <w:sz w:val="20"/>
      <w:szCs w:val="24"/>
      <w:lang w:val="en-US" w:eastAsia="en-US"/>
    </w:rPr>
  </w:style>
  <w:style w:type="character" w:customStyle="1" w:styleId="ListParagraphChar">
    <w:name w:val="List Paragraph Char"/>
    <w:aliases w:val="1st Bullet Char"/>
    <w:link w:val="ListParagraph"/>
    <w:uiPriority w:val="34"/>
    <w:locked/>
    <w:rsid w:val="00E53E23"/>
    <w:rPr>
      <w:rFonts w:ascii="Arial" w:eastAsia="MS Mincho" w:hAnsi="Arial"/>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9333">
      <w:bodyDiv w:val="1"/>
      <w:marLeft w:val="0"/>
      <w:marRight w:val="0"/>
      <w:marTop w:val="0"/>
      <w:marBottom w:val="0"/>
      <w:divBdr>
        <w:top w:val="none" w:sz="0" w:space="0" w:color="auto"/>
        <w:left w:val="none" w:sz="0" w:space="0" w:color="auto"/>
        <w:bottom w:val="none" w:sz="0" w:space="0" w:color="auto"/>
        <w:right w:val="none" w:sz="0" w:space="0" w:color="auto"/>
      </w:divBdr>
    </w:div>
    <w:div w:id="270017879">
      <w:bodyDiv w:val="1"/>
      <w:marLeft w:val="0"/>
      <w:marRight w:val="0"/>
      <w:marTop w:val="0"/>
      <w:marBottom w:val="0"/>
      <w:divBdr>
        <w:top w:val="none" w:sz="0" w:space="0" w:color="auto"/>
        <w:left w:val="none" w:sz="0" w:space="0" w:color="auto"/>
        <w:bottom w:val="none" w:sz="0" w:space="0" w:color="auto"/>
        <w:right w:val="none" w:sz="0" w:space="0" w:color="auto"/>
      </w:divBdr>
    </w:div>
    <w:div w:id="488254650">
      <w:bodyDiv w:val="1"/>
      <w:marLeft w:val="0"/>
      <w:marRight w:val="0"/>
      <w:marTop w:val="0"/>
      <w:marBottom w:val="0"/>
      <w:divBdr>
        <w:top w:val="none" w:sz="0" w:space="0" w:color="auto"/>
        <w:left w:val="none" w:sz="0" w:space="0" w:color="auto"/>
        <w:bottom w:val="none" w:sz="0" w:space="0" w:color="auto"/>
        <w:right w:val="none" w:sz="0" w:space="0" w:color="auto"/>
      </w:divBdr>
    </w:div>
    <w:div w:id="728529245">
      <w:bodyDiv w:val="1"/>
      <w:marLeft w:val="0"/>
      <w:marRight w:val="0"/>
      <w:marTop w:val="0"/>
      <w:marBottom w:val="0"/>
      <w:divBdr>
        <w:top w:val="none" w:sz="0" w:space="0" w:color="auto"/>
        <w:left w:val="none" w:sz="0" w:space="0" w:color="auto"/>
        <w:bottom w:val="none" w:sz="0" w:space="0" w:color="auto"/>
        <w:right w:val="none" w:sz="0" w:space="0" w:color="auto"/>
      </w:divBdr>
    </w:div>
    <w:div w:id="1067148245">
      <w:bodyDiv w:val="1"/>
      <w:marLeft w:val="0"/>
      <w:marRight w:val="0"/>
      <w:marTop w:val="0"/>
      <w:marBottom w:val="0"/>
      <w:divBdr>
        <w:top w:val="none" w:sz="0" w:space="0" w:color="auto"/>
        <w:left w:val="none" w:sz="0" w:space="0" w:color="auto"/>
        <w:bottom w:val="none" w:sz="0" w:space="0" w:color="auto"/>
        <w:right w:val="none" w:sz="0" w:space="0" w:color="auto"/>
      </w:divBdr>
    </w:div>
    <w:div w:id="1096638664">
      <w:bodyDiv w:val="1"/>
      <w:marLeft w:val="0"/>
      <w:marRight w:val="0"/>
      <w:marTop w:val="0"/>
      <w:marBottom w:val="0"/>
      <w:divBdr>
        <w:top w:val="none" w:sz="0" w:space="0" w:color="auto"/>
        <w:left w:val="none" w:sz="0" w:space="0" w:color="auto"/>
        <w:bottom w:val="none" w:sz="0" w:space="0" w:color="auto"/>
        <w:right w:val="none" w:sz="0" w:space="0" w:color="auto"/>
      </w:divBdr>
    </w:div>
    <w:div w:id="1211840596">
      <w:bodyDiv w:val="1"/>
      <w:marLeft w:val="0"/>
      <w:marRight w:val="0"/>
      <w:marTop w:val="0"/>
      <w:marBottom w:val="0"/>
      <w:divBdr>
        <w:top w:val="none" w:sz="0" w:space="0" w:color="auto"/>
        <w:left w:val="none" w:sz="0" w:space="0" w:color="auto"/>
        <w:bottom w:val="none" w:sz="0" w:space="0" w:color="auto"/>
        <w:right w:val="none" w:sz="0" w:space="0" w:color="auto"/>
      </w:divBdr>
    </w:div>
    <w:div w:id="1246377101">
      <w:bodyDiv w:val="1"/>
      <w:marLeft w:val="0"/>
      <w:marRight w:val="0"/>
      <w:marTop w:val="0"/>
      <w:marBottom w:val="0"/>
      <w:divBdr>
        <w:top w:val="none" w:sz="0" w:space="0" w:color="auto"/>
        <w:left w:val="none" w:sz="0" w:space="0" w:color="auto"/>
        <w:bottom w:val="none" w:sz="0" w:space="0" w:color="auto"/>
        <w:right w:val="none" w:sz="0" w:space="0" w:color="auto"/>
      </w:divBdr>
    </w:div>
    <w:div w:id="1406219552">
      <w:bodyDiv w:val="1"/>
      <w:marLeft w:val="0"/>
      <w:marRight w:val="0"/>
      <w:marTop w:val="0"/>
      <w:marBottom w:val="0"/>
      <w:divBdr>
        <w:top w:val="none" w:sz="0" w:space="0" w:color="auto"/>
        <w:left w:val="none" w:sz="0" w:space="0" w:color="auto"/>
        <w:bottom w:val="none" w:sz="0" w:space="0" w:color="auto"/>
        <w:right w:val="none" w:sz="0" w:space="0" w:color="auto"/>
      </w:divBdr>
    </w:div>
    <w:div w:id="1541504943">
      <w:bodyDiv w:val="1"/>
      <w:marLeft w:val="0"/>
      <w:marRight w:val="0"/>
      <w:marTop w:val="0"/>
      <w:marBottom w:val="0"/>
      <w:divBdr>
        <w:top w:val="none" w:sz="0" w:space="0" w:color="auto"/>
        <w:left w:val="none" w:sz="0" w:space="0" w:color="auto"/>
        <w:bottom w:val="none" w:sz="0" w:space="0" w:color="auto"/>
        <w:right w:val="none" w:sz="0" w:space="0" w:color="auto"/>
      </w:divBdr>
    </w:div>
    <w:div w:id="1696609896">
      <w:bodyDiv w:val="1"/>
      <w:marLeft w:val="0"/>
      <w:marRight w:val="0"/>
      <w:marTop w:val="0"/>
      <w:marBottom w:val="0"/>
      <w:divBdr>
        <w:top w:val="none" w:sz="0" w:space="0" w:color="auto"/>
        <w:left w:val="none" w:sz="0" w:space="0" w:color="auto"/>
        <w:bottom w:val="none" w:sz="0" w:space="0" w:color="auto"/>
        <w:right w:val="none" w:sz="0" w:space="0" w:color="auto"/>
      </w:divBdr>
    </w:div>
    <w:div w:id="1697196454">
      <w:bodyDiv w:val="1"/>
      <w:marLeft w:val="0"/>
      <w:marRight w:val="0"/>
      <w:marTop w:val="0"/>
      <w:marBottom w:val="0"/>
      <w:divBdr>
        <w:top w:val="none" w:sz="0" w:space="0" w:color="auto"/>
        <w:left w:val="none" w:sz="0" w:space="0" w:color="auto"/>
        <w:bottom w:val="none" w:sz="0" w:space="0" w:color="auto"/>
        <w:right w:val="none" w:sz="0" w:space="0" w:color="auto"/>
      </w:divBdr>
    </w:div>
    <w:div w:id="1792699120">
      <w:marLeft w:val="0"/>
      <w:marRight w:val="0"/>
      <w:marTop w:val="0"/>
      <w:marBottom w:val="0"/>
      <w:divBdr>
        <w:top w:val="none" w:sz="0" w:space="0" w:color="auto"/>
        <w:left w:val="none" w:sz="0" w:space="0" w:color="auto"/>
        <w:bottom w:val="none" w:sz="0" w:space="0" w:color="auto"/>
        <w:right w:val="none" w:sz="0" w:space="0" w:color="auto"/>
      </w:divBdr>
    </w:div>
    <w:div w:id="17926991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image" Target="media/image2.jpeg"/><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ghgprotocol.org/" TargetMode="External"/><Relationship Id="rId2" Type="http://schemas.openxmlformats.org/officeDocument/2006/relationships/hyperlink" Target="https://www.globalreporting.org/standards/" TargetMode="External"/><Relationship Id="rId1" Type="http://schemas.openxmlformats.org/officeDocument/2006/relationships/hyperlink" Target="https://protect-za.mimecast.com/s/G6elB4iDnQfM" TargetMode="External"/><Relationship Id="rId5" Type="http://schemas.openxmlformats.org/officeDocument/2006/relationships/hyperlink" Target="http://www.adamsadams.com/wp-content/uploads/2016/11/King-IV-Report.pdf" TargetMode="External"/><Relationship Id="rId4" Type="http://schemas.openxmlformats.org/officeDocument/2006/relationships/hyperlink" Target="https://www.unglobalcompa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D2701-5B9D-4C2E-86EC-29F4E6291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16020</Words>
  <Characters>95858</Characters>
  <Application>Microsoft Office Word</Application>
  <DocSecurity>0</DocSecurity>
  <Lines>798</Lines>
  <Paragraphs>223</Paragraphs>
  <ScaleCrop>false</ScaleCrop>
  <HeadingPairs>
    <vt:vector size="2" baseType="variant">
      <vt:variant>
        <vt:lpstr>Title</vt:lpstr>
      </vt:variant>
      <vt:variant>
        <vt:i4>1</vt:i4>
      </vt:variant>
    </vt:vector>
  </HeadingPairs>
  <TitlesOfParts>
    <vt:vector size="1" baseType="lpstr">
      <vt:lpstr>Proposed SAAPS 3 (Revised)</vt:lpstr>
    </vt:vector>
  </TitlesOfParts>
  <Company>IRBA</Company>
  <LinksUpToDate>false</LinksUpToDate>
  <CharactersWithSpaces>111655</CharactersWithSpaces>
  <SharedDoc>false</SharedDoc>
  <HLinks>
    <vt:vector size="678" baseType="variant">
      <vt:variant>
        <vt:i4>1114165</vt:i4>
      </vt:variant>
      <vt:variant>
        <vt:i4>671</vt:i4>
      </vt:variant>
      <vt:variant>
        <vt:i4>0</vt:i4>
      </vt:variant>
      <vt:variant>
        <vt:i4>5</vt:i4>
      </vt:variant>
      <vt:variant>
        <vt:lpwstr/>
      </vt:variant>
      <vt:variant>
        <vt:lpwstr>_Toc270078095</vt:lpwstr>
      </vt:variant>
      <vt:variant>
        <vt:i4>1114165</vt:i4>
      </vt:variant>
      <vt:variant>
        <vt:i4>665</vt:i4>
      </vt:variant>
      <vt:variant>
        <vt:i4>0</vt:i4>
      </vt:variant>
      <vt:variant>
        <vt:i4>5</vt:i4>
      </vt:variant>
      <vt:variant>
        <vt:lpwstr/>
      </vt:variant>
      <vt:variant>
        <vt:lpwstr>_Toc270078094</vt:lpwstr>
      </vt:variant>
      <vt:variant>
        <vt:i4>1114165</vt:i4>
      </vt:variant>
      <vt:variant>
        <vt:i4>659</vt:i4>
      </vt:variant>
      <vt:variant>
        <vt:i4>0</vt:i4>
      </vt:variant>
      <vt:variant>
        <vt:i4>5</vt:i4>
      </vt:variant>
      <vt:variant>
        <vt:lpwstr/>
      </vt:variant>
      <vt:variant>
        <vt:lpwstr>_Toc270078093</vt:lpwstr>
      </vt:variant>
      <vt:variant>
        <vt:i4>1114165</vt:i4>
      </vt:variant>
      <vt:variant>
        <vt:i4>653</vt:i4>
      </vt:variant>
      <vt:variant>
        <vt:i4>0</vt:i4>
      </vt:variant>
      <vt:variant>
        <vt:i4>5</vt:i4>
      </vt:variant>
      <vt:variant>
        <vt:lpwstr/>
      </vt:variant>
      <vt:variant>
        <vt:lpwstr>_Toc270078092</vt:lpwstr>
      </vt:variant>
      <vt:variant>
        <vt:i4>1114165</vt:i4>
      </vt:variant>
      <vt:variant>
        <vt:i4>647</vt:i4>
      </vt:variant>
      <vt:variant>
        <vt:i4>0</vt:i4>
      </vt:variant>
      <vt:variant>
        <vt:i4>5</vt:i4>
      </vt:variant>
      <vt:variant>
        <vt:lpwstr/>
      </vt:variant>
      <vt:variant>
        <vt:lpwstr>_Toc270078091</vt:lpwstr>
      </vt:variant>
      <vt:variant>
        <vt:i4>1114165</vt:i4>
      </vt:variant>
      <vt:variant>
        <vt:i4>641</vt:i4>
      </vt:variant>
      <vt:variant>
        <vt:i4>0</vt:i4>
      </vt:variant>
      <vt:variant>
        <vt:i4>5</vt:i4>
      </vt:variant>
      <vt:variant>
        <vt:lpwstr/>
      </vt:variant>
      <vt:variant>
        <vt:lpwstr>_Toc270078090</vt:lpwstr>
      </vt:variant>
      <vt:variant>
        <vt:i4>1048629</vt:i4>
      </vt:variant>
      <vt:variant>
        <vt:i4>635</vt:i4>
      </vt:variant>
      <vt:variant>
        <vt:i4>0</vt:i4>
      </vt:variant>
      <vt:variant>
        <vt:i4>5</vt:i4>
      </vt:variant>
      <vt:variant>
        <vt:lpwstr/>
      </vt:variant>
      <vt:variant>
        <vt:lpwstr>_Toc270078089</vt:lpwstr>
      </vt:variant>
      <vt:variant>
        <vt:i4>1048629</vt:i4>
      </vt:variant>
      <vt:variant>
        <vt:i4>629</vt:i4>
      </vt:variant>
      <vt:variant>
        <vt:i4>0</vt:i4>
      </vt:variant>
      <vt:variant>
        <vt:i4>5</vt:i4>
      </vt:variant>
      <vt:variant>
        <vt:lpwstr/>
      </vt:variant>
      <vt:variant>
        <vt:lpwstr>_Toc270078088</vt:lpwstr>
      </vt:variant>
      <vt:variant>
        <vt:i4>1048629</vt:i4>
      </vt:variant>
      <vt:variant>
        <vt:i4>623</vt:i4>
      </vt:variant>
      <vt:variant>
        <vt:i4>0</vt:i4>
      </vt:variant>
      <vt:variant>
        <vt:i4>5</vt:i4>
      </vt:variant>
      <vt:variant>
        <vt:lpwstr/>
      </vt:variant>
      <vt:variant>
        <vt:lpwstr>_Toc270078087</vt:lpwstr>
      </vt:variant>
      <vt:variant>
        <vt:i4>1048629</vt:i4>
      </vt:variant>
      <vt:variant>
        <vt:i4>617</vt:i4>
      </vt:variant>
      <vt:variant>
        <vt:i4>0</vt:i4>
      </vt:variant>
      <vt:variant>
        <vt:i4>5</vt:i4>
      </vt:variant>
      <vt:variant>
        <vt:lpwstr/>
      </vt:variant>
      <vt:variant>
        <vt:lpwstr>_Toc270078086</vt:lpwstr>
      </vt:variant>
      <vt:variant>
        <vt:i4>1048629</vt:i4>
      </vt:variant>
      <vt:variant>
        <vt:i4>611</vt:i4>
      </vt:variant>
      <vt:variant>
        <vt:i4>0</vt:i4>
      </vt:variant>
      <vt:variant>
        <vt:i4>5</vt:i4>
      </vt:variant>
      <vt:variant>
        <vt:lpwstr/>
      </vt:variant>
      <vt:variant>
        <vt:lpwstr>_Toc270078085</vt:lpwstr>
      </vt:variant>
      <vt:variant>
        <vt:i4>1048629</vt:i4>
      </vt:variant>
      <vt:variant>
        <vt:i4>605</vt:i4>
      </vt:variant>
      <vt:variant>
        <vt:i4>0</vt:i4>
      </vt:variant>
      <vt:variant>
        <vt:i4>5</vt:i4>
      </vt:variant>
      <vt:variant>
        <vt:lpwstr/>
      </vt:variant>
      <vt:variant>
        <vt:lpwstr>_Toc270078084</vt:lpwstr>
      </vt:variant>
      <vt:variant>
        <vt:i4>1048629</vt:i4>
      </vt:variant>
      <vt:variant>
        <vt:i4>599</vt:i4>
      </vt:variant>
      <vt:variant>
        <vt:i4>0</vt:i4>
      </vt:variant>
      <vt:variant>
        <vt:i4>5</vt:i4>
      </vt:variant>
      <vt:variant>
        <vt:lpwstr/>
      </vt:variant>
      <vt:variant>
        <vt:lpwstr>_Toc270078083</vt:lpwstr>
      </vt:variant>
      <vt:variant>
        <vt:i4>1048629</vt:i4>
      </vt:variant>
      <vt:variant>
        <vt:i4>593</vt:i4>
      </vt:variant>
      <vt:variant>
        <vt:i4>0</vt:i4>
      </vt:variant>
      <vt:variant>
        <vt:i4>5</vt:i4>
      </vt:variant>
      <vt:variant>
        <vt:lpwstr/>
      </vt:variant>
      <vt:variant>
        <vt:lpwstr>_Toc270078082</vt:lpwstr>
      </vt:variant>
      <vt:variant>
        <vt:i4>1048629</vt:i4>
      </vt:variant>
      <vt:variant>
        <vt:i4>587</vt:i4>
      </vt:variant>
      <vt:variant>
        <vt:i4>0</vt:i4>
      </vt:variant>
      <vt:variant>
        <vt:i4>5</vt:i4>
      </vt:variant>
      <vt:variant>
        <vt:lpwstr/>
      </vt:variant>
      <vt:variant>
        <vt:lpwstr>_Toc270078081</vt:lpwstr>
      </vt:variant>
      <vt:variant>
        <vt:i4>1048629</vt:i4>
      </vt:variant>
      <vt:variant>
        <vt:i4>581</vt:i4>
      </vt:variant>
      <vt:variant>
        <vt:i4>0</vt:i4>
      </vt:variant>
      <vt:variant>
        <vt:i4>5</vt:i4>
      </vt:variant>
      <vt:variant>
        <vt:lpwstr/>
      </vt:variant>
      <vt:variant>
        <vt:lpwstr>_Toc270078080</vt:lpwstr>
      </vt:variant>
      <vt:variant>
        <vt:i4>2031669</vt:i4>
      </vt:variant>
      <vt:variant>
        <vt:i4>575</vt:i4>
      </vt:variant>
      <vt:variant>
        <vt:i4>0</vt:i4>
      </vt:variant>
      <vt:variant>
        <vt:i4>5</vt:i4>
      </vt:variant>
      <vt:variant>
        <vt:lpwstr/>
      </vt:variant>
      <vt:variant>
        <vt:lpwstr>_Toc270078079</vt:lpwstr>
      </vt:variant>
      <vt:variant>
        <vt:i4>2031669</vt:i4>
      </vt:variant>
      <vt:variant>
        <vt:i4>569</vt:i4>
      </vt:variant>
      <vt:variant>
        <vt:i4>0</vt:i4>
      </vt:variant>
      <vt:variant>
        <vt:i4>5</vt:i4>
      </vt:variant>
      <vt:variant>
        <vt:lpwstr/>
      </vt:variant>
      <vt:variant>
        <vt:lpwstr>_Toc270078078</vt:lpwstr>
      </vt:variant>
      <vt:variant>
        <vt:i4>2031669</vt:i4>
      </vt:variant>
      <vt:variant>
        <vt:i4>563</vt:i4>
      </vt:variant>
      <vt:variant>
        <vt:i4>0</vt:i4>
      </vt:variant>
      <vt:variant>
        <vt:i4>5</vt:i4>
      </vt:variant>
      <vt:variant>
        <vt:lpwstr/>
      </vt:variant>
      <vt:variant>
        <vt:lpwstr>_Toc270078077</vt:lpwstr>
      </vt:variant>
      <vt:variant>
        <vt:i4>2031669</vt:i4>
      </vt:variant>
      <vt:variant>
        <vt:i4>557</vt:i4>
      </vt:variant>
      <vt:variant>
        <vt:i4>0</vt:i4>
      </vt:variant>
      <vt:variant>
        <vt:i4>5</vt:i4>
      </vt:variant>
      <vt:variant>
        <vt:lpwstr/>
      </vt:variant>
      <vt:variant>
        <vt:lpwstr>_Toc270078076</vt:lpwstr>
      </vt:variant>
      <vt:variant>
        <vt:i4>2031669</vt:i4>
      </vt:variant>
      <vt:variant>
        <vt:i4>551</vt:i4>
      </vt:variant>
      <vt:variant>
        <vt:i4>0</vt:i4>
      </vt:variant>
      <vt:variant>
        <vt:i4>5</vt:i4>
      </vt:variant>
      <vt:variant>
        <vt:lpwstr/>
      </vt:variant>
      <vt:variant>
        <vt:lpwstr>_Toc270078075</vt:lpwstr>
      </vt:variant>
      <vt:variant>
        <vt:i4>2031669</vt:i4>
      </vt:variant>
      <vt:variant>
        <vt:i4>545</vt:i4>
      </vt:variant>
      <vt:variant>
        <vt:i4>0</vt:i4>
      </vt:variant>
      <vt:variant>
        <vt:i4>5</vt:i4>
      </vt:variant>
      <vt:variant>
        <vt:lpwstr/>
      </vt:variant>
      <vt:variant>
        <vt:lpwstr>_Toc270078074</vt:lpwstr>
      </vt:variant>
      <vt:variant>
        <vt:i4>2031669</vt:i4>
      </vt:variant>
      <vt:variant>
        <vt:i4>539</vt:i4>
      </vt:variant>
      <vt:variant>
        <vt:i4>0</vt:i4>
      </vt:variant>
      <vt:variant>
        <vt:i4>5</vt:i4>
      </vt:variant>
      <vt:variant>
        <vt:lpwstr/>
      </vt:variant>
      <vt:variant>
        <vt:lpwstr>_Toc270078073</vt:lpwstr>
      </vt:variant>
      <vt:variant>
        <vt:i4>2031669</vt:i4>
      </vt:variant>
      <vt:variant>
        <vt:i4>533</vt:i4>
      </vt:variant>
      <vt:variant>
        <vt:i4>0</vt:i4>
      </vt:variant>
      <vt:variant>
        <vt:i4>5</vt:i4>
      </vt:variant>
      <vt:variant>
        <vt:lpwstr/>
      </vt:variant>
      <vt:variant>
        <vt:lpwstr>_Toc270078072</vt:lpwstr>
      </vt:variant>
      <vt:variant>
        <vt:i4>2031669</vt:i4>
      </vt:variant>
      <vt:variant>
        <vt:i4>527</vt:i4>
      </vt:variant>
      <vt:variant>
        <vt:i4>0</vt:i4>
      </vt:variant>
      <vt:variant>
        <vt:i4>5</vt:i4>
      </vt:variant>
      <vt:variant>
        <vt:lpwstr/>
      </vt:variant>
      <vt:variant>
        <vt:lpwstr>_Toc270078071</vt:lpwstr>
      </vt:variant>
      <vt:variant>
        <vt:i4>2031669</vt:i4>
      </vt:variant>
      <vt:variant>
        <vt:i4>521</vt:i4>
      </vt:variant>
      <vt:variant>
        <vt:i4>0</vt:i4>
      </vt:variant>
      <vt:variant>
        <vt:i4>5</vt:i4>
      </vt:variant>
      <vt:variant>
        <vt:lpwstr/>
      </vt:variant>
      <vt:variant>
        <vt:lpwstr>_Toc270078070</vt:lpwstr>
      </vt:variant>
      <vt:variant>
        <vt:i4>1966133</vt:i4>
      </vt:variant>
      <vt:variant>
        <vt:i4>515</vt:i4>
      </vt:variant>
      <vt:variant>
        <vt:i4>0</vt:i4>
      </vt:variant>
      <vt:variant>
        <vt:i4>5</vt:i4>
      </vt:variant>
      <vt:variant>
        <vt:lpwstr/>
      </vt:variant>
      <vt:variant>
        <vt:lpwstr>_Toc270078069</vt:lpwstr>
      </vt:variant>
      <vt:variant>
        <vt:i4>1966133</vt:i4>
      </vt:variant>
      <vt:variant>
        <vt:i4>509</vt:i4>
      </vt:variant>
      <vt:variant>
        <vt:i4>0</vt:i4>
      </vt:variant>
      <vt:variant>
        <vt:i4>5</vt:i4>
      </vt:variant>
      <vt:variant>
        <vt:lpwstr/>
      </vt:variant>
      <vt:variant>
        <vt:lpwstr>_Toc270078068</vt:lpwstr>
      </vt:variant>
      <vt:variant>
        <vt:i4>1966133</vt:i4>
      </vt:variant>
      <vt:variant>
        <vt:i4>503</vt:i4>
      </vt:variant>
      <vt:variant>
        <vt:i4>0</vt:i4>
      </vt:variant>
      <vt:variant>
        <vt:i4>5</vt:i4>
      </vt:variant>
      <vt:variant>
        <vt:lpwstr/>
      </vt:variant>
      <vt:variant>
        <vt:lpwstr>_Toc270078067</vt:lpwstr>
      </vt:variant>
      <vt:variant>
        <vt:i4>1966133</vt:i4>
      </vt:variant>
      <vt:variant>
        <vt:i4>497</vt:i4>
      </vt:variant>
      <vt:variant>
        <vt:i4>0</vt:i4>
      </vt:variant>
      <vt:variant>
        <vt:i4>5</vt:i4>
      </vt:variant>
      <vt:variant>
        <vt:lpwstr/>
      </vt:variant>
      <vt:variant>
        <vt:lpwstr>_Toc270078066</vt:lpwstr>
      </vt:variant>
      <vt:variant>
        <vt:i4>1966133</vt:i4>
      </vt:variant>
      <vt:variant>
        <vt:i4>491</vt:i4>
      </vt:variant>
      <vt:variant>
        <vt:i4>0</vt:i4>
      </vt:variant>
      <vt:variant>
        <vt:i4>5</vt:i4>
      </vt:variant>
      <vt:variant>
        <vt:lpwstr/>
      </vt:variant>
      <vt:variant>
        <vt:lpwstr>_Toc270078065</vt:lpwstr>
      </vt:variant>
      <vt:variant>
        <vt:i4>1966133</vt:i4>
      </vt:variant>
      <vt:variant>
        <vt:i4>485</vt:i4>
      </vt:variant>
      <vt:variant>
        <vt:i4>0</vt:i4>
      </vt:variant>
      <vt:variant>
        <vt:i4>5</vt:i4>
      </vt:variant>
      <vt:variant>
        <vt:lpwstr/>
      </vt:variant>
      <vt:variant>
        <vt:lpwstr>_Toc270078064</vt:lpwstr>
      </vt:variant>
      <vt:variant>
        <vt:i4>1966133</vt:i4>
      </vt:variant>
      <vt:variant>
        <vt:i4>479</vt:i4>
      </vt:variant>
      <vt:variant>
        <vt:i4>0</vt:i4>
      </vt:variant>
      <vt:variant>
        <vt:i4>5</vt:i4>
      </vt:variant>
      <vt:variant>
        <vt:lpwstr/>
      </vt:variant>
      <vt:variant>
        <vt:lpwstr>_Toc270078063</vt:lpwstr>
      </vt:variant>
      <vt:variant>
        <vt:i4>1966133</vt:i4>
      </vt:variant>
      <vt:variant>
        <vt:i4>473</vt:i4>
      </vt:variant>
      <vt:variant>
        <vt:i4>0</vt:i4>
      </vt:variant>
      <vt:variant>
        <vt:i4>5</vt:i4>
      </vt:variant>
      <vt:variant>
        <vt:lpwstr/>
      </vt:variant>
      <vt:variant>
        <vt:lpwstr>_Toc270078062</vt:lpwstr>
      </vt:variant>
      <vt:variant>
        <vt:i4>1966133</vt:i4>
      </vt:variant>
      <vt:variant>
        <vt:i4>467</vt:i4>
      </vt:variant>
      <vt:variant>
        <vt:i4>0</vt:i4>
      </vt:variant>
      <vt:variant>
        <vt:i4>5</vt:i4>
      </vt:variant>
      <vt:variant>
        <vt:lpwstr/>
      </vt:variant>
      <vt:variant>
        <vt:lpwstr>_Toc270078061</vt:lpwstr>
      </vt:variant>
      <vt:variant>
        <vt:i4>1966133</vt:i4>
      </vt:variant>
      <vt:variant>
        <vt:i4>461</vt:i4>
      </vt:variant>
      <vt:variant>
        <vt:i4>0</vt:i4>
      </vt:variant>
      <vt:variant>
        <vt:i4>5</vt:i4>
      </vt:variant>
      <vt:variant>
        <vt:lpwstr/>
      </vt:variant>
      <vt:variant>
        <vt:lpwstr>_Toc270078060</vt:lpwstr>
      </vt:variant>
      <vt:variant>
        <vt:i4>1900597</vt:i4>
      </vt:variant>
      <vt:variant>
        <vt:i4>455</vt:i4>
      </vt:variant>
      <vt:variant>
        <vt:i4>0</vt:i4>
      </vt:variant>
      <vt:variant>
        <vt:i4>5</vt:i4>
      </vt:variant>
      <vt:variant>
        <vt:lpwstr/>
      </vt:variant>
      <vt:variant>
        <vt:lpwstr>_Toc270078059</vt:lpwstr>
      </vt:variant>
      <vt:variant>
        <vt:i4>1900597</vt:i4>
      </vt:variant>
      <vt:variant>
        <vt:i4>449</vt:i4>
      </vt:variant>
      <vt:variant>
        <vt:i4>0</vt:i4>
      </vt:variant>
      <vt:variant>
        <vt:i4>5</vt:i4>
      </vt:variant>
      <vt:variant>
        <vt:lpwstr/>
      </vt:variant>
      <vt:variant>
        <vt:lpwstr>_Toc270078058</vt:lpwstr>
      </vt:variant>
      <vt:variant>
        <vt:i4>1900597</vt:i4>
      </vt:variant>
      <vt:variant>
        <vt:i4>443</vt:i4>
      </vt:variant>
      <vt:variant>
        <vt:i4>0</vt:i4>
      </vt:variant>
      <vt:variant>
        <vt:i4>5</vt:i4>
      </vt:variant>
      <vt:variant>
        <vt:lpwstr/>
      </vt:variant>
      <vt:variant>
        <vt:lpwstr>_Toc270078057</vt:lpwstr>
      </vt:variant>
      <vt:variant>
        <vt:i4>1900597</vt:i4>
      </vt:variant>
      <vt:variant>
        <vt:i4>437</vt:i4>
      </vt:variant>
      <vt:variant>
        <vt:i4>0</vt:i4>
      </vt:variant>
      <vt:variant>
        <vt:i4>5</vt:i4>
      </vt:variant>
      <vt:variant>
        <vt:lpwstr/>
      </vt:variant>
      <vt:variant>
        <vt:lpwstr>_Toc270078056</vt:lpwstr>
      </vt:variant>
      <vt:variant>
        <vt:i4>1900597</vt:i4>
      </vt:variant>
      <vt:variant>
        <vt:i4>431</vt:i4>
      </vt:variant>
      <vt:variant>
        <vt:i4>0</vt:i4>
      </vt:variant>
      <vt:variant>
        <vt:i4>5</vt:i4>
      </vt:variant>
      <vt:variant>
        <vt:lpwstr/>
      </vt:variant>
      <vt:variant>
        <vt:lpwstr>_Toc270078055</vt:lpwstr>
      </vt:variant>
      <vt:variant>
        <vt:i4>1900597</vt:i4>
      </vt:variant>
      <vt:variant>
        <vt:i4>425</vt:i4>
      </vt:variant>
      <vt:variant>
        <vt:i4>0</vt:i4>
      </vt:variant>
      <vt:variant>
        <vt:i4>5</vt:i4>
      </vt:variant>
      <vt:variant>
        <vt:lpwstr/>
      </vt:variant>
      <vt:variant>
        <vt:lpwstr>_Toc270078054</vt:lpwstr>
      </vt:variant>
      <vt:variant>
        <vt:i4>1900597</vt:i4>
      </vt:variant>
      <vt:variant>
        <vt:i4>419</vt:i4>
      </vt:variant>
      <vt:variant>
        <vt:i4>0</vt:i4>
      </vt:variant>
      <vt:variant>
        <vt:i4>5</vt:i4>
      </vt:variant>
      <vt:variant>
        <vt:lpwstr/>
      </vt:variant>
      <vt:variant>
        <vt:lpwstr>_Toc270078053</vt:lpwstr>
      </vt:variant>
      <vt:variant>
        <vt:i4>1900597</vt:i4>
      </vt:variant>
      <vt:variant>
        <vt:i4>413</vt:i4>
      </vt:variant>
      <vt:variant>
        <vt:i4>0</vt:i4>
      </vt:variant>
      <vt:variant>
        <vt:i4>5</vt:i4>
      </vt:variant>
      <vt:variant>
        <vt:lpwstr/>
      </vt:variant>
      <vt:variant>
        <vt:lpwstr>_Toc270078052</vt:lpwstr>
      </vt:variant>
      <vt:variant>
        <vt:i4>1900597</vt:i4>
      </vt:variant>
      <vt:variant>
        <vt:i4>407</vt:i4>
      </vt:variant>
      <vt:variant>
        <vt:i4>0</vt:i4>
      </vt:variant>
      <vt:variant>
        <vt:i4>5</vt:i4>
      </vt:variant>
      <vt:variant>
        <vt:lpwstr/>
      </vt:variant>
      <vt:variant>
        <vt:lpwstr>_Toc270078051</vt:lpwstr>
      </vt:variant>
      <vt:variant>
        <vt:i4>1900597</vt:i4>
      </vt:variant>
      <vt:variant>
        <vt:i4>401</vt:i4>
      </vt:variant>
      <vt:variant>
        <vt:i4>0</vt:i4>
      </vt:variant>
      <vt:variant>
        <vt:i4>5</vt:i4>
      </vt:variant>
      <vt:variant>
        <vt:lpwstr/>
      </vt:variant>
      <vt:variant>
        <vt:lpwstr>_Toc270078050</vt:lpwstr>
      </vt:variant>
      <vt:variant>
        <vt:i4>1835061</vt:i4>
      </vt:variant>
      <vt:variant>
        <vt:i4>395</vt:i4>
      </vt:variant>
      <vt:variant>
        <vt:i4>0</vt:i4>
      </vt:variant>
      <vt:variant>
        <vt:i4>5</vt:i4>
      </vt:variant>
      <vt:variant>
        <vt:lpwstr/>
      </vt:variant>
      <vt:variant>
        <vt:lpwstr>_Toc270078049</vt:lpwstr>
      </vt:variant>
      <vt:variant>
        <vt:i4>1835061</vt:i4>
      </vt:variant>
      <vt:variant>
        <vt:i4>389</vt:i4>
      </vt:variant>
      <vt:variant>
        <vt:i4>0</vt:i4>
      </vt:variant>
      <vt:variant>
        <vt:i4>5</vt:i4>
      </vt:variant>
      <vt:variant>
        <vt:lpwstr/>
      </vt:variant>
      <vt:variant>
        <vt:lpwstr>_Toc270078048</vt:lpwstr>
      </vt:variant>
      <vt:variant>
        <vt:i4>1835061</vt:i4>
      </vt:variant>
      <vt:variant>
        <vt:i4>383</vt:i4>
      </vt:variant>
      <vt:variant>
        <vt:i4>0</vt:i4>
      </vt:variant>
      <vt:variant>
        <vt:i4>5</vt:i4>
      </vt:variant>
      <vt:variant>
        <vt:lpwstr/>
      </vt:variant>
      <vt:variant>
        <vt:lpwstr>_Toc270078047</vt:lpwstr>
      </vt:variant>
      <vt:variant>
        <vt:i4>1835061</vt:i4>
      </vt:variant>
      <vt:variant>
        <vt:i4>377</vt:i4>
      </vt:variant>
      <vt:variant>
        <vt:i4>0</vt:i4>
      </vt:variant>
      <vt:variant>
        <vt:i4>5</vt:i4>
      </vt:variant>
      <vt:variant>
        <vt:lpwstr/>
      </vt:variant>
      <vt:variant>
        <vt:lpwstr>_Toc270078046</vt:lpwstr>
      </vt:variant>
      <vt:variant>
        <vt:i4>1835061</vt:i4>
      </vt:variant>
      <vt:variant>
        <vt:i4>371</vt:i4>
      </vt:variant>
      <vt:variant>
        <vt:i4>0</vt:i4>
      </vt:variant>
      <vt:variant>
        <vt:i4>5</vt:i4>
      </vt:variant>
      <vt:variant>
        <vt:lpwstr/>
      </vt:variant>
      <vt:variant>
        <vt:lpwstr>_Toc270078045</vt:lpwstr>
      </vt:variant>
      <vt:variant>
        <vt:i4>1835061</vt:i4>
      </vt:variant>
      <vt:variant>
        <vt:i4>365</vt:i4>
      </vt:variant>
      <vt:variant>
        <vt:i4>0</vt:i4>
      </vt:variant>
      <vt:variant>
        <vt:i4>5</vt:i4>
      </vt:variant>
      <vt:variant>
        <vt:lpwstr/>
      </vt:variant>
      <vt:variant>
        <vt:lpwstr>_Toc270078044</vt:lpwstr>
      </vt:variant>
      <vt:variant>
        <vt:i4>1835061</vt:i4>
      </vt:variant>
      <vt:variant>
        <vt:i4>359</vt:i4>
      </vt:variant>
      <vt:variant>
        <vt:i4>0</vt:i4>
      </vt:variant>
      <vt:variant>
        <vt:i4>5</vt:i4>
      </vt:variant>
      <vt:variant>
        <vt:lpwstr/>
      </vt:variant>
      <vt:variant>
        <vt:lpwstr>_Toc270078043</vt:lpwstr>
      </vt:variant>
      <vt:variant>
        <vt:i4>1835061</vt:i4>
      </vt:variant>
      <vt:variant>
        <vt:i4>353</vt:i4>
      </vt:variant>
      <vt:variant>
        <vt:i4>0</vt:i4>
      </vt:variant>
      <vt:variant>
        <vt:i4>5</vt:i4>
      </vt:variant>
      <vt:variant>
        <vt:lpwstr/>
      </vt:variant>
      <vt:variant>
        <vt:lpwstr>_Toc270078042</vt:lpwstr>
      </vt:variant>
      <vt:variant>
        <vt:i4>1835061</vt:i4>
      </vt:variant>
      <vt:variant>
        <vt:i4>347</vt:i4>
      </vt:variant>
      <vt:variant>
        <vt:i4>0</vt:i4>
      </vt:variant>
      <vt:variant>
        <vt:i4>5</vt:i4>
      </vt:variant>
      <vt:variant>
        <vt:lpwstr/>
      </vt:variant>
      <vt:variant>
        <vt:lpwstr>_Toc270078041</vt:lpwstr>
      </vt:variant>
      <vt:variant>
        <vt:i4>1835061</vt:i4>
      </vt:variant>
      <vt:variant>
        <vt:i4>341</vt:i4>
      </vt:variant>
      <vt:variant>
        <vt:i4>0</vt:i4>
      </vt:variant>
      <vt:variant>
        <vt:i4>5</vt:i4>
      </vt:variant>
      <vt:variant>
        <vt:lpwstr/>
      </vt:variant>
      <vt:variant>
        <vt:lpwstr>_Toc270078040</vt:lpwstr>
      </vt:variant>
      <vt:variant>
        <vt:i4>1769525</vt:i4>
      </vt:variant>
      <vt:variant>
        <vt:i4>335</vt:i4>
      </vt:variant>
      <vt:variant>
        <vt:i4>0</vt:i4>
      </vt:variant>
      <vt:variant>
        <vt:i4>5</vt:i4>
      </vt:variant>
      <vt:variant>
        <vt:lpwstr/>
      </vt:variant>
      <vt:variant>
        <vt:lpwstr>_Toc270078039</vt:lpwstr>
      </vt:variant>
      <vt:variant>
        <vt:i4>1769525</vt:i4>
      </vt:variant>
      <vt:variant>
        <vt:i4>329</vt:i4>
      </vt:variant>
      <vt:variant>
        <vt:i4>0</vt:i4>
      </vt:variant>
      <vt:variant>
        <vt:i4>5</vt:i4>
      </vt:variant>
      <vt:variant>
        <vt:lpwstr/>
      </vt:variant>
      <vt:variant>
        <vt:lpwstr>_Toc270078038</vt:lpwstr>
      </vt:variant>
      <vt:variant>
        <vt:i4>1769525</vt:i4>
      </vt:variant>
      <vt:variant>
        <vt:i4>323</vt:i4>
      </vt:variant>
      <vt:variant>
        <vt:i4>0</vt:i4>
      </vt:variant>
      <vt:variant>
        <vt:i4>5</vt:i4>
      </vt:variant>
      <vt:variant>
        <vt:lpwstr/>
      </vt:variant>
      <vt:variant>
        <vt:lpwstr>_Toc270078037</vt:lpwstr>
      </vt:variant>
      <vt:variant>
        <vt:i4>1769525</vt:i4>
      </vt:variant>
      <vt:variant>
        <vt:i4>317</vt:i4>
      </vt:variant>
      <vt:variant>
        <vt:i4>0</vt:i4>
      </vt:variant>
      <vt:variant>
        <vt:i4>5</vt:i4>
      </vt:variant>
      <vt:variant>
        <vt:lpwstr/>
      </vt:variant>
      <vt:variant>
        <vt:lpwstr>_Toc270078036</vt:lpwstr>
      </vt:variant>
      <vt:variant>
        <vt:i4>1769525</vt:i4>
      </vt:variant>
      <vt:variant>
        <vt:i4>311</vt:i4>
      </vt:variant>
      <vt:variant>
        <vt:i4>0</vt:i4>
      </vt:variant>
      <vt:variant>
        <vt:i4>5</vt:i4>
      </vt:variant>
      <vt:variant>
        <vt:lpwstr/>
      </vt:variant>
      <vt:variant>
        <vt:lpwstr>_Toc270078035</vt:lpwstr>
      </vt:variant>
      <vt:variant>
        <vt:i4>1769525</vt:i4>
      </vt:variant>
      <vt:variant>
        <vt:i4>305</vt:i4>
      </vt:variant>
      <vt:variant>
        <vt:i4>0</vt:i4>
      </vt:variant>
      <vt:variant>
        <vt:i4>5</vt:i4>
      </vt:variant>
      <vt:variant>
        <vt:lpwstr/>
      </vt:variant>
      <vt:variant>
        <vt:lpwstr>_Toc270078034</vt:lpwstr>
      </vt:variant>
      <vt:variant>
        <vt:i4>1769525</vt:i4>
      </vt:variant>
      <vt:variant>
        <vt:i4>299</vt:i4>
      </vt:variant>
      <vt:variant>
        <vt:i4>0</vt:i4>
      </vt:variant>
      <vt:variant>
        <vt:i4>5</vt:i4>
      </vt:variant>
      <vt:variant>
        <vt:lpwstr/>
      </vt:variant>
      <vt:variant>
        <vt:lpwstr>_Toc270078033</vt:lpwstr>
      </vt:variant>
      <vt:variant>
        <vt:i4>1769525</vt:i4>
      </vt:variant>
      <vt:variant>
        <vt:i4>293</vt:i4>
      </vt:variant>
      <vt:variant>
        <vt:i4>0</vt:i4>
      </vt:variant>
      <vt:variant>
        <vt:i4>5</vt:i4>
      </vt:variant>
      <vt:variant>
        <vt:lpwstr/>
      </vt:variant>
      <vt:variant>
        <vt:lpwstr>_Toc270078032</vt:lpwstr>
      </vt:variant>
      <vt:variant>
        <vt:i4>1769525</vt:i4>
      </vt:variant>
      <vt:variant>
        <vt:i4>287</vt:i4>
      </vt:variant>
      <vt:variant>
        <vt:i4>0</vt:i4>
      </vt:variant>
      <vt:variant>
        <vt:i4>5</vt:i4>
      </vt:variant>
      <vt:variant>
        <vt:lpwstr/>
      </vt:variant>
      <vt:variant>
        <vt:lpwstr>_Toc270078031</vt:lpwstr>
      </vt:variant>
      <vt:variant>
        <vt:i4>1769525</vt:i4>
      </vt:variant>
      <vt:variant>
        <vt:i4>281</vt:i4>
      </vt:variant>
      <vt:variant>
        <vt:i4>0</vt:i4>
      </vt:variant>
      <vt:variant>
        <vt:i4>5</vt:i4>
      </vt:variant>
      <vt:variant>
        <vt:lpwstr/>
      </vt:variant>
      <vt:variant>
        <vt:lpwstr>_Toc270078030</vt:lpwstr>
      </vt:variant>
      <vt:variant>
        <vt:i4>1703989</vt:i4>
      </vt:variant>
      <vt:variant>
        <vt:i4>275</vt:i4>
      </vt:variant>
      <vt:variant>
        <vt:i4>0</vt:i4>
      </vt:variant>
      <vt:variant>
        <vt:i4>5</vt:i4>
      </vt:variant>
      <vt:variant>
        <vt:lpwstr/>
      </vt:variant>
      <vt:variant>
        <vt:lpwstr>_Toc270078029</vt:lpwstr>
      </vt:variant>
      <vt:variant>
        <vt:i4>1703989</vt:i4>
      </vt:variant>
      <vt:variant>
        <vt:i4>269</vt:i4>
      </vt:variant>
      <vt:variant>
        <vt:i4>0</vt:i4>
      </vt:variant>
      <vt:variant>
        <vt:i4>5</vt:i4>
      </vt:variant>
      <vt:variant>
        <vt:lpwstr/>
      </vt:variant>
      <vt:variant>
        <vt:lpwstr>_Toc270078028</vt:lpwstr>
      </vt:variant>
      <vt:variant>
        <vt:i4>1703989</vt:i4>
      </vt:variant>
      <vt:variant>
        <vt:i4>263</vt:i4>
      </vt:variant>
      <vt:variant>
        <vt:i4>0</vt:i4>
      </vt:variant>
      <vt:variant>
        <vt:i4>5</vt:i4>
      </vt:variant>
      <vt:variant>
        <vt:lpwstr/>
      </vt:variant>
      <vt:variant>
        <vt:lpwstr>_Toc270078027</vt:lpwstr>
      </vt:variant>
      <vt:variant>
        <vt:i4>1703989</vt:i4>
      </vt:variant>
      <vt:variant>
        <vt:i4>257</vt:i4>
      </vt:variant>
      <vt:variant>
        <vt:i4>0</vt:i4>
      </vt:variant>
      <vt:variant>
        <vt:i4>5</vt:i4>
      </vt:variant>
      <vt:variant>
        <vt:lpwstr/>
      </vt:variant>
      <vt:variant>
        <vt:lpwstr>_Toc270078026</vt:lpwstr>
      </vt:variant>
      <vt:variant>
        <vt:i4>1703989</vt:i4>
      </vt:variant>
      <vt:variant>
        <vt:i4>251</vt:i4>
      </vt:variant>
      <vt:variant>
        <vt:i4>0</vt:i4>
      </vt:variant>
      <vt:variant>
        <vt:i4>5</vt:i4>
      </vt:variant>
      <vt:variant>
        <vt:lpwstr/>
      </vt:variant>
      <vt:variant>
        <vt:lpwstr>_Toc270078025</vt:lpwstr>
      </vt:variant>
      <vt:variant>
        <vt:i4>1703989</vt:i4>
      </vt:variant>
      <vt:variant>
        <vt:i4>245</vt:i4>
      </vt:variant>
      <vt:variant>
        <vt:i4>0</vt:i4>
      </vt:variant>
      <vt:variant>
        <vt:i4>5</vt:i4>
      </vt:variant>
      <vt:variant>
        <vt:lpwstr/>
      </vt:variant>
      <vt:variant>
        <vt:lpwstr>_Toc270078024</vt:lpwstr>
      </vt:variant>
      <vt:variant>
        <vt:i4>1703989</vt:i4>
      </vt:variant>
      <vt:variant>
        <vt:i4>239</vt:i4>
      </vt:variant>
      <vt:variant>
        <vt:i4>0</vt:i4>
      </vt:variant>
      <vt:variant>
        <vt:i4>5</vt:i4>
      </vt:variant>
      <vt:variant>
        <vt:lpwstr/>
      </vt:variant>
      <vt:variant>
        <vt:lpwstr>_Toc270078023</vt:lpwstr>
      </vt:variant>
      <vt:variant>
        <vt:i4>1703989</vt:i4>
      </vt:variant>
      <vt:variant>
        <vt:i4>233</vt:i4>
      </vt:variant>
      <vt:variant>
        <vt:i4>0</vt:i4>
      </vt:variant>
      <vt:variant>
        <vt:i4>5</vt:i4>
      </vt:variant>
      <vt:variant>
        <vt:lpwstr/>
      </vt:variant>
      <vt:variant>
        <vt:lpwstr>_Toc270078022</vt:lpwstr>
      </vt:variant>
      <vt:variant>
        <vt:i4>1703989</vt:i4>
      </vt:variant>
      <vt:variant>
        <vt:i4>227</vt:i4>
      </vt:variant>
      <vt:variant>
        <vt:i4>0</vt:i4>
      </vt:variant>
      <vt:variant>
        <vt:i4>5</vt:i4>
      </vt:variant>
      <vt:variant>
        <vt:lpwstr/>
      </vt:variant>
      <vt:variant>
        <vt:lpwstr>_Toc270078021</vt:lpwstr>
      </vt:variant>
      <vt:variant>
        <vt:i4>1703989</vt:i4>
      </vt:variant>
      <vt:variant>
        <vt:i4>221</vt:i4>
      </vt:variant>
      <vt:variant>
        <vt:i4>0</vt:i4>
      </vt:variant>
      <vt:variant>
        <vt:i4>5</vt:i4>
      </vt:variant>
      <vt:variant>
        <vt:lpwstr/>
      </vt:variant>
      <vt:variant>
        <vt:lpwstr>_Toc270078020</vt:lpwstr>
      </vt:variant>
      <vt:variant>
        <vt:i4>1638453</vt:i4>
      </vt:variant>
      <vt:variant>
        <vt:i4>215</vt:i4>
      </vt:variant>
      <vt:variant>
        <vt:i4>0</vt:i4>
      </vt:variant>
      <vt:variant>
        <vt:i4>5</vt:i4>
      </vt:variant>
      <vt:variant>
        <vt:lpwstr/>
      </vt:variant>
      <vt:variant>
        <vt:lpwstr>_Toc270078019</vt:lpwstr>
      </vt:variant>
      <vt:variant>
        <vt:i4>1638453</vt:i4>
      </vt:variant>
      <vt:variant>
        <vt:i4>209</vt:i4>
      </vt:variant>
      <vt:variant>
        <vt:i4>0</vt:i4>
      </vt:variant>
      <vt:variant>
        <vt:i4>5</vt:i4>
      </vt:variant>
      <vt:variant>
        <vt:lpwstr/>
      </vt:variant>
      <vt:variant>
        <vt:lpwstr>_Toc270078018</vt:lpwstr>
      </vt:variant>
      <vt:variant>
        <vt:i4>1638453</vt:i4>
      </vt:variant>
      <vt:variant>
        <vt:i4>203</vt:i4>
      </vt:variant>
      <vt:variant>
        <vt:i4>0</vt:i4>
      </vt:variant>
      <vt:variant>
        <vt:i4>5</vt:i4>
      </vt:variant>
      <vt:variant>
        <vt:lpwstr/>
      </vt:variant>
      <vt:variant>
        <vt:lpwstr>_Toc270078017</vt:lpwstr>
      </vt:variant>
      <vt:variant>
        <vt:i4>1638453</vt:i4>
      </vt:variant>
      <vt:variant>
        <vt:i4>197</vt:i4>
      </vt:variant>
      <vt:variant>
        <vt:i4>0</vt:i4>
      </vt:variant>
      <vt:variant>
        <vt:i4>5</vt:i4>
      </vt:variant>
      <vt:variant>
        <vt:lpwstr/>
      </vt:variant>
      <vt:variant>
        <vt:lpwstr>_Toc270078016</vt:lpwstr>
      </vt:variant>
      <vt:variant>
        <vt:i4>1638453</vt:i4>
      </vt:variant>
      <vt:variant>
        <vt:i4>191</vt:i4>
      </vt:variant>
      <vt:variant>
        <vt:i4>0</vt:i4>
      </vt:variant>
      <vt:variant>
        <vt:i4>5</vt:i4>
      </vt:variant>
      <vt:variant>
        <vt:lpwstr/>
      </vt:variant>
      <vt:variant>
        <vt:lpwstr>_Toc270078015</vt:lpwstr>
      </vt:variant>
      <vt:variant>
        <vt:i4>1638453</vt:i4>
      </vt:variant>
      <vt:variant>
        <vt:i4>185</vt:i4>
      </vt:variant>
      <vt:variant>
        <vt:i4>0</vt:i4>
      </vt:variant>
      <vt:variant>
        <vt:i4>5</vt:i4>
      </vt:variant>
      <vt:variant>
        <vt:lpwstr/>
      </vt:variant>
      <vt:variant>
        <vt:lpwstr>_Toc270078014</vt:lpwstr>
      </vt:variant>
      <vt:variant>
        <vt:i4>1638453</vt:i4>
      </vt:variant>
      <vt:variant>
        <vt:i4>179</vt:i4>
      </vt:variant>
      <vt:variant>
        <vt:i4>0</vt:i4>
      </vt:variant>
      <vt:variant>
        <vt:i4>5</vt:i4>
      </vt:variant>
      <vt:variant>
        <vt:lpwstr/>
      </vt:variant>
      <vt:variant>
        <vt:lpwstr>_Toc270078013</vt:lpwstr>
      </vt:variant>
      <vt:variant>
        <vt:i4>1638453</vt:i4>
      </vt:variant>
      <vt:variant>
        <vt:i4>173</vt:i4>
      </vt:variant>
      <vt:variant>
        <vt:i4>0</vt:i4>
      </vt:variant>
      <vt:variant>
        <vt:i4>5</vt:i4>
      </vt:variant>
      <vt:variant>
        <vt:lpwstr/>
      </vt:variant>
      <vt:variant>
        <vt:lpwstr>_Toc270078012</vt:lpwstr>
      </vt:variant>
      <vt:variant>
        <vt:i4>1638453</vt:i4>
      </vt:variant>
      <vt:variant>
        <vt:i4>167</vt:i4>
      </vt:variant>
      <vt:variant>
        <vt:i4>0</vt:i4>
      </vt:variant>
      <vt:variant>
        <vt:i4>5</vt:i4>
      </vt:variant>
      <vt:variant>
        <vt:lpwstr/>
      </vt:variant>
      <vt:variant>
        <vt:lpwstr>_Toc270078011</vt:lpwstr>
      </vt:variant>
      <vt:variant>
        <vt:i4>1638453</vt:i4>
      </vt:variant>
      <vt:variant>
        <vt:i4>161</vt:i4>
      </vt:variant>
      <vt:variant>
        <vt:i4>0</vt:i4>
      </vt:variant>
      <vt:variant>
        <vt:i4>5</vt:i4>
      </vt:variant>
      <vt:variant>
        <vt:lpwstr/>
      </vt:variant>
      <vt:variant>
        <vt:lpwstr>_Toc270078010</vt:lpwstr>
      </vt:variant>
      <vt:variant>
        <vt:i4>1572917</vt:i4>
      </vt:variant>
      <vt:variant>
        <vt:i4>155</vt:i4>
      </vt:variant>
      <vt:variant>
        <vt:i4>0</vt:i4>
      </vt:variant>
      <vt:variant>
        <vt:i4>5</vt:i4>
      </vt:variant>
      <vt:variant>
        <vt:lpwstr/>
      </vt:variant>
      <vt:variant>
        <vt:lpwstr>_Toc270078009</vt:lpwstr>
      </vt:variant>
      <vt:variant>
        <vt:i4>1572917</vt:i4>
      </vt:variant>
      <vt:variant>
        <vt:i4>149</vt:i4>
      </vt:variant>
      <vt:variant>
        <vt:i4>0</vt:i4>
      </vt:variant>
      <vt:variant>
        <vt:i4>5</vt:i4>
      </vt:variant>
      <vt:variant>
        <vt:lpwstr/>
      </vt:variant>
      <vt:variant>
        <vt:lpwstr>_Toc270078008</vt:lpwstr>
      </vt:variant>
      <vt:variant>
        <vt:i4>1572917</vt:i4>
      </vt:variant>
      <vt:variant>
        <vt:i4>143</vt:i4>
      </vt:variant>
      <vt:variant>
        <vt:i4>0</vt:i4>
      </vt:variant>
      <vt:variant>
        <vt:i4>5</vt:i4>
      </vt:variant>
      <vt:variant>
        <vt:lpwstr/>
      </vt:variant>
      <vt:variant>
        <vt:lpwstr>_Toc270078007</vt:lpwstr>
      </vt:variant>
      <vt:variant>
        <vt:i4>1572917</vt:i4>
      </vt:variant>
      <vt:variant>
        <vt:i4>137</vt:i4>
      </vt:variant>
      <vt:variant>
        <vt:i4>0</vt:i4>
      </vt:variant>
      <vt:variant>
        <vt:i4>5</vt:i4>
      </vt:variant>
      <vt:variant>
        <vt:lpwstr/>
      </vt:variant>
      <vt:variant>
        <vt:lpwstr>_Toc270078006</vt:lpwstr>
      </vt:variant>
      <vt:variant>
        <vt:i4>1572917</vt:i4>
      </vt:variant>
      <vt:variant>
        <vt:i4>131</vt:i4>
      </vt:variant>
      <vt:variant>
        <vt:i4>0</vt:i4>
      </vt:variant>
      <vt:variant>
        <vt:i4>5</vt:i4>
      </vt:variant>
      <vt:variant>
        <vt:lpwstr/>
      </vt:variant>
      <vt:variant>
        <vt:lpwstr>_Toc270078005</vt:lpwstr>
      </vt:variant>
      <vt:variant>
        <vt:i4>1572917</vt:i4>
      </vt:variant>
      <vt:variant>
        <vt:i4>125</vt:i4>
      </vt:variant>
      <vt:variant>
        <vt:i4>0</vt:i4>
      </vt:variant>
      <vt:variant>
        <vt:i4>5</vt:i4>
      </vt:variant>
      <vt:variant>
        <vt:lpwstr/>
      </vt:variant>
      <vt:variant>
        <vt:lpwstr>_Toc270078004</vt:lpwstr>
      </vt:variant>
      <vt:variant>
        <vt:i4>1572917</vt:i4>
      </vt:variant>
      <vt:variant>
        <vt:i4>119</vt:i4>
      </vt:variant>
      <vt:variant>
        <vt:i4>0</vt:i4>
      </vt:variant>
      <vt:variant>
        <vt:i4>5</vt:i4>
      </vt:variant>
      <vt:variant>
        <vt:lpwstr/>
      </vt:variant>
      <vt:variant>
        <vt:lpwstr>_Toc270078003</vt:lpwstr>
      </vt:variant>
      <vt:variant>
        <vt:i4>1572917</vt:i4>
      </vt:variant>
      <vt:variant>
        <vt:i4>113</vt:i4>
      </vt:variant>
      <vt:variant>
        <vt:i4>0</vt:i4>
      </vt:variant>
      <vt:variant>
        <vt:i4>5</vt:i4>
      </vt:variant>
      <vt:variant>
        <vt:lpwstr/>
      </vt:variant>
      <vt:variant>
        <vt:lpwstr>_Toc270078002</vt:lpwstr>
      </vt:variant>
      <vt:variant>
        <vt:i4>1572917</vt:i4>
      </vt:variant>
      <vt:variant>
        <vt:i4>107</vt:i4>
      </vt:variant>
      <vt:variant>
        <vt:i4>0</vt:i4>
      </vt:variant>
      <vt:variant>
        <vt:i4>5</vt:i4>
      </vt:variant>
      <vt:variant>
        <vt:lpwstr/>
      </vt:variant>
      <vt:variant>
        <vt:lpwstr>_Toc270078001</vt:lpwstr>
      </vt:variant>
      <vt:variant>
        <vt:i4>1572917</vt:i4>
      </vt:variant>
      <vt:variant>
        <vt:i4>101</vt:i4>
      </vt:variant>
      <vt:variant>
        <vt:i4>0</vt:i4>
      </vt:variant>
      <vt:variant>
        <vt:i4>5</vt:i4>
      </vt:variant>
      <vt:variant>
        <vt:lpwstr/>
      </vt:variant>
      <vt:variant>
        <vt:lpwstr>_Toc270078000</vt:lpwstr>
      </vt:variant>
      <vt:variant>
        <vt:i4>1966140</vt:i4>
      </vt:variant>
      <vt:variant>
        <vt:i4>95</vt:i4>
      </vt:variant>
      <vt:variant>
        <vt:i4>0</vt:i4>
      </vt:variant>
      <vt:variant>
        <vt:i4>5</vt:i4>
      </vt:variant>
      <vt:variant>
        <vt:lpwstr/>
      </vt:variant>
      <vt:variant>
        <vt:lpwstr>_Toc270077999</vt:lpwstr>
      </vt:variant>
      <vt:variant>
        <vt:i4>1966140</vt:i4>
      </vt:variant>
      <vt:variant>
        <vt:i4>89</vt:i4>
      </vt:variant>
      <vt:variant>
        <vt:i4>0</vt:i4>
      </vt:variant>
      <vt:variant>
        <vt:i4>5</vt:i4>
      </vt:variant>
      <vt:variant>
        <vt:lpwstr/>
      </vt:variant>
      <vt:variant>
        <vt:lpwstr>_Toc270077998</vt:lpwstr>
      </vt:variant>
      <vt:variant>
        <vt:i4>1966140</vt:i4>
      </vt:variant>
      <vt:variant>
        <vt:i4>83</vt:i4>
      </vt:variant>
      <vt:variant>
        <vt:i4>0</vt:i4>
      </vt:variant>
      <vt:variant>
        <vt:i4>5</vt:i4>
      </vt:variant>
      <vt:variant>
        <vt:lpwstr/>
      </vt:variant>
      <vt:variant>
        <vt:lpwstr>_Toc270077997</vt:lpwstr>
      </vt:variant>
      <vt:variant>
        <vt:i4>1966140</vt:i4>
      </vt:variant>
      <vt:variant>
        <vt:i4>77</vt:i4>
      </vt:variant>
      <vt:variant>
        <vt:i4>0</vt:i4>
      </vt:variant>
      <vt:variant>
        <vt:i4>5</vt:i4>
      </vt:variant>
      <vt:variant>
        <vt:lpwstr/>
      </vt:variant>
      <vt:variant>
        <vt:lpwstr>_Toc270077996</vt:lpwstr>
      </vt:variant>
      <vt:variant>
        <vt:i4>1966140</vt:i4>
      </vt:variant>
      <vt:variant>
        <vt:i4>71</vt:i4>
      </vt:variant>
      <vt:variant>
        <vt:i4>0</vt:i4>
      </vt:variant>
      <vt:variant>
        <vt:i4>5</vt:i4>
      </vt:variant>
      <vt:variant>
        <vt:lpwstr/>
      </vt:variant>
      <vt:variant>
        <vt:lpwstr>_Toc270077995</vt:lpwstr>
      </vt:variant>
      <vt:variant>
        <vt:i4>1966140</vt:i4>
      </vt:variant>
      <vt:variant>
        <vt:i4>65</vt:i4>
      </vt:variant>
      <vt:variant>
        <vt:i4>0</vt:i4>
      </vt:variant>
      <vt:variant>
        <vt:i4>5</vt:i4>
      </vt:variant>
      <vt:variant>
        <vt:lpwstr/>
      </vt:variant>
      <vt:variant>
        <vt:lpwstr>_Toc270077994</vt:lpwstr>
      </vt:variant>
      <vt:variant>
        <vt:i4>1966140</vt:i4>
      </vt:variant>
      <vt:variant>
        <vt:i4>59</vt:i4>
      </vt:variant>
      <vt:variant>
        <vt:i4>0</vt:i4>
      </vt:variant>
      <vt:variant>
        <vt:i4>5</vt:i4>
      </vt:variant>
      <vt:variant>
        <vt:lpwstr/>
      </vt:variant>
      <vt:variant>
        <vt:lpwstr>_Toc270077993</vt:lpwstr>
      </vt:variant>
      <vt:variant>
        <vt:i4>1966140</vt:i4>
      </vt:variant>
      <vt:variant>
        <vt:i4>53</vt:i4>
      </vt:variant>
      <vt:variant>
        <vt:i4>0</vt:i4>
      </vt:variant>
      <vt:variant>
        <vt:i4>5</vt:i4>
      </vt:variant>
      <vt:variant>
        <vt:lpwstr/>
      </vt:variant>
      <vt:variant>
        <vt:lpwstr>_Toc270077992</vt:lpwstr>
      </vt:variant>
      <vt:variant>
        <vt:i4>1966140</vt:i4>
      </vt:variant>
      <vt:variant>
        <vt:i4>47</vt:i4>
      </vt:variant>
      <vt:variant>
        <vt:i4>0</vt:i4>
      </vt:variant>
      <vt:variant>
        <vt:i4>5</vt:i4>
      </vt:variant>
      <vt:variant>
        <vt:lpwstr/>
      </vt:variant>
      <vt:variant>
        <vt:lpwstr>_Toc270077991</vt:lpwstr>
      </vt:variant>
      <vt:variant>
        <vt:i4>1966140</vt:i4>
      </vt:variant>
      <vt:variant>
        <vt:i4>41</vt:i4>
      </vt:variant>
      <vt:variant>
        <vt:i4>0</vt:i4>
      </vt:variant>
      <vt:variant>
        <vt:i4>5</vt:i4>
      </vt:variant>
      <vt:variant>
        <vt:lpwstr/>
      </vt:variant>
      <vt:variant>
        <vt:lpwstr>_Toc270077990</vt:lpwstr>
      </vt:variant>
      <vt:variant>
        <vt:i4>2031676</vt:i4>
      </vt:variant>
      <vt:variant>
        <vt:i4>35</vt:i4>
      </vt:variant>
      <vt:variant>
        <vt:i4>0</vt:i4>
      </vt:variant>
      <vt:variant>
        <vt:i4>5</vt:i4>
      </vt:variant>
      <vt:variant>
        <vt:lpwstr/>
      </vt:variant>
      <vt:variant>
        <vt:lpwstr>_Toc270077989</vt:lpwstr>
      </vt:variant>
      <vt:variant>
        <vt:i4>2031676</vt:i4>
      </vt:variant>
      <vt:variant>
        <vt:i4>29</vt:i4>
      </vt:variant>
      <vt:variant>
        <vt:i4>0</vt:i4>
      </vt:variant>
      <vt:variant>
        <vt:i4>5</vt:i4>
      </vt:variant>
      <vt:variant>
        <vt:lpwstr/>
      </vt:variant>
      <vt:variant>
        <vt:lpwstr>_Toc270077988</vt:lpwstr>
      </vt:variant>
      <vt:variant>
        <vt:i4>2031676</vt:i4>
      </vt:variant>
      <vt:variant>
        <vt:i4>23</vt:i4>
      </vt:variant>
      <vt:variant>
        <vt:i4>0</vt:i4>
      </vt:variant>
      <vt:variant>
        <vt:i4>5</vt:i4>
      </vt:variant>
      <vt:variant>
        <vt:lpwstr/>
      </vt:variant>
      <vt:variant>
        <vt:lpwstr>_Toc270077987</vt:lpwstr>
      </vt:variant>
      <vt:variant>
        <vt:i4>2031676</vt:i4>
      </vt:variant>
      <vt:variant>
        <vt:i4>17</vt:i4>
      </vt:variant>
      <vt:variant>
        <vt:i4>0</vt:i4>
      </vt:variant>
      <vt:variant>
        <vt:i4>5</vt:i4>
      </vt:variant>
      <vt:variant>
        <vt:lpwstr/>
      </vt:variant>
      <vt:variant>
        <vt:lpwstr>_Toc270077986</vt:lpwstr>
      </vt:variant>
      <vt:variant>
        <vt:i4>2031676</vt:i4>
      </vt:variant>
      <vt:variant>
        <vt:i4>11</vt:i4>
      </vt:variant>
      <vt:variant>
        <vt:i4>0</vt:i4>
      </vt:variant>
      <vt:variant>
        <vt:i4>5</vt:i4>
      </vt:variant>
      <vt:variant>
        <vt:lpwstr/>
      </vt:variant>
      <vt:variant>
        <vt:lpwstr>_Toc270077985</vt:lpwstr>
      </vt:variant>
      <vt:variant>
        <vt:i4>2031676</vt:i4>
      </vt:variant>
      <vt:variant>
        <vt:i4>5</vt:i4>
      </vt:variant>
      <vt:variant>
        <vt:i4>0</vt:i4>
      </vt:variant>
      <vt:variant>
        <vt:i4>5</vt:i4>
      </vt:variant>
      <vt:variant>
        <vt:lpwstr/>
      </vt:variant>
      <vt:variant>
        <vt:lpwstr>_Toc270077984</vt:lpwstr>
      </vt:variant>
      <vt:variant>
        <vt:i4>3407983</vt:i4>
      </vt:variant>
      <vt:variant>
        <vt:i4>0</vt:i4>
      </vt:variant>
      <vt:variant>
        <vt:i4>0</vt:i4>
      </vt:variant>
      <vt:variant>
        <vt:i4>5</vt:i4>
      </vt:variant>
      <vt:variant>
        <vt:lpwstr>http://www.irba.co.za/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SAAPS 3 (Revised)</dc:title>
  <dc:creator>Kumu</dc:creator>
  <cp:lastModifiedBy>Kumukakwashe Matambo</cp:lastModifiedBy>
  <cp:revision>5</cp:revision>
  <cp:lastPrinted>2022-04-29T06:39:00Z</cp:lastPrinted>
  <dcterms:created xsi:type="dcterms:W3CDTF">2022-04-01T11:54:00Z</dcterms:created>
  <dcterms:modified xsi:type="dcterms:W3CDTF">2022-04-29T06:39:00Z</dcterms:modified>
</cp:coreProperties>
</file>