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Layout w:type="fixed"/>
        <w:tblCellMar>
          <w:left w:w="0" w:type="dxa"/>
          <w:right w:w="0" w:type="dxa"/>
        </w:tblCellMar>
        <w:tblLook w:val="0000" w:firstRow="0" w:lastRow="0" w:firstColumn="0" w:lastColumn="0" w:noHBand="0" w:noVBand="0"/>
      </w:tblPr>
      <w:tblGrid>
        <w:gridCol w:w="9640"/>
      </w:tblGrid>
      <w:tr w:rsidR="00C60B7F" w:rsidRPr="00AB430E" w:rsidTr="00EF0821">
        <w:trPr>
          <w:trHeight w:val="1747"/>
          <w:tblCellSpacing w:w="15" w:type="dxa"/>
        </w:trPr>
        <w:tc>
          <w:tcPr>
            <w:tcW w:w="9580" w:type="dxa"/>
          </w:tcPr>
          <w:tbl>
            <w:tblPr>
              <w:tblpPr w:leftFromText="180" w:rightFromText="180" w:horzAnchor="page" w:tblpX="1" w:tblpY="-573"/>
              <w:tblOverlap w:val="never"/>
              <w:tblW w:w="9639" w:type="dxa"/>
              <w:tblCellSpacing w:w="15" w:type="dxa"/>
              <w:tblLayout w:type="fixed"/>
              <w:tblCellMar>
                <w:left w:w="0" w:type="dxa"/>
                <w:right w:w="0" w:type="dxa"/>
              </w:tblCellMar>
              <w:tblLook w:val="0000" w:firstRow="0" w:lastRow="0" w:firstColumn="0" w:lastColumn="0" w:noHBand="0" w:noVBand="0"/>
            </w:tblPr>
            <w:tblGrid>
              <w:gridCol w:w="9639"/>
            </w:tblGrid>
            <w:tr w:rsidR="00C60B7F" w:rsidRPr="00BD58FB" w:rsidTr="00EF0821">
              <w:trPr>
                <w:trHeight w:val="1747"/>
                <w:tblCellSpacing w:w="15" w:type="dxa"/>
              </w:trPr>
              <w:tc>
                <w:tcPr>
                  <w:tcW w:w="9579" w:type="dxa"/>
                </w:tcPr>
                <w:p w:rsidR="00C60B7F" w:rsidRPr="0096139B" w:rsidRDefault="00C60B7F" w:rsidP="00EF0821">
                  <w:pPr>
                    <w:pBdr>
                      <w:top w:val="single" w:sz="4" w:space="1" w:color="auto"/>
                      <w:bottom w:val="single" w:sz="4" w:space="1" w:color="auto"/>
                    </w:pBdr>
                    <w:spacing w:before="120" w:after="120" w:line="312" w:lineRule="atLeast"/>
                    <w:jc w:val="center"/>
                    <w:rPr>
                      <w:rFonts w:ascii="Arial" w:hAnsi="Arial" w:cs="Arial"/>
                      <w:b/>
                      <w:bCs/>
                      <w:color w:val="CC0000"/>
                      <w:lang w:val="en-GB"/>
                    </w:rPr>
                  </w:pPr>
                  <w:r w:rsidRPr="0096139B">
                    <w:rPr>
                      <w:rFonts w:ascii="Arial" w:hAnsi="Arial" w:cs="Arial"/>
                      <w:b/>
                      <w:bCs/>
                      <w:color w:val="CC0000"/>
                      <w:lang w:val="en-GB"/>
                    </w:rPr>
                    <w:t>INDEPENDENT REGULATORY BOARD FOR AUDITORS</w:t>
                  </w:r>
                </w:p>
                <w:p w:rsidR="00C60B7F" w:rsidRPr="00803A00" w:rsidRDefault="00C60B7F" w:rsidP="00EF0821">
                  <w:pPr>
                    <w:keepNext/>
                    <w:ind w:right="537"/>
                    <w:jc w:val="both"/>
                    <w:textAlignment w:val="top"/>
                    <w:rPr>
                      <w:rFonts w:ascii="Arial" w:hAnsi="Arial" w:cs="Arial"/>
                      <w:sz w:val="20"/>
                      <w:szCs w:val="20"/>
                      <w:lang w:val="en-GB"/>
                    </w:rPr>
                  </w:pPr>
                  <w:bookmarkStart w:id="0" w:name="Text2"/>
                  <w:bookmarkEnd w:id="0"/>
                </w:p>
                <w:p w:rsidR="00C60B7F" w:rsidRDefault="00C60B7F" w:rsidP="00EF0821">
                  <w:pPr>
                    <w:ind w:left="-426"/>
                    <w:jc w:val="center"/>
                    <w:rPr>
                      <w:rFonts w:ascii="Arial" w:hAnsi="Arial" w:cs="Arial"/>
                      <w:b/>
                      <w:lang w:val="en-GB"/>
                    </w:rPr>
                  </w:pPr>
                  <w:r>
                    <w:rPr>
                      <w:rFonts w:ascii="Arial" w:hAnsi="Arial" w:cs="Arial"/>
                      <w:b/>
                      <w:lang w:val="en-GB"/>
                    </w:rPr>
                    <w:t>IFI</w:t>
                  </w:r>
                  <w:r w:rsidR="002437CE">
                    <w:rPr>
                      <w:rFonts w:ascii="Arial" w:hAnsi="Arial" w:cs="Arial"/>
                      <w:b/>
                      <w:lang w:val="en-GB"/>
                    </w:rPr>
                    <w:t>AR issues Report on the 2016</w:t>
                  </w:r>
                  <w:r w:rsidR="002B52BF">
                    <w:rPr>
                      <w:rFonts w:ascii="Arial" w:hAnsi="Arial" w:cs="Arial"/>
                      <w:b/>
                      <w:lang w:val="en-GB"/>
                    </w:rPr>
                    <w:t xml:space="preserve"> Global Inspections Findings S</w:t>
                  </w:r>
                  <w:r>
                    <w:rPr>
                      <w:rFonts w:ascii="Arial" w:hAnsi="Arial" w:cs="Arial"/>
                      <w:b/>
                      <w:lang w:val="en-GB"/>
                    </w:rPr>
                    <w:t>urvey</w:t>
                  </w:r>
                </w:p>
                <w:p w:rsidR="00C60B7F" w:rsidRDefault="00C60B7F" w:rsidP="00EF0821">
                  <w:pPr>
                    <w:ind w:left="-426"/>
                    <w:jc w:val="center"/>
                    <w:rPr>
                      <w:rFonts w:ascii="Arial" w:hAnsi="Arial" w:cs="Arial"/>
                      <w:lang w:val="en-GB"/>
                    </w:rPr>
                  </w:pPr>
                  <w:r w:rsidRPr="00470975">
                    <w:rPr>
                      <w:rFonts w:ascii="Arial" w:hAnsi="Arial" w:cs="Arial"/>
                      <w:lang w:val="en-GB"/>
                    </w:rPr>
                    <w:t xml:space="preserve">Johannesburg/ </w:t>
                  </w:r>
                  <w:r w:rsidR="00403EFB">
                    <w:rPr>
                      <w:rFonts w:ascii="Arial" w:hAnsi="Arial" w:cs="Arial"/>
                      <w:lang w:val="en-GB"/>
                    </w:rPr>
                    <w:t>1</w:t>
                  </w:r>
                  <w:r w:rsidR="002437CE">
                    <w:rPr>
                      <w:rFonts w:ascii="Arial" w:hAnsi="Arial" w:cs="Arial"/>
                      <w:lang w:val="en-GB"/>
                    </w:rPr>
                    <w:t>0</w:t>
                  </w:r>
                  <w:r w:rsidR="002B52BF">
                    <w:rPr>
                      <w:rFonts w:ascii="Arial" w:hAnsi="Arial" w:cs="Arial"/>
                      <w:lang w:val="en-GB"/>
                    </w:rPr>
                    <w:t xml:space="preserve"> </w:t>
                  </w:r>
                  <w:r w:rsidR="002437CE">
                    <w:rPr>
                      <w:rFonts w:ascii="Arial" w:hAnsi="Arial" w:cs="Arial"/>
                      <w:lang w:val="en-GB"/>
                    </w:rPr>
                    <w:t xml:space="preserve">March </w:t>
                  </w:r>
                  <w:r w:rsidR="002437CE" w:rsidRPr="00470975">
                    <w:rPr>
                      <w:rFonts w:ascii="Arial" w:hAnsi="Arial" w:cs="Arial"/>
                      <w:lang w:val="en-GB"/>
                    </w:rPr>
                    <w:t>2017</w:t>
                  </w:r>
                </w:p>
                <w:p w:rsidR="00C60B7F" w:rsidRPr="00470975" w:rsidRDefault="00C60B7F" w:rsidP="00EF0821">
                  <w:pPr>
                    <w:ind w:left="-426"/>
                    <w:jc w:val="center"/>
                    <w:rPr>
                      <w:rFonts w:ascii="Arial" w:hAnsi="Arial" w:cs="Arial"/>
                      <w:lang w:val="en-GB"/>
                    </w:rPr>
                  </w:pPr>
                </w:p>
                <w:p w:rsidR="00C60B7F" w:rsidRPr="00470975" w:rsidRDefault="00C60B7F" w:rsidP="00EF0821">
                  <w:pPr>
                    <w:jc w:val="both"/>
                    <w:rPr>
                      <w:rFonts w:ascii="Arial" w:hAnsi="Arial" w:cs="Arial"/>
                      <w:b/>
                      <w:lang w:val="en-GB"/>
                    </w:rPr>
                  </w:pPr>
                </w:p>
                <w:p w:rsidR="00525045" w:rsidRDefault="00C60B7F" w:rsidP="00525045">
                  <w:pPr>
                    <w:ind w:right="159"/>
                    <w:jc w:val="both"/>
                    <w:rPr>
                      <w:rFonts w:ascii="Arial" w:hAnsi="Arial" w:cs="Arial"/>
                      <w:sz w:val="22"/>
                      <w:szCs w:val="22"/>
                      <w:lang w:val="en-GB"/>
                    </w:rPr>
                  </w:pPr>
                  <w:r>
                    <w:rPr>
                      <w:rFonts w:ascii="Arial" w:hAnsi="Arial" w:cs="Arial"/>
                      <w:sz w:val="22"/>
                      <w:szCs w:val="22"/>
                      <w:lang w:val="en-GB"/>
                    </w:rPr>
                    <w:t>The International Forum of Independent Audit Regulators</w:t>
                  </w:r>
                  <w:r w:rsidR="00334E19">
                    <w:rPr>
                      <w:rFonts w:ascii="Arial" w:hAnsi="Arial" w:cs="Arial"/>
                      <w:sz w:val="22"/>
                      <w:szCs w:val="22"/>
                      <w:lang w:val="en-GB"/>
                    </w:rPr>
                    <w:t xml:space="preserve"> (IFIAR) recently issued</w:t>
                  </w:r>
                  <w:r w:rsidR="00BE1374">
                    <w:rPr>
                      <w:rFonts w:ascii="Arial" w:hAnsi="Arial" w:cs="Arial"/>
                      <w:sz w:val="22"/>
                      <w:szCs w:val="22"/>
                      <w:lang w:val="en-GB"/>
                    </w:rPr>
                    <w:t xml:space="preserve"> its Report </w:t>
                  </w:r>
                  <w:r w:rsidR="00334E19">
                    <w:rPr>
                      <w:rFonts w:ascii="Arial" w:hAnsi="Arial" w:cs="Arial"/>
                      <w:sz w:val="22"/>
                      <w:szCs w:val="22"/>
                      <w:lang w:val="en-GB"/>
                    </w:rPr>
                    <w:t>on the</w:t>
                  </w:r>
                  <w:r w:rsidR="00BE1374">
                    <w:rPr>
                      <w:rFonts w:ascii="Arial" w:hAnsi="Arial" w:cs="Arial"/>
                      <w:sz w:val="22"/>
                      <w:szCs w:val="22"/>
                      <w:lang w:val="en-GB"/>
                    </w:rPr>
                    <w:t xml:space="preserve"> </w:t>
                  </w:r>
                  <w:r w:rsidR="00685C33">
                    <w:rPr>
                      <w:rFonts w:ascii="Arial" w:hAnsi="Arial" w:cs="Arial"/>
                      <w:sz w:val="22"/>
                      <w:szCs w:val="22"/>
                      <w:lang w:val="en-GB"/>
                    </w:rPr>
                    <w:t>201</w:t>
                  </w:r>
                  <w:r w:rsidR="002437CE">
                    <w:rPr>
                      <w:rFonts w:ascii="Arial" w:hAnsi="Arial" w:cs="Arial"/>
                      <w:sz w:val="22"/>
                      <w:szCs w:val="22"/>
                      <w:lang w:val="en-GB"/>
                    </w:rPr>
                    <w:t>6</w:t>
                  </w:r>
                  <w:r w:rsidR="00334E19">
                    <w:rPr>
                      <w:rFonts w:ascii="Arial" w:hAnsi="Arial" w:cs="Arial"/>
                      <w:sz w:val="22"/>
                      <w:szCs w:val="22"/>
                      <w:lang w:val="en-GB"/>
                    </w:rPr>
                    <w:t xml:space="preserve"> Global </w:t>
                  </w:r>
                  <w:r w:rsidR="00685C33">
                    <w:rPr>
                      <w:rFonts w:ascii="Arial" w:hAnsi="Arial" w:cs="Arial"/>
                      <w:sz w:val="22"/>
                      <w:szCs w:val="22"/>
                      <w:lang w:val="en-GB"/>
                    </w:rPr>
                    <w:t>Inspections Findings S</w:t>
                  </w:r>
                  <w:r w:rsidR="00BE1374">
                    <w:rPr>
                      <w:rFonts w:ascii="Arial" w:hAnsi="Arial" w:cs="Arial"/>
                      <w:sz w:val="22"/>
                      <w:szCs w:val="22"/>
                      <w:lang w:val="en-GB"/>
                    </w:rPr>
                    <w:t xml:space="preserve">urvey. </w:t>
                  </w:r>
                  <w:r w:rsidR="002A0205" w:rsidRPr="002A0205">
                    <w:rPr>
                      <w:rFonts w:ascii="Arial" w:hAnsi="Arial" w:cs="Arial"/>
                      <w:sz w:val="22"/>
                      <w:szCs w:val="22"/>
                      <w:lang w:val="en-GB"/>
                    </w:rPr>
                    <w:t>This was the fifth annual survey</w:t>
                  </w:r>
                  <w:r w:rsidR="002A0205">
                    <w:rPr>
                      <w:rFonts w:ascii="Arial" w:hAnsi="Arial" w:cs="Arial"/>
                      <w:sz w:val="22"/>
                      <w:szCs w:val="22"/>
                      <w:lang w:val="en-GB"/>
                    </w:rPr>
                    <w:t xml:space="preserve"> of findings identified by its m</w:t>
                  </w:r>
                  <w:r w:rsidR="002A0205" w:rsidRPr="002A0205">
                    <w:rPr>
                      <w:rFonts w:ascii="Arial" w:hAnsi="Arial" w:cs="Arial"/>
                      <w:sz w:val="22"/>
                      <w:szCs w:val="22"/>
                      <w:lang w:val="en-GB"/>
                    </w:rPr>
                    <w:t xml:space="preserve">embers in their individual inspections of audit firms affiliated with six large international audit firm networks. </w:t>
                  </w:r>
                  <w:r w:rsidR="00BE1374">
                    <w:rPr>
                      <w:rFonts w:ascii="Arial" w:hAnsi="Arial" w:cs="Arial"/>
                      <w:sz w:val="22"/>
                      <w:szCs w:val="22"/>
                      <w:lang w:val="en-GB"/>
                    </w:rPr>
                    <w:t>The</w:t>
                  </w:r>
                  <w:r w:rsidR="00525045">
                    <w:rPr>
                      <w:rFonts w:ascii="Arial" w:hAnsi="Arial" w:cs="Arial"/>
                      <w:sz w:val="22"/>
                      <w:szCs w:val="22"/>
                      <w:lang w:val="en-GB"/>
                    </w:rPr>
                    <w:t xml:space="preserve"> survey report is based on </w:t>
                  </w:r>
                  <w:r w:rsidR="00BE1374">
                    <w:rPr>
                      <w:rFonts w:ascii="Arial" w:hAnsi="Arial" w:cs="Arial"/>
                      <w:sz w:val="22"/>
                      <w:szCs w:val="22"/>
                      <w:lang w:val="en-GB"/>
                    </w:rPr>
                    <w:t xml:space="preserve">findings </w:t>
                  </w:r>
                  <w:r w:rsidR="00525045">
                    <w:rPr>
                      <w:rFonts w:ascii="Arial" w:hAnsi="Arial" w:cs="Arial"/>
                      <w:sz w:val="22"/>
                      <w:szCs w:val="22"/>
                      <w:lang w:val="en-GB"/>
                    </w:rPr>
                    <w:t>from the inspections of the six lar</w:t>
                  </w:r>
                  <w:bookmarkStart w:id="1" w:name="_GoBack"/>
                  <w:bookmarkEnd w:id="1"/>
                  <w:r w:rsidR="00525045">
                    <w:rPr>
                      <w:rFonts w:ascii="Arial" w:hAnsi="Arial" w:cs="Arial"/>
                      <w:sz w:val="22"/>
                      <w:szCs w:val="22"/>
                      <w:lang w:val="en-GB"/>
                    </w:rPr>
                    <w:t xml:space="preserve">gest global network audit firms and indicates that </w:t>
                  </w:r>
                  <w:r w:rsidR="00327F03">
                    <w:rPr>
                      <w:rFonts w:ascii="Arial" w:hAnsi="Arial" w:cs="Arial"/>
                      <w:sz w:val="22"/>
                      <w:szCs w:val="22"/>
                      <w:lang w:val="en-GB"/>
                    </w:rPr>
                    <w:t>42</w:t>
                  </w:r>
                  <w:r w:rsidR="00525045">
                    <w:rPr>
                      <w:rFonts w:ascii="Arial" w:hAnsi="Arial" w:cs="Arial"/>
                      <w:sz w:val="22"/>
                      <w:szCs w:val="22"/>
                      <w:lang w:val="en-GB"/>
                    </w:rPr>
                    <w:t xml:space="preserve"> percent of inspected audits of listed public interest entities (PIEs) had at least one inspection finding during the survey period.</w:t>
                  </w:r>
                </w:p>
                <w:p w:rsidR="00E531DD" w:rsidRDefault="00E531DD" w:rsidP="00525045">
                  <w:pPr>
                    <w:ind w:right="159"/>
                    <w:jc w:val="both"/>
                    <w:rPr>
                      <w:rFonts w:ascii="Arial" w:hAnsi="Arial" w:cs="Arial"/>
                      <w:sz w:val="22"/>
                      <w:szCs w:val="22"/>
                      <w:lang w:val="en-GB"/>
                    </w:rPr>
                  </w:pPr>
                </w:p>
                <w:p w:rsidR="00327F03" w:rsidRDefault="00327F03" w:rsidP="00525045">
                  <w:pPr>
                    <w:ind w:right="159"/>
                    <w:jc w:val="both"/>
                    <w:rPr>
                      <w:rFonts w:ascii="Arial" w:hAnsi="Arial" w:cs="Arial"/>
                      <w:sz w:val="22"/>
                      <w:szCs w:val="22"/>
                      <w:lang w:val="en-GB"/>
                    </w:rPr>
                  </w:pPr>
                  <w:r w:rsidRPr="00327F03">
                    <w:rPr>
                      <w:rFonts w:ascii="Arial" w:hAnsi="Arial" w:cs="Arial"/>
                      <w:sz w:val="22"/>
                      <w:szCs w:val="22"/>
                      <w:lang w:val="en-GB"/>
                    </w:rPr>
                    <w:t xml:space="preserve">The Survey shows a general decline in inspection finding rates; however, the high rates of findings continue to be of concern to IFIAR. There are similarities in the nature and extent of findings compared to the previous year. </w:t>
                  </w:r>
                </w:p>
                <w:p w:rsidR="00327F03" w:rsidRDefault="00327F03" w:rsidP="00525045">
                  <w:pPr>
                    <w:ind w:right="159"/>
                    <w:jc w:val="both"/>
                    <w:rPr>
                      <w:rFonts w:ascii="Arial" w:hAnsi="Arial" w:cs="Arial"/>
                      <w:sz w:val="22"/>
                      <w:szCs w:val="22"/>
                      <w:lang w:val="en-GB"/>
                    </w:rPr>
                  </w:pPr>
                </w:p>
                <w:p w:rsidR="00327F03" w:rsidRDefault="00327F03" w:rsidP="00525045">
                  <w:pPr>
                    <w:ind w:right="159"/>
                    <w:jc w:val="both"/>
                    <w:rPr>
                      <w:rFonts w:ascii="Arial" w:hAnsi="Arial" w:cs="Arial"/>
                      <w:sz w:val="22"/>
                      <w:szCs w:val="22"/>
                      <w:lang w:val="en-GB"/>
                    </w:rPr>
                  </w:pPr>
                  <w:r w:rsidRPr="00327F03">
                    <w:rPr>
                      <w:rFonts w:ascii="Arial" w:hAnsi="Arial" w:cs="Arial"/>
                      <w:sz w:val="22"/>
                      <w:szCs w:val="22"/>
                      <w:lang w:val="en-GB"/>
                    </w:rPr>
                    <w:t>Overall, the results continue to show a lack of consistency in the execution of high quality audits and point to the continued need to address firm-wide systems of quality control, including in the critical area of auditor independence.</w:t>
                  </w:r>
                </w:p>
                <w:p w:rsidR="00327F03" w:rsidRDefault="00327F03" w:rsidP="00525045">
                  <w:pPr>
                    <w:ind w:right="159"/>
                    <w:jc w:val="both"/>
                    <w:rPr>
                      <w:rFonts w:ascii="Arial" w:hAnsi="Arial" w:cs="Arial"/>
                      <w:sz w:val="22"/>
                      <w:szCs w:val="22"/>
                      <w:lang w:val="en-GB"/>
                    </w:rPr>
                  </w:pPr>
                </w:p>
                <w:p w:rsidR="00334E19" w:rsidRDefault="00334E19" w:rsidP="00525045">
                  <w:pPr>
                    <w:ind w:right="159"/>
                    <w:jc w:val="both"/>
                    <w:rPr>
                      <w:rFonts w:ascii="Arial" w:hAnsi="Arial" w:cs="Arial"/>
                      <w:sz w:val="22"/>
                      <w:szCs w:val="22"/>
                      <w:lang w:val="en-GB"/>
                    </w:rPr>
                  </w:pPr>
                </w:p>
                <w:p w:rsidR="00685C33" w:rsidRDefault="00685C33" w:rsidP="00525045">
                  <w:pPr>
                    <w:ind w:right="159"/>
                    <w:jc w:val="both"/>
                    <w:rPr>
                      <w:rFonts w:ascii="Arial" w:hAnsi="Arial" w:cs="Arial"/>
                      <w:sz w:val="22"/>
                      <w:szCs w:val="22"/>
                      <w:lang w:val="en-GB"/>
                    </w:rPr>
                  </w:pPr>
                  <w:r>
                    <w:rPr>
                      <w:rFonts w:ascii="Arial" w:hAnsi="Arial" w:cs="Arial"/>
                      <w:sz w:val="22"/>
                      <w:szCs w:val="22"/>
                      <w:lang w:val="en-GB"/>
                    </w:rPr>
                    <w:t>The</w:t>
                  </w:r>
                  <w:r w:rsidR="00BA12F0">
                    <w:rPr>
                      <w:rFonts w:ascii="Arial" w:hAnsi="Arial" w:cs="Arial"/>
                      <w:sz w:val="22"/>
                      <w:szCs w:val="22"/>
                      <w:lang w:val="en-GB"/>
                    </w:rPr>
                    <w:t xml:space="preserve"> </w:t>
                  </w:r>
                  <w:hyperlink r:id="rId5" w:history="1">
                    <w:r w:rsidR="000A467F">
                      <w:rPr>
                        <w:rStyle w:val="Hyperlink"/>
                        <w:rFonts w:ascii="Arial" w:hAnsi="Arial" w:cs="Arial"/>
                        <w:sz w:val="22"/>
                        <w:szCs w:val="22"/>
                        <w:lang w:val="en-GB"/>
                      </w:rPr>
                      <w:t>IFIAR Report on 2016 Survey of Inspections findings</w:t>
                    </w:r>
                  </w:hyperlink>
                  <w:r w:rsidR="000A467F">
                    <w:rPr>
                      <w:rFonts w:ascii="Arial" w:hAnsi="Arial" w:cs="Arial"/>
                      <w:sz w:val="22"/>
                      <w:szCs w:val="22"/>
                      <w:lang w:val="en-GB"/>
                    </w:rPr>
                    <w:t xml:space="preserve"> and the </w:t>
                  </w:r>
                  <w:hyperlink r:id="rId6" w:history="1">
                    <w:r w:rsidR="000A467F" w:rsidRPr="000A467F">
                      <w:rPr>
                        <w:rStyle w:val="Hyperlink"/>
                        <w:rFonts w:ascii="Arial" w:hAnsi="Arial" w:cs="Arial"/>
                        <w:sz w:val="22"/>
                        <w:szCs w:val="22"/>
                        <w:lang w:val="en-GB"/>
                      </w:rPr>
                      <w:t>2016 Survey report announcement</w:t>
                    </w:r>
                  </w:hyperlink>
                  <w:r w:rsidR="000A467F">
                    <w:rPr>
                      <w:rFonts w:ascii="Arial" w:hAnsi="Arial" w:cs="Arial"/>
                      <w:sz w:val="22"/>
                      <w:szCs w:val="22"/>
                      <w:lang w:val="en-GB"/>
                    </w:rPr>
                    <w:t xml:space="preserve"> </w:t>
                  </w:r>
                  <w:r>
                    <w:rPr>
                      <w:rFonts w:ascii="Arial" w:hAnsi="Arial" w:cs="Arial"/>
                      <w:sz w:val="22"/>
                      <w:szCs w:val="22"/>
                      <w:lang w:val="en-GB"/>
                    </w:rPr>
                    <w:t xml:space="preserve">can be downloaded on the IRBA website at </w:t>
                  </w:r>
                  <w:hyperlink r:id="rId7" w:history="1">
                    <w:r w:rsidRPr="00917C41">
                      <w:rPr>
                        <w:rStyle w:val="Hyperlink"/>
                        <w:rFonts w:ascii="Arial" w:hAnsi="Arial" w:cs="Arial"/>
                        <w:sz w:val="22"/>
                        <w:szCs w:val="22"/>
                        <w:lang w:val="en-GB"/>
                      </w:rPr>
                      <w:t>www.irba.co.za</w:t>
                    </w:r>
                  </w:hyperlink>
                  <w:r w:rsidR="00334E19">
                    <w:rPr>
                      <w:rFonts w:ascii="Arial" w:hAnsi="Arial" w:cs="Arial"/>
                      <w:sz w:val="22"/>
                      <w:szCs w:val="22"/>
                      <w:lang w:val="en-GB"/>
                    </w:rPr>
                    <w:t xml:space="preserve"> or on the IFIAR website at </w:t>
                  </w:r>
                  <w:hyperlink r:id="rId8" w:history="1">
                    <w:r w:rsidR="00334E19" w:rsidRPr="00917C41">
                      <w:rPr>
                        <w:rStyle w:val="Hyperlink"/>
                        <w:rFonts w:ascii="Arial" w:hAnsi="Arial" w:cs="Arial"/>
                        <w:sz w:val="22"/>
                        <w:szCs w:val="22"/>
                        <w:lang w:val="en-GB"/>
                      </w:rPr>
                      <w:t>www.ifiar.org</w:t>
                    </w:r>
                  </w:hyperlink>
                </w:p>
                <w:p w:rsidR="00334E19" w:rsidRDefault="00334E19" w:rsidP="00525045">
                  <w:pPr>
                    <w:ind w:right="159"/>
                    <w:jc w:val="both"/>
                    <w:rPr>
                      <w:rFonts w:ascii="Arial" w:hAnsi="Arial" w:cs="Arial"/>
                      <w:sz w:val="22"/>
                      <w:szCs w:val="22"/>
                      <w:lang w:val="en-GB"/>
                    </w:rPr>
                  </w:pPr>
                </w:p>
                <w:p w:rsidR="00685C33" w:rsidRPr="00470975" w:rsidRDefault="00685C33" w:rsidP="00525045">
                  <w:pPr>
                    <w:ind w:right="159"/>
                    <w:jc w:val="both"/>
                    <w:rPr>
                      <w:rFonts w:ascii="Arial" w:hAnsi="Arial" w:cs="Arial"/>
                      <w:sz w:val="22"/>
                      <w:szCs w:val="22"/>
                      <w:lang w:val="en-GB"/>
                    </w:rPr>
                  </w:pPr>
                </w:p>
                <w:p w:rsidR="00C60B7F" w:rsidRDefault="00C60B7F" w:rsidP="00EF0821">
                  <w:pPr>
                    <w:ind w:left="112"/>
                    <w:rPr>
                      <w:rFonts w:ascii="Arial" w:hAnsi="Arial" w:cs="Arial"/>
                      <w:b/>
                      <w:sz w:val="20"/>
                      <w:szCs w:val="20"/>
                      <w:lang w:val="en-GB"/>
                    </w:rPr>
                  </w:pPr>
                </w:p>
                <w:p w:rsidR="00C60B7F" w:rsidRDefault="00685C33" w:rsidP="00EF0821">
                  <w:pPr>
                    <w:ind w:left="112"/>
                    <w:rPr>
                      <w:rFonts w:ascii="Arial" w:hAnsi="Arial" w:cs="Arial"/>
                      <w:b/>
                      <w:sz w:val="20"/>
                      <w:szCs w:val="20"/>
                      <w:lang w:val="en-GB"/>
                    </w:rPr>
                  </w:pPr>
                  <w:r>
                    <w:rPr>
                      <w:rFonts w:ascii="Arial" w:hAnsi="Arial" w:cs="Arial"/>
                      <w:b/>
                      <w:sz w:val="20"/>
                      <w:szCs w:val="20"/>
                      <w:lang w:val="en-GB"/>
                    </w:rPr>
                    <w:t>Imre Nagy</w:t>
                  </w:r>
                </w:p>
                <w:p w:rsidR="00685C33" w:rsidRPr="004975BB" w:rsidRDefault="00685C33" w:rsidP="00EF0821">
                  <w:pPr>
                    <w:ind w:left="112"/>
                    <w:rPr>
                      <w:rFonts w:ascii="Arial" w:hAnsi="Arial" w:cs="Arial"/>
                      <w:b/>
                      <w:sz w:val="20"/>
                      <w:szCs w:val="20"/>
                      <w:lang w:val="en-GB"/>
                    </w:rPr>
                  </w:pPr>
                  <w:r>
                    <w:rPr>
                      <w:rFonts w:ascii="Arial" w:hAnsi="Arial" w:cs="Arial"/>
                      <w:b/>
                      <w:sz w:val="20"/>
                      <w:szCs w:val="20"/>
                      <w:lang w:val="en-GB"/>
                    </w:rPr>
                    <w:t>Director: Inspections</w:t>
                  </w:r>
                </w:p>
                <w:p w:rsidR="00C60B7F" w:rsidRPr="00BD58FB" w:rsidRDefault="00C60B7F" w:rsidP="00EF0821">
                  <w:pPr>
                    <w:ind w:right="235"/>
                    <w:jc w:val="both"/>
                    <w:rPr>
                      <w:rFonts w:ascii="Arial" w:hAnsi="Arial" w:cs="Arial"/>
                      <w:sz w:val="22"/>
                      <w:szCs w:val="22"/>
                      <w:lang w:val="en-GB"/>
                    </w:rPr>
                  </w:pPr>
                </w:p>
              </w:tc>
            </w:tr>
          </w:tbl>
          <w:p w:rsidR="00C60B7F" w:rsidRDefault="00C60B7F" w:rsidP="00EF0821">
            <w:pPr>
              <w:ind w:left="112" w:right="230"/>
              <w:jc w:val="both"/>
              <w:rPr>
                <w:rFonts w:ascii="Arial" w:hAnsi="Arial" w:cs="Arial"/>
                <w:b/>
                <w:bCs/>
                <w:i/>
                <w:iCs/>
                <w:sz w:val="18"/>
                <w:szCs w:val="18"/>
                <w:lang w:val="en-GB"/>
              </w:rPr>
            </w:pPr>
          </w:p>
          <w:p w:rsidR="00C60B7F" w:rsidRPr="00470975" w:rsidRDefault="00C60B7F" w:rsidP="00EF0821">
            <w:pPr>
              <w:ind w:left="112"/>
              <w:jc w:val="both"/>
              <w:rPr>
                <w:rFonts w:ascii="Arial" w:hAnsi="Arial" w:cs="Arial"/>
                <w:b/>
                <w:bCs/>
                <w:i/>
                <w:iCs/>
                <w:sz w:val="18"/>
                <w:szCs w:val="18"/>
                <w:lang w:val="en-GB"/>
              </w:rPr>
            </w:pPr>
            <w:r w:rsidRPr="00470975">
              <w:rPr>
                <w:rFonts w:ascii="Arial" w:hAnsi="Arial" w:cs="Arial"/>
                <w:b/>
                <w:bCs/>
                <w:i/>
                <w:iCs/>
                <w:sz w:val="18"/>
                <w:szCs w:val="18"/>
                <w:lang w:val="en-GB"/>
              </w:rPr>
              <w:t>About the IRBA</w:t>
            </w:r>
          </w:p>
          <w:p w:rsidR="00C60B7F" w:rsidRPr="00CA3401" w:rsidRDefault="00C60B7F" w:rsidP="00EF0821">
            <w:pPr>
              <w:ind w:left="112" w:right="230"/>
              <w:jc w:val="both"/>
              <w:rPr>
                <w:sz w:val="18"/>
                <w:szCs w:val="18"/>
              </w:rPr>
            </w:pPr>
          </w:p>
          <w:p w:rsidR="00C60B7F" w:rsidRPr="004F2841" w:rsidRDefault="00C60B7F" w:rsidP="00EF0821">
            <w:pPr>
              <w:ind w:left="112" w:right="230"/>
              <w:jc w:val="both"/>
              <w:rPr>
                <w:rFonts w:ascii="Arial" w:hAnsi="Arial" w:cs="Arial"/>
                <w:i/>
                <w:iCs/>
                <w:sz w:val="18"/>
                <w:szCs w:val="18"/>
                <w:lang w:val="en-GB"/>
              </w:rPr>
            </w:pPr>
            <w:r w:rsidRPr="00CA3401">
              <w:rPr>
                <w:rFonts w:ascii="Arial" w:hAnsi="Arial" w:cs="Arial"/>
                <w:i/>
                <w:iCs/>
                <w:sz w:val="18"/>
                <w:szCs w:val="18"/>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C60B7F" w:rsidRDefault="00C60B7F" w:rsidP="00C60B7F">
      <w:pPr>
        <w:jc w:val="both"/>
        <w:rPr>
          <w:rFonts w:ascii="Arial" w:hAnsi="Arial" w:cs="Arial"/>
        </w:rPr>
      </w:pPr>
    </w:p>
    <w:p w:rsidR="004A7CF9" w:rsidRDefault="004A7CF9"/>
    <w:sectPr w:rsidR="004A7CF9" w:rsidSect="00E74AC5">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D41"/>
    <w:multiLevelType w:val="hybridMultilevel"/>
    <w:tmpl w:val="194E2948"/>
    <w:lvl w:ilvl="0" w:tplc="AF6C5354">
      <w:start w:val="1"/>
      <w:numFmt w:val="decimal"/>
      <w:lvlText w:val="%1."/>
      <w:lvlJc w:val="left"/>
      <w:pPr>
        <w:ind w:left="2966" w:hanging="360"/>
      </w:pPr>
      <w:rPr>
        <w:rFonts w:hint="default"/>
      </w:rPr>
    </w:lvl>
    <w:lvl w:ilvl="1" w:tplc="1C090019" w:tentative="1">
      <w:start w:val="1"/>
      <w:numFmt w:val="lowerLetter"/>
      <w:lvlText w:val="%2."/>
      <w:lvlJc w:val="left"/>
      <w:pPr>
        <w:ind w:left="3686" w:hanging="360"/>
      </w:pPr>
    </w:lvl>
    <w:lvl w:ilvl="2" w:tplc="1C09001B" w:tentative="1">
      <w:start w:val="1"/>
      <w:numFmt w:val="lowerRoman"/>
      <w:lvlText w:val="%3."/>
      <w:lvlJc w:val="right"/>
      <w:pPr>
        <w:ind w:left="4406" w:hanging="180"/>
      </w:pPr>
    </w:lvl>
    <w:lvl w:ilvl="3" w:tplc="1C09000F" w:tentative="1">
      <w:start w:val="1"/>
      <w:numFmt w:val="decimal"/>
      <w:lvlText w:val="%4."/>
      <w:lvlJc w:val="left"/>
      <w:pPr>
        <w:ind w:left="5126" w:hanging="360"/>
      </w:pPr>
    </w:lvl>
    <w:lvl w:ilvl="4" w:tplc="1C090019" w:tentative="1">
      <w:start w:val="1"/>
      <w:numFmt w:val="lowerLetter"/>
      <w:lvlText w:val="%5."/>
      <w:lvlJc w:val="left"/>
      <w:pPr>
        <w:ind w:left="5846" w:hanging="360"/>
      </w:pPr>
    </w:lvl>
    <w:lvl w:ilvl="5" w:tplc="1C09001B" w:tentative="1">
      <w:start w:val="1"/>
      <w:numFmt w:val="lowerRoman"/>
      <w:lvlText w:val="%6."/>
      <w:lvlJc w:val="right"/>
      <w:pPr>
        <w:ind w:left="6566" w:hanging="180"/>
      </w:pPr>
    </w:lvl>
    <w:lvl w:ilvl="6" w:tplc="1C09000F" w:tentative="1">
      <w:start w:val="1"/>
      <w:numFmt w:val="decimal"/>
      <w:lvlText w:val="%7."/>
      <w:lvlJc w:val="left"/>
      <w:pPr>
        <w:ind w:left="7286" w:hanging="360"/>
      </w:pPr>
    </w:lvl>
    <w:lvl w:ilvl="7" w:tplc="1C090019" w:tentative="1">
      <w:start w:val="1"/>
      <w:numFmt w:val="lowerLetter"/>
      <w:lvlText w:val="%8."/>
      <w:lvlJc w:val="left"/>
      <w:pPr>
        <w:ind w:left="8006" w:hanging="360"/>
      </w:pPr>
    </w:lvl>
    <w:lvl w:ilvl="8" w:tplc="1C09001B" w:tentative="1">
      <w:start w:val="1"/>
      <w:numFmt w:val="lowerRoman"/>
      <w:lvlText w:val="%9."/>
      <w:lvlJc w:val="right"/>
      <w:pPr>
        <w:ind w:left="872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7F"/>
    <w:rsid w:val="0002798E"/>
    <w:rsid w:val="000A467F"/>
    <w:rsid w:val="002437CE"/>
    <w:rsid w:val="002A0205"/>
    <w:rsid w:val="002B52BF"/>
    <w:rsid w:val="00327F03"/>
    <w:rsid w:val="00334E19"/>
    <w:rsid w:val="00403EFB"/>
    <w:rsid w:val="00406A36"/>
    <w:rsid w:val="004903F7"/>
    <w:rsid w:val="004A7CF9"/>
    <w:rsid w:val="00525045"/>
    <w:rsid w:val="00552AD2"/>
    <w:rsid w:val="005927B9"/>
    <w:rsid w:val="006101EB"/>
    <w:rsid w:val="00685C33"/>
    <w:rsid w:val="006B329C"/>
    <w:rsid w:val="00B44B3B"/>
    <w:rsid w:val="00BA12F0"/>
    <w:rsid w:val="00BE1374"/>
    <w:rsid w:val="00C60B7F"/>
    <w:rsid w:val="00E531D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6F5"/>
  <w15:docId w15:val="{E9A0A0CD-4606-42F3-B6EA-21A70A6BB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0B7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5C33"/>
    <w:rPr>
      <w:color w:val="0000FF" w:themeColor="hyperlink"/>
      <w:u w:val="single"/>
    </w:rPr>
  </w:style>
  <w:style w:type="character" w:styleId="FollowedHyperlink">
    <w:name w:val="FollowedHyperlink"/>
    <w:basedOn w:val="DefaultParagraphFont"/>
    <w:uiPriority w:val="99"/>
    <w:semiHidden/>
    <w:unhideWhenUsed/>
    <w:rsid w:val="005927B9"/>
    <w:rPr>
      <w:color w:val="800080" w:themeColor="followedHyperlink"/>
      <w:u w:val="single"/>
    </w:rPr>
  </w:style>
  <w:style w:type="paragraph" w:styleId="BalloonText">
    <w:name w:val="Balloon Text"/>
    <w:basedOn w:val="Normal"/>
    <w:link w:val="BalloonTextChar"/>
    <w:uiPriority w:val="99"/>
    <w:semiHidden/>
    <w:unhideWhenUsed/>
    <w:rsid w:val="002437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7C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iar.org/IFIAR-Global-Survey-of-Inspection-Findings.aspx" TargetMode="External"/><Relationship Id="rId3" Type="http://schemas.openxmlformats.org/officeDocument/2006/relationships/settings" Target="settings.xml"/><Relationship Id="rId7" Type="http://schemas.openxmlformats.org/officeDocument/2006/relationships/hyperlink" Target="https://www.irba.co.za/guidance-to-ras/inspections/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ba.co.za/upload/2016-Survey-Stakeholder-Announcement-final.pdf" TargetMode="External"/><Relationship Id="rId5" Type="http://schemas.openxmlformats.org/officeDocument/2006/relationships/hyperlink" Target="https://www.irba.co.za/upload/2016-Survey-report-fin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1770</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Henriette Fortuin</cp:lastModifiedBy>
  <cp:revision>2</cp:revision>
  <cp:lastPrinted>2017-03-08T14:11:00Z</cp:lastPrinted>
  <dcterms:created xsi:type="dcterms:W3CDTF">2017-03-10T07:09:00Z</dcterms:created>
  <dcterms:modified xsi:type="dcterms:W3CDTF">2017-03-10T07:09:00Z</dcterms:modified>
</cp:coreProperties>
</file>