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E595B" w:rsidRPr="00FB6FEC" w14:paraId="13F46B3F" w14:textId="77777777" w:rsidTr="00487B66">
        <w:trPr>
          <w:trHeight w:val="1673"/>
        </w:trPr>
        <w:tc>
          <w:tcPr>
            <w:tcW w:w="9016" w:type="dxa"/>
            <w:shd w:val="clear" w:color="auto" w:fill="D9D9D9"/>
            <w:vAlign w:val="center"/>
          </w:tcPr>
          <w:p w14:paraId="4AAA4314" w14:textId="77777777" w:rsidR="006E595B" w:rsidRPr="00FB6FEC" w:rsidRDefault="006E595B" w:rsidP="00B92444">
            <w:pPr>
              <w:spacing w:after="120" w:line="276" w:lineRule="auto"/>
              <w:jc w:val="both"/>
              <w:rPr>
                <w:rFonts w:ascii="Arial" w:eastAsia="Arial" w:hAnsi="Arial" w:cs="Arial"/>
                <w:b/>
                <w:sz w:val="22"/>
                <w:szCs w:val="20"/>
                <w:lang w:eastAsia="en-US"/>
              </w:rPr>
            </w:pPr>
            <w:r w:rsidRPr="00FB6FEC">
              <w:rPr>
                <w:rFonts w:ascii="Arial" w:eastAsia="Arial" w:hAnsi="Arial" w:cs="Arial"/>
                <w:b/>
                <w:sz w:val="18"/>
                <w:szCs w:val="18"/>
                <w:lang w:eastAsia="en-US"/>
              </w:rPr>
              <w:t>Updated in November 2021 for conforming and consequential amendments to the IAASB’s International Standards arising from the IAASB’s Quality Management Standards</w:t>
            </w:r>
            <w:r w:rsidRPr="00FB6FEC">
              <w:rPr>
                <w:rFonts w:ascii="Arial" w:eastAsia="Arial" w:hAnsi="Arial" w:cs="Arial"/>
                <w:b/>
                <w:bCs/>
                <w:sz w:val="22"/>
                <w:szCs w:val="20"/>
                <w:lang w:eastAsia="en-US"/>
              </w:rPr>
              <w:t>.</w:t>
            </w:r>
          </w:p>
          <w:p w14:paraId="00DC4623" w14:textId="77777777" w:rsidR="006E595B" w:rsidRPr="00FB6FEC" w:rsidRDefault="006E595B" w:rsidP="00B92444">
            <w:pPr>
              <w:spacing w:after="120" w:line="276" w:lineRule="auto"/>
              <w:jc w:val="both"/>
              <w:rPr>
                <w:rFonts w:ascii="Arial" w:eastAsia="Arial" w:hAnsi="Arial" w:cs="Arial"/>
                <w:sz w:val="18"/>
                <w:szCs w:val="18"/>
                <w:lang w:eastAsia="en-US"/>
              </w:rPr>
            </w:pPr>
            <w:r w:rsidRPr="00FB6FEC">
              <w:rPr>
                <w:rFonts w:ascii="Arial" w:eastAsia="Arial" w:hAnsi="Arial" w:cs="Arial"/>
                <w:sz w:val="18"/>
                <w:szCs w:val="18"/>
                <w:lang w:eastAsia="en-US"/>
              </w:rPr>
              <w:t>Effective date:</w:t>
            </w:r>
          </w:p>
          <w:p w14:paraId="1D7B6776" w14:textId="77777777" w:rsidR="006E595B" w:rsidRPr="00FB6FEC" w:rsidRDefault="006E595B" w:rsidP="006E595B">
            <w:pPr>
              <w:widowControl w:val="0"/>
              <w:numPr>
                <w:ilvl w:val="0"/>
                <w:numId w:val="60"/>
              </w:numPr>
              <w:autoSpaceDE w:val="0"/>
              <w:autoSpaceDN w:val="0"/>
              <w:adjustRightInd w:val="0"/>
              <w:spacing w:after="120" w:line="276" w:lineRule="auto"/>
              <w:contextualSpacing/>
              <w:jc w:val="both"/>
              <w:rPr>
                <w:rFonts w:ascii="Arial" w:eastAsia="Arial" w:hAnsi="Arial" w:cs="Arial"/>
                <w:sz w:val="18"/>
                <w:szCs w:val="18"/>
                <w:lang w:eastAsia="en-US"/>
              </w:rPr>
            </w:pPr>
            <w:r w:rsidRPr="00FB6FEC">
              <w:rPr>
                <w:rFonts w:ascii="Arial" w:eastAsia="Arial" w:hAnsi="Arial" w:cs="Arial"/>
                <w:sz w:val="18"/>
                <w:szCs w:val="18"/>
                <w:lang w:eastAsia="en-US"/>
              </w:rPr>
              <w:t>Audits and reviews of financial statements for periods beginning on or after 15 December 2022; and</w:t>
            </w:r>
          </w:p>
          <w:p w14:paraId="223CDCEE" w14:textId="74F20ABE" w:rsidR="006E595B" w:rsidRPr="00367F41" w:rsidRDefault="006E595B" w:rsidP="00487B66">
            <w:pPr>
              <w:widowControl w:val="0"/>
              <w:numPr>
                <w:ilvl w:val="0"/>
                <w:numId w:val="60"/>
              </w:numPr>
              <w:autoSpaceDE w:val="0"/>
              <w:autoSpaceDN w:val="0"/>
              <w:adjustRightInd w:val="0"/>
              <w:spacing w:after="120" w:line="276" w:lineRule="auto"/>
              <w:contextualSpacing/>
              <w:jc w:val="both"/>
              <w:rPr>
                <w:rFonts w:ascii="Arial" w:eastAsia="Arial" w:hAnsi="Arial" w:cs="Arial"/>
                <w:b/>
                <w:sz w:val="22"/>
                <w:szCs w:val="20"/>
                <w:lang w:eastAsia="en-US"/>
              </w:rPr>
            </w:pPr>
            <w:r w:rsidRPr="00FB6FEC">
              <w:rPr>
                <w:rFonts w:ascii="Arial" w:eastAsia="Arial" w:hAnsi="Arial" w:cs="Arial"/>
                <w:sz w:val="18"/>
                <w:szCs w:val="18"/>
                <w:lang w:eastAsia="en-US"/>
              </w:rPr>
              <w:t>Other assurance and related services engagements beginning on or after 15 December 2022.</w:t>
            </w:r>
          </w:p>
        </w:tc>
      </w:tr>
    </w:tbl>
    <w:p w14:paraId="1C3FD140" w14:textId="77777777" w:rsidR="006E595B" w:rsidRDefault="006E595B" w:rsidP="00246C5D">
      <w:pPr>
        <w:spacing w:after="120" w:line="312" w:lineRule="auto"/>
        <w:jc w:val="both"/>
        <w:rPr>
          <w:rFonts w:ascii="Arial" w:hAnsi="Arial" w:cs="Arial"/>
          <w:b/>
          <w:i/>
          <w:sz w:val="22"/>
          <w:szCs w:val="22"/>
        </w:rPr>
      </w:pPr>
    </w:p>
    <w:p w14:paraId="1C5D4A23" w14:textId="4FCB6BB7" w:rsidR="00246C5D" w:rsidRDefault="00246C5D" w:rsidP="00246C5D">
      <w:pPr>
        <w:spacing w:after="120" w:line="312" w:lineRule="auto"/>
        <w:jc w:val="both"/>
        <w:rPr>
          <w:rFonts w:ascii="Arial" w:hAnsi="Arial" w:cs="Arial"/>
          <w:b/>
          <w:i/>
          <w:sz w:val="22"/>
          <w:szCs w:val="22"/>
        </w:rPr>
      </w:pPr>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25F7D68D" w14:textId="77777777" w:rsidR="004635B5" w:rsidRPr="00CC2A13" w:rsidRDefault="004635B5" w:rsidP="004635B5">
            <w:pPr>
              <w:pStyle w:val="ListParagraph"/>
              <w:numPr>
                <w:ilvl w:val="0"/>
                <w:numId w:val="48"/>
              </w:numPr>
              <w:spacing w:after="120" w:line="312" w:lineRule="auto"/>
              <w:contextualSpacing w:val="0"/>
              <w:jc w:val="both"/>
              <w:rPr>
                <w:rFonts w:cs="Arial"/>
                <w:sz w:val="22"/>
                <w:szCs w:val="22"/>
                <w:lang w:val="it-IT"/>
              </w:rPr>
            </w:pPr>
            <w:r w:rsidRPr="00CC2A13">
              <w:rPr>
                <w:rFonts w:cs="Arial"/>
                <w:sz w:val="22"/>
                <w:szCs w:val="22"/>
                <w:lang w:val="it-IT"/>
              </w:rPr>
              <w:t xml:space="preserve">Criteria: ABC Limited’s reporting criteria </w:t>
            </w:r>
            <w:r w:rsidRPr="00CC2A13">
              <w:rPr>
                <w:rFonts w:cs="Arial"/>
                <w:sz w:val="22"/>
                <w:szCs w:val="22"/>
                <w:vertAlign w:val="superscript"/>
                <w:lang w:val="it-IT"/>
              </w:rPr>
              <w:t>[</w:t>
            </w:r>
            <w:r w:rsidRPr="00CC2A13">
              <w:rPr>
                <w:rFonts w:cs="Arial"/>
                <w:b/>
                <w:sz w:val="22"/>
                <w:szCs w:val="22"/>
                <w:vertAlign w:val="superscript"/>
                <w:lang w:val="it-IT"/>
              </w:rPr>
              <w:t>N2]</w:t>
            </w:r>
          </w:p>
          <w:p w14:paraId="654F5D0D" w14:textId="77777777" w:rsidR="004635B5"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Limited assurance engagement conducted in terms of ISAE 3000 (Revised) on the subject matter</w:t>
            </w:r>
          </w:p>
          <w:p w14:paraId="01DA1ABB" w14:textId="512E7311" w:rsidR="00A65EBA" w:rsidRPr="00CB6F14" w:rsidRDefault="008F1967" w:rsidP="003531B1">
            <w:pPr>
              <w:pStyle w:val="ListParagraph"/>
              <w:numPr>
                <w:ilvl w:val="0"/>
                <w:numId w:val="48"/>
              </w:numPr>
              <w:spacing w:after="120" w:line="312" w:lineRule="auto"/>
              <w:contextualSpacing w:val="0"/>
              <w:jc w:val="both"/>
              <w:rPr>
                <w:rFonts w:cs="Arial"/>
                <w:sz w:val="22"/>
                <w:szCs w:val="22"/>
              </w:rPr>
            </w:pPr>
            <w:r>
              <w:rPr>
                <w:rFonts w:cs="Arial"/>
                <w:sz w:val="22"/>
                <w:szCs w:val="22"/>
              </w:rPr>
              <w:t>The engagement has been assessed as having a</w:t>
            </w:r>
            <w:r w:rsidR="00A65EBA">
              <w:rPr>
                <w:rFonts w:cs="Arial"/>
                <w:sz w:val="22"/>
                <w:szCs w:val="22"/>
              </w:rPr>
              <w:t>ll preconditions for an assurance engagement</w:t>
            </w:r>
            <w:r w:rsidR="00BB5E31">
              <w:rPr>
                <w:rFonts w:cs="Arial"/>
                <w:sz w:val="22"/>
                <w:szCs w:val="22"/>
              </w:rPr>
              <w:t xml:space="preserve"> </w:t>
            </w:r>
            <w:r w:rsidR="00BB5E31" w:rsidRPr="00241D7F">
              <w:rPr>
                <w:rFonts w:cs="Arial"/>
                <w:sz w:val="22"/>
                <w:szCs w:val="22"/>
                <w:vertAlign w:val="superscript"/>
              </w:rPr>
              <w:t>[</w:t>
            </w:r>
            <w:r w:rsidR="00BB5E31" w:rsidRPr="00AD1601">
              <w:rPr>
                <w:rFonts w:cs="Arial"/>
                <w:b/>
                <w:sz w:val="22"/>
                <w:szCs w:val="22"/>
                <w:vertAlign w:val="superscript"/>
              </w:rPr>
              <w:t>N</w:t>
            </w:r>
            <w:r w:rsidR="00BB5E31">
              <w:rPr>
                <w:rFonts w:cs="Arial"/>
                <w:b/>
                <w:sz w:val="22"/>
                <w:szCs w:val="22"/>
                <w:vertAlign w:val="superscript"/>
              </w:rPr>
              <w:t>3</w:t>
            </w:r>
            <w:r w:rsidR="00BB5E31" w:rsidRPr="00AD1601">
              <w:rPr>
                <w:rFonts w:cs="Arial"/>
                <w:b/>
                <w:sz w:val="22"/>
                <w:szCs w:val="22"/>
                <w:vertAlign w:val="superscript"/>
              </w:rPr>
              <w:t>]</w:t>
            </w:r>
          </w:p>
          <w:p w14:paraId="645041C8" w14:textId="66F8B35A" w:rsidR="009B4251" w:rsidRPr="00FA018D" w:rsidRDefault="009B4251" w:rsidP="00867680">
            <w:pPr>
              <w:pStyle w:val="ListParagraph"/>
              <w:numPr>
                <w:ilvl w:val="0"/>
                <w:numId w:val="48"/>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3BE50878"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77777777" w:rsidR="00895114" w:rsidRPr="00FA018D" w:rsidRDefault="0007596C" w:rsidP="00671E38">
      <w:pPr>
        <w:pStyle w:val="Heading1"/>
        <w:spacing w:line="312" w:lineRule="auto"/>
        <w:jc w:val="both"/>
        <w:rPr>
          <w:rFonts w:cs="Arial"/>
          <w:sz w:val="22"/>
          <w:szCs w:val="22"/>
        </w:rPr>
      </w:pPr>
      <w:r w:rsidRPr="00FA018D">
        <w:rPr>
          <w:rFonts w:cs="Arial"/>
          <w:color w:val="365F91"/>
          <w:sz w:val="22"/>
          <w:szCs w:val="22"/>
        </w:rPr>
        <w:t xml:space="preserve">LIMITED 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7A4A2A13"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You have requested that we undertake a limited 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32545F">
        <w:rPr>
          <w:rFonts w:cs="Arial"/>
          <w:sz w:val="22"/>
          <w:szCs w:val="22"/>
          <w:lang w:val="en-ZA"/>
        </w:rPr>
        <w:t>(</w:t>
      </w:r>
      <w:r w:rsidR="0032545F" w:rsidRPr="0032545F">
        <w:rPr>
          <w:rFonts w:cs="Arial"/>
          <w:i/>
          <w:sz w:val="22"/>
          <w:szCs w:val="22"/>
          <w:lang w:val="en-ZA"/>
        </w:rPr>
        <w:t>insert date</w:t>
      </w:r>
      <w:r w:rsidR="0032545F">
        <w:rPr>
          <w:rFonts w:cs="Arial"/>
          <w:sz w:val="22"/>
          <w:szCs w:val="22"/>
          <w:lang w:val="en-ZA"/>
        </w:rPr>
        <w:t>)</w:t>
      </w:r>
      <w:r w:rsidRPr="00FA018D">
        <w:rPr>
          <w:rFonts w:cs="Arial"/>
          <w:sz w:val="22"/>
          <w:szCs w:val="22"/>
          <w:lang w:val="en-ZA"/>
        </w:rPr>
        <w:t xml:space="preserve"> (the Report). We are pleased to confirm our acceptance and our understanding of this limited assurance engagement by means of 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t>[</w:t>
      </w:r>
      <w:r w:rsidR="00664774" w:rsidRPr="00FA018D">
        <w:rPr>
          <w:rFonts w:cs="Arial"/>
          <w:i/>
          <w:sz w:val="22"/>
          <w:szCs w:val="22"/>
        </w:rPr>
        <w:t xml:space="preserve">health, </w:t>
      </w:r>
      <w:r w:rsidR="00664774" w:rsidRPr="00FA018D">
        <w:rPr>
          <w:rFonts w:cs="Arial"/>
          <w:i/>
          <w:sz w:val="22"/>
          <w:szCs w:val="22"/>
        </w:rPr>
        <w:lastRenderedPageBreak/>
        <w:t xml:space="preserve">safety, </w:t>
      </w:r>
      <w:r w:rsidR="004024EF" w:rsidRPr="00FA018D">
        <w:rPr>
          <w:rFonts w:cs="Arial"/>
          <w:i/>
          <w:sz w:val="22"/>
          <w:szCs w:val="22"/>
        </w:rPr>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36D673F4" w:rsidR="00895114" w:rsidRPr="00FA018D" w:rsidRDefault="00A85414" w:rsidP="00671E38">
      <w:pPr>
        <w:pStyle w:val="Heading2"/>
        <w:numPr>
          <w:ilvl w:val="0"/>
          <w:numId w:val="6"/>
        </w:numPr>
        <w:spacing w:after="120" w:line="312" w:lineRule="auto"/>
        <w:jc w:val="both"/>
        <w:rPr>
          <w:rFonts w:cs="Arial"/>
          <w:sz w:val="22"/>
          <w:szCs w:val="22"/>
        </w:rPr>
      </w:pPr>
      <w:r w:rsidRPr="00FA018D">
        <w:rPr>
          <w:rFonts w:cs="Arial"/>
          <w:sz w:val="22"/>
          <w:szCs w:val="22"/>
        </w:rPr>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p w14:paraId="53A597E5" w14:textId="4678E197"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provide l</w:t>
      </w:r>
      <w:r w:rsidR="00A3686C" w:rsidRPr="00FA018D">
        <w:rPr>
          <w:rFonts w:ascii="Arial" w:hAnsi="Arial" w:cs="Arial"/>
          <w:sz w:val="22"/>
          <w:szCs w:val="22"/>
          <w:lang w:val="en-ZA"/>
        </w:rPr>
        <w:t>imited assurance</w:t>
      </w:r>
      <w:r w:rsidR="00FA018D">
        <w:rPr>
          <w:rFonts w:ascii="Arial" w:hAnsi="Arial" w:cs="Arial"/>
          <w:sz w:val="22"/>
          <w:szCs w:val="22"/>
          <w:lang w:val="en-ZA"/>
        </w:rPr>
        <w:t xml:space="preserve"> </w:t>
      </w:r>
      <w:r w:rsidR="00A3686C" w:rsidRPr="00FA018D">
        <w:rPr>
          <w:rFonts w:ascii="Arial" w:hAnsi="Arial" w:cs="Arial"/>
          <w:sz w:val="22"/>
          <w:szCs w:val="22"/>
          <w:lang w:val="en-ZA"/>
        </w:rPr>
        <w:t xml:space="preserve">on the </w:t>
      </w:r>
      <w:r w:rsidR="00E01C49" w:rsidRPr="00FA018D">
        <w:rPr>
          <w:rFonts w:ascii="Arial" w:hAnsi="Arial" w:cs="Arial"/>
          <w:sz w:val="22"/>
          <w:szCs w:val="22"/>
          <w:lang w:val="en-ZA"/>
        </w:rPr>
        <w:t>following</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C031CA">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A93D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cBorders>
          </w:tcPr>
          <w:p w14:paraId="6C568F82" w14:textId="324575B6" w:rsidR="004024EF" w:rsidRPr="00FA018D" w:rsidRDefault="004024EF" w:rsidP="0056566C">
            <w:pPr>
              <w:keepNext/>
              <w:keepLines/>
              <w:spacing w:after="120" w:line="312" w:lineRule="auto"/>
              <w:rPr>
                <w:rFonts w:ascii="Arial" w:hAnsi="Arial" w:cs="Arial"/>
                <w:sz w:val="22"/>
                <w:szCs w:val="22"/>
              </w:rPr>
            </w:pPr>
            <w:r w:rsidRPr="00FA018D">
              <w:rPr>
                <w:rFonts w:ascii="Arial" w:hAnsi="Arial" w:cs="Arial"/>
                <w:sz w:val="22"/>
                <w:szCs w:val="22"/>
              </w:rPr>
              <w:lastRenderedPageBreak/>
              <w:t>Scope of limited assurance engagement</w:t>
            </w:r>
          </w:p>
        </w:tc>
      </w:tr>
      <w:tr w:rsidR="00FB382B" w:rsidRPr="00FA018D" w14:paraId="17EA8D9D" w14:textId="28749BD7" w:rsidTr="00A93D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2C10775" w14:textId="120826D5" w:rsidR="00FB382B" w:rsidRPr="00182908" w:rsidRDefault="00FB382B" w:rsidP="007E5DB0">
            <w:pPr>
              <w:keepNext/>
              <w:keepLines/>
              <w:spacing w:after="120" w:line="312" w:lineRule="auto"/>
              <w:rPr>
                <w:rFonts w:ascii="Arial" w:hAnsi="Arial" w:cs="Arial"/>
                <w:color w:val="000000" w:themeColor="text1"/>
                <w:sz w:val="22"/>
                <w:szCs w:val="22"/>
              </w:rPr>
            </w:pPr>
            <w:r w:rsidRPr="00182908">
              <w:rPr>
                <w:rFonts w:ascii="Arial" w:hAnsi="Arial" w:cs="Arial"/>
                <w:color w:val="000000" w:themeColor="text1"/>
                <w:sz w:val="22"/>
                <w:szCs w:val="22"/>
              </w:rPr>
              <w:t>Category</w:t>
            </w:r>
          </w:p>
        </w:tc>
        <w:tc>
          <w:tcPr>
            <w:tcW w:w="22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247D020" w14:textId="0D13EF13" w:rsidR="00FB382B" w:rsidRPr="00182908"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 xml:space="preserve">Selected </w:t>
            </w:r>
            <w:r w:rsidR="00CE2BE1" w:rsidRPr="00182908">
              <w:rPr>
                <w:rFonts w:ascii="Arial" w:hAnsi="Arial" w:cs="Arial"/>
                <w:color w:val="000000" w:themeColor="text1"/>
                <w:sz w:val="22"/>
                <w:szCs w:val="22"/>
              </w:rPr>
              <w:t>KPI</w:t>
            </w:r>
            <w:r w:rsidR="00FB382B" w:rsidRPr="00182908">
              <w:rPr>
                <w:rFonts w:ascii="Arial" w:hAnsi="Arial" w:cs="Arial"/>
                <w:color w:val="000000" w:themeColor="text1"/>
                <w:sz w:val="22"/>
                <w:szCs w:val="22"/>
              </w:rPr>
              <w:t>s</w:t>
            </w:r>
            <w:r w:rsidRPr="00182908">
              <w:rPr>
                <w:rStyle w:val="FootnoteReference"/>
                <w:rFonts w:ascii="Arial" w:hAnsi="Arial"/>
                <w:color w:val="000000" w:themeColor="text1"/>
                <w:sz w:val="22"/>
                <w:szCs w:val="22"/>
              </w:rPr>
              <w:footnoteReference w:id="1"/>
            </w:r>
          </w:p>
        </w:tc>
        <w:tc>
          <w:tcPr>
            <w:tcW w:w="2134"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68080D13" w14:textId="1AB9C446" w:rsidR="00FB382B" w:rsidRPr="00182908" w:rsidRDefault="00A93DCD">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 xml:space="preserve">Scope of </w:t>
            </w:r>
            <w:r w:rsidR="00A85D91" w:rsidRPr="00182908">
              <w:rPr>
                <w:rFonts w:ascii="Arial" w:hAnsi="Arial" w:cs="Arial"/>
                <w:color w:val="000000" w:themeColor="text1"/>
                <w:sz w:val="22"/>
                <w:szCs w:val="22"/>
              </w:rPr>
              <w:t>C</w:t>
            </w:r>
            <w:r w:rsidR="000A6EA2" w:rsidRPr="00182908">
              <w:rPr>
                <w:rFonts w:ascii="Arial" w:hAnsi="Arial" w:cs="Arial"/>
                <w:color w:val="000000" w:themeColor="text1"/>
                <w:sz w:val="22"/>
                <w:szCs w:val="22"/>
              </w:rPr>
              <w:t>overage</w:t>
            </w:r>
          </w:p>
        </w:tc>
        <w:tc>
          <w:tcPr>
            <w:tcW w:w="16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C8B5E8D" w14:textId="0D59F18A" w:rsidR="00FB382B" w:rsidRPr="00182908"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Reporting criteria</w:t>
            </w:r>
          </w:p>
        </w:tc>
      </w:tr>
      <w:tr w:rsidR="00FB382B" w:rsidRPr="00FA018D" w14:paraId="52CBF99A" w14:textId="29B6F9BA" w:rsidTr="00A93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left w:val="single" w:sz="4" w:space="0" w:color="548DD4"/>
              <w:bottom w:val="single" w:sz="4" w:space="0" w:color="548DD4"/>
              <w:right w:val="single" w:sz="4" w:space="0" w:color="548DD4"/>
            </w:tcBorders>
          </w:tcPr>
          <w:p w14:paraId="737C7695" w14:textId="2E026E4A"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19A2809F" w14:textId="2E4DDA96"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D029AC0" w14:textId="7BC76DD4"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7B8361A1" w14:textId="2CCD46D8" w:rsidR="00FB382B" w:rsidRPr="00FA018D" w:rsidRDefault="00FB382B" w:rsidP="00A93DCD">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548DD4"/>
              <w:left w:val="single" w:sz="4" w:space="0" w:color="548DD4"/>
              <w:bottom w:val="single" w:sz="4" w:space="0" w:color="548DD4"/>
              <w:right w:val="single" w:sz="4" w:space="0" w:color="548DD4"/>
            </w:tcBorders>
          </w:tcPr>
          <w:p w14:paraId="7A4561F5" w14:textId="412B3141"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9D73B9">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548DD4"/>
              <w:left w:val="single" w:sz="4" w:space="0" w:color="548DD4"/>
              <w:bottom w:val="single" w:sz="4" w:space="0" w:color="548DD4"/>
              <w:right w:val="single" w:sz="4" w:space="0" w:color="548DD4"/>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26733D8A"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41C6A37B" w14:textId="1E8F29D7" w:rsidTr="00A93DCD">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6335DB0" w14:textId="1B07D5ED"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3BBC1DE" w14:textId="5A238470"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spend </w:t>
            </w:r>
          </w:p>
          <w:p w14:paraId="5149D8FB" w14:textId="1F9CB0D4"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2B9E137D" w14:textId="59387D52" w:rsidR="00FB382B" w:rsidRPr="00FA018D" w:rsidRDefault="00FB382B" w:rsidP="00A93DCD">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00DE452D" w:rsidRPr="00FA018D">
              <w:rPr>
                <w:rStyle w:val="FootnoteReference"/>
                <w:sz w:val="22"/>
                <w:szCs w:val="22"/>
              </w:rPr>
              <w:footnoteReference w:id="2"/>
            </w:r>
            <w:r w:rsidRPr="00FA018D">
              <w:rPr>
                <w:rFonts w:cs="Arial"/>
                <w:sz w:val="22"/>
                <w:szCs w:val="22"/>
              </w:rPr>
              <w:t xml:space="preserve"> in management </w:t>
            </w:r>
          </w:p>
        </w:tc>
        <w:tc>
          <w:tcPr>
            <w:tcW w:w="2134"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6A5E6146" w14:textId="77777777"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544E675" w14:textId="571FE3D3"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00DE452D" w:rsidRPr="00FA018D">
              <w:rPr>
                <w:rStyle w:val="FootnoteReference"/>
                <w:rFonts w:ascii="Arial" w:hAnsi="Arial"/>
                <w:sz w:val="22"/>
                <w:szCs w:val="22"/>
              </w:rPr>
              <w:footnoteReference w:id="3"/>
            </w:r>
            <w:r w:rsidRPr="00FA018D">
              <w:rPr>
                <w:rFonts w:ascii="Arial" w:hAnsi="Arial" w:cs="Arial"/>
                <w:sz w:val="22"/>
                <w:szCs w:val="22"/>
              </w:rPr>
              <w:t xml:space="preserve"> supported by internal guidelines</w:t>
            </w:r>
          </w:p>
        </w:tc>
      </w:tr>
      <w:tr w:rsidR="00FB382B" w:rsidRPr="00FA018D" w14:paraId="1DC5E5F1" w14:textId="6F4A1009" w:rsidTr="00A93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D0D826A" w14:textId="672C977E" w:rsidR="00323E88" w:rsidRPr="00FA018D" w:rsidRDefault="00FB382B" w:rsidP="007E5DB0">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Lost time injury frequency rate </w:t>
            </w:r>
          </w:p>
          <w:p w14:paraId="0086DFDC" w14:textId="34BC9B69" w:rsidR="00FB382B" w:rsidRPr="00FA018D" w:rsidRDefault="00FB382B" w:rsidP="00A93DCD">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Number of noise induced hearing loss cases (NIHL) of more than 10%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146A21C" w14:textId="77777777"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7561B17" w14:textId="5D52ED8A"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4"/>
            </w:r>
          </w:p>
        </w:tc>
      </w:tr>
    </w:tbl>
    <w:p w14:paraId="0368439C" w14:textId="77777777" w:rsidR="00887F42" w:rsidRDefault="00887F42" w:rsidP="00887F42">
      <w:pPr>
        <w:pStyle w:val="Heading2"/>
        <w:spacing w:after="120" w:line="312" w:lineRule="auto"/>
        <w:jc w:val="both"/>
        <w:rPr>
          <w:rFonts w:cs="Arial"/>
          <w:sz w:val="22"/>
          <w:szCs w:val="22"/>
        </w:rPr>
      </w:pPr>
    </w:p>
    <w:p w14:paraId="3E58ADB0" w14:textId="37ABF51B" w:rsidR="00542FBD" w:rsidRPr="00FA018D" w:rsidRDefault="00641BCB" w:rsidP="00542FBD">
      <w:pPr>
        <w:pStyle w:val="Heading2"/>
        <w:numPr>
          <w:ilvl w:val="0"/>
          <w:numId w:val="6"/>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0357D3">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5AE6D1E4"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9F66B9">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9F66B9">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684313">
        <w:rPr>
          <w:rFonts w:cs="Arial"/>
          <w:sz w:val="22"/>
          <w:szCs w:val="22"/>
        </w:rPr>
        <w:t xml:space="preserve">You are also responsible </w:t>
      </w:r>
      <w:r w:rsidR="003526EF">
        <w:rPr>
          <w:rFonts w:cs="Arial"/>
          <w:sz w:val="22"/>
          <w:szCs w:val="22"/>
        </w:rPr>
        <w:t xml:space="preserve">for </w:t>
      </w:r>
      <w:r w:rsidR="00684313" w:rsidRPr="00A11E23">
        <w:rPr>
          <w:rFonts w:cs="Arial"/>
          <w:sz w:val="22"/>
          <w:szCs w:val="22"/>
        </w:rPr>
        <w:t>determining the appropriateness of the measurement and reporting criteri</w:t>
      </w:r>
      <w:r w:rsidR="00684313">
        <w:rPr>
          <w:rFonts w:cs="Arial"/>
          <w:sz w:val="22"/>
          <w:szCs w:val="22"/>
        </w:rPr>
        <w:t xml:space="preserve">a in view of the intended users </w:t>
      </w:r>
      <w:r w:rsidR="00684313" w:rsidRPr="00A11E23">
        <w:rPr>
          <w:rFonts w:cs="Arial"/>
          <w:sz w:val="22"/>
          <w:szCs w:val="22"/>
        </w:rPr>
        <w:t xml:space="preserve">of the </w:t>
      </w:r>
      <w:r w:rsidR="00684313">
        <w:rPr>
          <w:rFonts w:cs="Arial"/>
          <w:sz w:val="22"/>
          <w:szCs w:val="22"/>
        </w:rPr>
        <w:t>selected KPIs</w:t>
      </w:r>
      <w:r w:rsidR="00684313" w:rsidRPr="00A11E23">
        <w:rPr>
          <w:rFonts w:cs="Arial"/>
          <w:sz w:val="22"/>
          <w:szCs w:val="22"/>
        </w:rPr>
        <w:t xml:space="preserve"> and for ensuring that those criteria are publicly available to the Report users</w:t>
      </w:r>
      <w:r w:rsidR="00684313">
        <w:rPr>
          <w:rFonts w:cs="Arial"/>
          <w:sz w:val="22"/>
          <w:szCs w:val="22"/>
        </w:rPr>
        <w:t>.</w:t>
      </w:r>
    </w:p>
    <w:p w14:paraId="217A03A8" w14:textId="640F03CC" w:rsidR="00E75313" w:rsidRPr="00FA018D" w:rsidRDefault="00E75313" w:rsidP="00671E38">
      <w:pPr>
        <w:pStyle w:val="Heading2"/>
        <w:numPr>
          <w:ilvl w:val="0"/>
          <w:numId w:val="6"/>
        </w:numPr>
        <w:spacing w:after="120" w:line="312" w:lineRule="auto"/>
        <w:jc w:val="both"/>
        <w:rPr>
          <w:rFonts w:cs="Arial"/>
          <w:i/>
          <w:sz w:val="22"/>
          <w:szCs w:val="22"/>
        </w:rPr>
      </w:pPr>
      <w:r w:rsidRPr="00FA018D">
        <w:rPr>
          <w:rFonts w:cs="Arial"/>
          <w:sz w:val="22"/>
          <w:szCs w:val="22"/>
        </w:rPr>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CC2A13">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CA12B13" w14:textId="1AFC8F08" w:rsidR="00A85414" w:rsidRPr="0048365A" w:rsidRDefault="00A85414" w:rsidP="0048365A">
      <w:pPr>
        <w:pStyle w:val="Heading2"/>
        <w:numPr>
          <w:ilvl w:val="0"/>
          <w:numId w:val="6"/>
        </w:numPr>
        <w:spacing w:after="120" w:line="312" w:lineRule="auto"/>
        <w:jc w:val="both"/>
        <w:rPr>
          <w:rFonts w:cs="Arial"/>
          <w:sz w:val="22"/>
          <w:szCs w:val="22"/>
        </w:rPr>
      </w:pPr>
      <w:r w:rsidRPr="0048748F">
        <w:rPr>
          <w:rFonts w:cs="Arial"/>
          <w:bCs w:val="0"/>
          <w:sz w:val="22"/>
          <w:szCs w:val="22"/>
        </w:rPr>
        <w:t xml:space="preserve">Our independence and quality </w:t>
      </w:r>
      <w:r w:rsidR="006E595B">
        <w:rPr>
          <w:rFonts w:cs="Arial"/>
          <w:bCs w:val="0"/>
          <w:sz w:val="22"/>
          <w:szCs w:val="22"/>
        </w:rPr>
        <w:t>management</w:t>
      </w:r>
      <w:r w:rsidR="006E595B" w:rsidRPr="00B506D8">
        <w:rPr>
          <w:rFonts w:cs="Arial"/>
          <w:b w:val="0"/>
          <w:sz w:val="22"/>
          <w:szCs w:val="22"/>
        </w:rPr>
        <w:t xml:space="preserve"> </w:t>
      </w:r>
      <w:r w:rsidR="004C7B38" w:rsidRPr="0048365A">
        <w:rPr>
          <w:rFonts w:cs="Arial"/>
          <w:bCs w:val="0"/>
          <w:color w:val="auto"/>
          <w:sz w:val="22"/>
          <w:szCs w:val="22"/>
          <w:vertAlign w:val="superscript"/>
        </w:rPr>
        <w:t>[N9</w:t>
      </w:r>
      <w:r w:rsidR="004C7B38" w:rsidRPr="0048365A">
        <w:rPr>
          <w:rFonts w:cs="Arial"/>
          <w:color w:val="auto"/>
          <w:sz w:val="22"/>
          <w:szCs w:val="22"/>
          <w:vertAlign w:val="superscript"/>
        </w:rPr>
        <w:t>]</w:t>
      </w:r>
    </w:p>
    <w:p w14:paraId="2F220839" w14:textId="38CEE52B" w:rsidR="00681078" w:rsidRPr="0012167B" w:rsidRDefault="0012167B" w:rsidP="0012167B">
      <w:pPr>
        <w:jc w:val="both"/>
        <w:rPr>
          <w:rFonts w:ascii="Arial" w:hAnsi="Arial" w:cs="Arial"/>
        </w:rPr>
      </w:pPr>
      <w:r w:rsidRPr="0012167B">
        <w:rPr>
          <w:rFonts w:ascii="Arial" w:hAnsi="Arial" w:cs="Arial"/>
          <w:sz w:val="22"/>
          <w:szCs w:val="22"/>
          <w:lang w:val="en-ZA"/>
        </w:rPr>
        <w:t xml:space="preserve">We </w:t>
      </w:r>
      <w:r w:rsidRPr="0012167B">
        <w:rPr>
          <w:rFonts w:ascii="Arial" w:hAnsi="Arial" w:cs="Arial"/>
          <w:bCs/>
          <w:sz w:val="22"/>
          <w:szCs w:val="22"/>
          <w:lang w:val="en-ZA"/>
        </w:rPr>
        <w:t>are required to comply</w:t>
      </w:r>
      <w:r w:rsidRPr="0012167B">
        <w:rPr>
          <w:rFonts w:ascii="Arial" w:hAnsi="Arial" w:cs="Arial"/>
          <w:sz w:val="22"/>
          <w:szCs w:val="22"/>
          <w:lang w:val="en-ZA"/>
        </w:rPr>
        <w:t xml:space="preserve"> with the independence and other ethical requirements of the </w:t>
      </w:r>
      <w:r w:rsidRPr="0012167B">
        <w:rPr>
          <w:rFonts w:ascii="Arial" w:hAnsi="Arial" w:cs="Arial"/>
          <w:sz w:val="22"/>
          <w:szCs w:val="22"/>
        </w:rPr>
        <w:t xml:space="preserve">the </w:t>
      </w:r>
      <w:r w:rsidRPr="0012167B">
        <w:rPr>
          <w:rFonts w:ascii="Arial" w:eastAsiaTheme="minorHAnsi" w:hAnsi="Arial" w:cs="Arial"/>
          <w:i/>
          <w:sz w:val="22"/>
          <w:szCs w:val="22"/>
        </w:rPr>
        <w:t>International Code of Ethics for Professional Accountants (including International Independence Standards)</w:t>
      </w:r>
      <w:r w:rsidRPr="0012167B">
        <w:rPr>
          <w:rFonts w:ascii="Arial" w:hAnsi="Arial" w:cs="Arial"/>
          <w:sz w:val="22"/>
          <w:szCs w:val="22"/>
        </w:rPr>
        <w:t xml:space="preserve"> issued by the International Ethics Standards Board for Accountants,</w:t>
      </w:r>
      <w:r w:rsidRPr="0012167B">
        <w:rPr>
          <w:rFonts w:ascii="Arial" w:hAnsi="Arial" w:cs="Arial"/>
          <w:sz w:val="22"/>
          <w:szCs w:val="22"/>
          <w:lang w:val="en-ZA"/>
        </w:rPr>
        <w:t xml:space="preserve"> which are founded on fundamental principles of integrity, objectivity, professional competence and due care, confidentiality and professional behaviour.</w:t>
      </w:r>
    </w:p>
    <w:p w14:paraId="71F59A75" w14:textId="77777777" w:rsidR="00E90A1E" w:rsidRPr="00FA018D" w:rsidRDefault="00E90A1E" w:rsidP="00671E38">
      <w:pPr>
        <w:pStyle w:val="BodyText"/>
        <w:spacing w:after="120" w:line="312" w:lineRule="auto"/>
        <w:jc w:val="both"/>
        <w:rPr>
          <w:rFonts w:cs="Arial"/>
          <w:sz w:val="22"/>
          <w:szCs w:val="22"/>
        </w:rPr>
      </w:pPr>
    </w:p>
    <w:p w14:paraId="1DFE235D" w14:textId="5AB1C3ED"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w:t>
      </w:r>
      <w:r w:rsidR="006E595B">
        <w:rPr>
          <w:rFonts w:cs="Arial"/>
          <w:sz w:val="22"/>
          <w:szCs w:val="22"/>
        </w:rPr>
        <w:t>Management</w:t>
      </w:r>
      <w:r w:rsidR="0012167B">
        <w:rPr>
          <w:rFonts w:cs="Arial"/>
          <w:sz w:val="22"/>
          <w:szCs w:val="22"/>
        </w:rPr>
        <w:t xml:space="preserve"> </w:t>
      </w:r>
      <w:r w:rsidR="00664774" w:rsidRPr="00FA018D">
        <w:rPr>
          <w:rFonts w:cs="Arial"/>
          <w:sz w:val="22"/>
          <w:szCs w:val="22"/>
        </w:rPr>
        <w:t xml:space="preserve">1, </w:t>
      </w:r>
      <w:r w:rsidR="006E595B" w:rsidRPr="006E595B">
        <w:rPr>
          <w:rFonts w:cs="Arial"/>
          <w:sz w:val="22"/>
          <w:szCs w:val="22"/>
        </w:rPr>
        <w:t xml:space="preserve">which requires the firm to design, implement and operate a system of quality management including policies or </w:t>
      </w:r>
      <w:r w:rsidR="00664774" w:rsidRPr="00FA018D">
        <w:rPr>
          <w:rFonts w:cs="Arial"/>
          <w:sz w:val="22"/>
          <w:szCs w:val="22"/>
        </w:rPr>
        <w:t xml:space="preserve">procedures regarding compliance with ethical requirements, professional standards and applicable legal and regulatory requirements. </w:t>
      </w:r>
    </w:p>
    <w:p w14:paraId="335BF6BC" w14:textId="2AAEFF9A" w:rsidR="00895114" w:rsidRPr="00FA018D" w:rsidRDefault="00895114" w:rsidP="00671E38">
      <w:pPr>
        <w:pStyle w:val="Heading2"/>
        <w:numPr>
          <w:ilvl w:val="0"/>
          <w:numId w:val="6"/>
        </w:numPr>
        <w:spacing w:after="120" w:line="312" w:lineRule="auto"/>
        <w:jc w:val="both"/>
        <w:rPr>
          <w:rFonts w:cs="Arial"/>
          <w:b w:val="0"/>
          <w:bCs w:val="0"/>
          <w:sz w:val="22"/>
          <w:szCs w:val="22"/>
        </w:rPr>
      </w:pPr>
      <w:r w:rsidRPr="00FA018D">
        <w:rPr>
          <w:rFonts w:cs="Arial"/>
          <w:sz w:val="22"/>
          <w:szCs w:val="22"/>
        </w:rPr>
        <w:t>Responsibilit</w:t>
      </w:r>
      <w:r w:rsidR="002E5530" w:rsidRPr="00FA018D">
        <w:rPr>
          <w:rFonts w:cs="Arial"/>
          <w:sz w:val="22"/>
          <w:szCs w:val="22"/>
        </w:rPr>
        <w:t xml:space="preserve">ies of the assurance </w:t>
      </w:r>
      <w:r w:rsidR="00FB14F2">
        <w:rPr>
          <w:rFonts w:cs="Arial"/>
          <w:sz w:val="22"/>
          <w:szCs w:val="22"/>
        </w:rPr>
        <w:t>practitioner</w:t>
      </w:r>
    </w:p>
    <w:p w14:paraId="6A1556CC" w14:textId="31F65015" w:rsidR="007E3160" w:rsidRPr="00FA018D" w:rsidRDefault="007E3160" w:rsidP="00671E38">
      <w:pPr>
        <w:pStyle w:val="BodyText"/>
        <w:spacing w:after="120" w:line="312" w:lineRule="auto"/>
        <w:jc w:val="both"/>
        <w:rPr>
          <w:rFonts w:cs="Arial"/>
          <w:sz w:val="22"/>
          <w:szCs w:val="22"/>
        </w:rPr>
      </w:pPr>
      <w:r w:rsidRPr="00FA018D">
        <w:rPr>
          <w:rFonts w:cs="Arial"/>
          <w:sz w:val="22"/>
          <w:szCs w:val="22"/>
        </w:rPr>
        <w:t xml:space="preserve">Our responsibility is to </w:t>
      </w:r>
      <w:r w:rsidR="002E5530" w:rsidRPr="00FA018D">
        <w:rPr>
          <w:rFonts w:cs="Arial"/>
          <w:sz w:val="22"/>
          <w:szCs w:val="22"/>
        </w:rPr>
        <w:t>perform our limited assurance</w:t>
      </w:r>
      <w:r w:rsidR="00960669" w:rsidRPr="00FA018D">
        <w:rPr>
          <w:rFonts w:cs="Arial"/>
          <w:sz w:val="22"/>
          <w:szCs w:val="22"/>
        </w:rPr>
        <w:t xml:space="preserve"> </w:t>
      </w:r>
      <w:r w:rsidR="002E5530" w:rsidRPr="00FA018D">
        <w:rPr>
          <w:rFonts w:cs="Arial"/>
          <w:sz w:val="22"/>
          <w:szCs w:val="22"/>
        </w:rPr>
        <w:t xml:space="preserve">engagement so that we are able to </w:t>
      </w:r>
      <w:r w:rsidRPr="00FA018D">
        <w:rPr>
          <w:rFonts w:cs="Arial"/>
          <w:sz w:val="22"/>
          <w:szCs w:val="22"/>
        </w:rPr>
        <w:t>express</w:t>
      </w:r>
      <w:r w:rsidR="002E5530" w:rsidRPr="00FA018D">
        <w:rPr>
          <w:rFonts w:cs="Arial"/>
          <w:sz w:val="22"/>
          <w:szCs w:val="22"/>
        </w:rPr>
        <w:t xml:space="preserve"> our</w:t>
      </w:r>
      <w:r w:rsidRPr="00FA018D">
        <w:rPr>
          <w:rFonts w:cs="Arial"/>
          <w:sz w:val="22"/>
          <w:szCs w:val="22"/>
        </w:rPr>
        <w:t xml:space="preserve"> limited assurance conclusion on </w:t>
      </w:r>
      <w:r w:rsidR="002E5530" w:rsidRPr="00FA018D">
        <w:rPr>
          <w:rFonts w:cs="Arial"/>
          <w:sz w:val="22"/>
          <w:szCs w:val="22"/>
        </w:rPr>
        <w:t xml:space="preserve">whether </w:t>
      </w:r>
      <w:r w:rsidR="00071255">
        <w:rPr>
          <w:rFonts w:cs="Arial"/>
          <w:sz w:val="22"/>
          <w:szCs w:val="22"/>
        </w:rPr>
        <w:t>anything</w:t>
      </w:r>
      <w:r w:rsidR="00071255" w:rsidRPr="00FA018D">
        <w:rPr>
          <w:rFonts w:cs="Arial"/>
          <w:sz w:val="22"/>
          <w:szCs w:val="22"/>
        </w:rPr>
        <w:t xml:space="preserve"> </w:t>
      </w:r>
      <w:r w:rsidR="008807D4" w:rsidRPr="00FA018D">
        <w:rPr>
          <w:rFonts w:cs="Arial"/>
          <w:sz w:val="22"/>
          <w:szCs w:val="22"/>
        </w:rPr>
        <w:t xml:space="preserve">has come to our attention that causes us to believe that </w:t>
      </w:r>
      <w:r w:rsidRPr="00FA018D">
        <w:rPr>
          <w:rFonts w:cs="Arial"/>
          <w:sz w:val="22"/>
          <w:szCs w:val="22"/>
        </w:rPr>
        <w:t xml:space="preserve">the selected </w:t>
      </w:r>
      <w:r w:rsidR="008A4004" w:rsidRPr="00FA018D">
        <w:rPr>
          <w:rFonts w:cs="Arial"/>
          <w:sz w:val="22"/>
          <w:szCs w:val="22"/>
        </w:rPr>
        <w:t>KPIs</w:t>
      </w:r>
      <w:r w:rsidRPr="00FA018D">
        <w:rPr>
          <w:rFonts w:cs="Arial"/>
          <w:sz w:val="22"/>
          <w:szCs w:val="22"/>
        </w:rPr>
        <w:t xml:space="preserve"> </w:t>
      </w:r>
      <w:r w:rsidR="002E5530" w:rsidRPr="00FA018D">
        <w:rPr>
          <w:rFonts w:cs="Arial"/>
          <w:sz w:val="22"/>
          <w:szCs w:val="22"/>
        </w:rPr>
        <w:t xml:space="preserve">are </w:t>
      </w:r>
      <w:r w:rsidR="008807D4" w:rsidRPr="00FA018D">
        <w:rPr>
          <w:rFonts w:cs="Arial"/>
          <w:sz w:val="22"/>
          <w:szCs w:val="22"/>
        </w:rPr>
        <w:t xml:space="preserve">not </w:t>
      </w:r>
      <w:r w:rsidR="002E5530" w:rsidRPr="00FA018D">
        <w:rPr>
          <w:rFonts w:cs="Arial"/>
          <w:sz w:val="22"/>
          <w:szCs w:val="22"/>
        </w:rPr>
        <w:t>prepared</w:t>
      </w:r>
      <w:r w:rsidR="008807D4" w:rsidRPr="00FA018D">
        <w:rPr>
          <w:rFonts w:cs="Arial"/>
          <w:sz w:val="22"/>
          <w:szCs w:val="22"/>
        </w:rPr>
        <w:t>, in all material respects,</w:t>
      </w:r>
      <w:r w:rsidR="002E5530" w:rsidRPr="00FA018D">
        <w:rPr>
          <w:rFonts w:cs="Arial"/>
          <w:sz w:val="22"/>
          <w:szCs w:val="22"/>
        </w:rPr>
        <w:t xml:space="preserve"> in accordance with </w:t>
      </w:r>
      <w:r w:rsidR="00EE4970" w:rsidRPr="00FA018D">
        <w:rPr>
          <w:rFonts w:cs="Arial"/>
          <w:sz w:val="22"/>
          <w:szCs w:val="22"/>
        </w:rPr>
        <w:t>ABC’s reporting criteria</w:t>
      </w:r>
      <w:r w:rsidRPr="00FA018D">
        <w:rPr>
          <w:rFonts w:cs="Arial"/>
          <w:sz w:val="22"/>
          <w:szCs w:val="22"/>
        </w:rPr>
        <w:t xml:space="preserve">. We </w:t>
      </w:r>
      <w:r w:rsidR="002E5530" w:rsidRPr="00FA018D">
        <w:rPr>
          <w:rFonts w:cs="Arial"/>
          <w:sz w:val="22"/>
          <w:szCs w:val="22"/>
        </w:rPr>
        <w:t xml:space="preserve">will </w:t>
      </w:r>
      <w:r w:rsidRPr="00FA018D">
        <w:rPr>
          <w:rFonts w:cs="Arial"/>
          <w:sz w:val="22"/>
          <w:szCs w:val="22"/>
        </w:rPr>
        <w:t xml:space="preserve">conduct our </w:t>
      </w:r>
      <w:r w:rsidR="008807D4" w:rsidRPr="00FA018D">
        <w:rPr>
          <w:rFonts w:cs="Arial"/>
          <w:sz w:val="22"/>
          <w:szCs w:val="22"/>
        </w:rPr>
        <w:t xml:space="preserve">assurance </w:t>
      </w:r>
      <w:r w:rsidRPr="00FA018D">
        <w:rPr>
          <w:rFonts w:cs="Arial"/>
          <w:sz w:val="22"/>
          <w:szCs w:val="22"/>
        </w:rPr>
        <w:t>engagement in accordance with the International Standard on Assurance Engagements (ISAE) 3000</w:t>
      </w:r>
      <w:r w:rsidR="002A01BC" w:rsidRPr="00FA018D">
        <w:rPr>
          <w:rFonts w:cs="Arial"/>
          <w:sz w:val="22"/>
          <w:szCs w:val="22"/>
        </w:rPr>
        <w:t xml:space="preserve"> (Revised)</w:t>
      </w:r>
      <w:r w:rsidRPr="00FA018D">
        <w:rPr>
          <w:rFonts w:cs="Arial"/>
          <w:sz w:val="22"/>
          <w:szCs w:val="22"/>
          <w:vertAlign w:val="superscript"/>
        </w:rPr>
        <w:t>[</w:t>
      </w:r>
      <w:r w:rsidR="00E433B0" w:rsidRPr="00FA018D">
        <w:rPr>
          <w:rFonts w:cs="Arial"/>
          <w:b/>
          <w:sz w:val="22"/>
          <w:szCs w:val="22"/>
          <w:vertAlign w:val="superscript"/>
        </w:rPr>
        <w:t>N1</w:t>
      </w:r>
      <w:r w:rsidR="00CC2A13">
        <w:rPr>
          <w:rFonts w:cs="Arial"/>
          <w:b/>
          <w:sz w:val="22"/>
          <w:szCs w:val="22"/>
          <w:vertAlign w:val="superscript"/>
        </w:rPr>
        <w:t>1</w:t>
      </w:r>
      <w:r w:rsidRPr="00FA018D">
        <w:rPr>
          <w:rFonts w:cs="Arial"/>
          <w:b/>
          <w:sz w:val="22"/>
          <w:szCs w:val="22"/>
          <w:vertAlign w:val="superscript"/>
        </w:rPr>
        <w:t>]</w:t>
      </w:r>
      <w:r w:rsidRPr="00FA018D">
        <w:rPr>
          <w:rFonts w:cs="Arial"/>
          <w:sz w:val="22"/>
          <w:szCs w:val="22"/>
        </w:rPr>
        <w:t xml:space="preserve">, </w:t>
      </w:r>
      <w:r w:rsidRPr="00FA018D">
        <w:rPr>
          <w:rFonts w:cs="Arial"/>
          <w:i/>
          <w:sz w:val="22"/>
          <w:szCs w:val="22"/>
        </w:rPr>
        <w:t>Assurance Engagements other than the Audits or Reviews of Historical Financial Information</w:t>
      </w:r>
      <w:r w:rsidRPr="00FA018D">
        <w:rPr>
          <w:rFonts w:cs="Arial"/>
          <w:sz w:val="22"/>
          <w:szCs w:val="22"/>
        </w:rPr>
        <w:t xml:space="preserve">, issued by the International Auditing and Assurance Standards Board. </w:t>
      </w:r>
      <w:r w:rsidR="008807D4" w:rsidRPr="00FA018D">
        <w:rPr>
          <w:rFonts w:cs="Arial"/>
          <w:sz w:val="22"/>
          <w:szCs w:val="22"/>
        </w:rPr>
        <w:t xml:space="preserve">That </w:t>
      </w:r>
      <w:r w:rsidRPr="00FA018D">
        <w:rPr>
          <w:rFonts w:cs="Arial"/>
          <w:sz w:val="22"/>
          <w:szCs w:val="22"/>
        </w:rPr>
        <w:t xml:space="preserve">Standard requires </w:t>
      </w:r>
      <w:r w:rsidR="002E5530" w:rsidRPr="00FA018D">
        <w:rPr>
          <w:rFonts w:cs="Arial"/>
          <w:sz w:val="22"/>
          <w:szCs w:val="22"/>
        </w:rPr>
        <w:t xml:space="preserve">us to </w:t>
      </w:r>
      <w:r w:rsidRPr="00FA018D">
        <w:rPr>
          <w:rFonts w:cs="Arial"/>
          <w:sz w:val="22"/>
          <w:szCs w:val="22"/>
        </w:rPr>
        <w:t xml:space="preserve">plan and perform our engagement to obtain limited assurance about whether the selected </w:t>
      </w:r>
      <w:r w:rsidR="008A4004" w:rsidRPr="00FA018D">
        <w:rPr>
          <w:rFonts w:cs="Arial"/>
          <w:sz w:val="22"/>
          <w:szCs w:val="22"/>
        </w:rPr>
        <w:t>KPIs</w:t>
      </w:r>
      <w:r w:rsidR="002E5530" w:rsidRPr="00FA018D">
        <w:rPr>
          <w:rFonts w:cs="Arial"/>
          <w:sz w:val="22"/>
          <w:szCs w:val="22"/>
        </w:rPr>
        <w:t xml:space="preserve"> are</w:t>
      </w:r>
      <w:r w:rsidRPr="00FA018D">
        <w:rPr>
          <w:rFonts w:cs="Arial"/>
          <w:sz w:val="22"/>
          <w:szCs w:val="22"/>
        </w:rPr>
        <w:t xml:space="preserve"> </w:t>
      </w:r>
      <w:r w:rsidR="008807D4" w:rsidRPr="00FA018D">
        <w:rPr>
          <w:rFonts w:cs="Arial"/>
          <w:sz w:val="22"/>
          <w:szCs w:val="22"/>
        </w:rPr>
        <w:t>free from material misstatement</w:t>
      </w:r>
      <w:r w:rsidRPr="00FA018D">
        <w:rPr>
          <w:rFonts w:cs="Arial"/>
          <w:sz w:val="22"/>
          <w:szCs w:val="22"/>
        </w:rPr>
        <w:t xml:space="preserve">. </w:t>
      </w:r>
    </w:p>
    <w:p w14:paraId="4FAFBB68" w14:textId="671756F9" w:rsidR="00A7713F" w:rsidRPr="00FA018D" w:rsidRDefault="007E3160" w:rsidP="00671E38">
      <w:pPr>
        <w:spacing w:after="120" w:line="312" w:lineRule="auto"/>
        <w:jc w:val="both"/>
        <w:rPr>
          <w:rFonts w:ascii="Arial" w:hAnsi="Arial" w:cs="Arial"/>
          <w:sz w:val="22"/>
          <w:szCs w:val="22"/>
        </w:rPr>
      </w:pPr>
      <w:r w:rsidRPr="00FA018D">
        <w:rPr>
          <w:rFonts w:ascii="Arial" w:hAnsi="Arial" w:cs="Arial"/>
          <w:sz w:val="22"/>
          <w:szCs w:val="22"/>
          <w:lang w:eastAsia="en-US"/>
        </w:rPr>
        <w:t>A limited assurance engagement undertaken in accordance with ISAE 3000</w:t>
      </w:r>
      <w:r w:rsidR="002A01BC" w:rsidRPr="00FA018D">
        <w:rPr>
          <w:rFonts w:ascii="Arial" w:hAnsi="Arial" w:cs="Arial"/>
          <w:sz w:val="22"/>
          <w:szCs w:val="22"/>
          <w:lang w:eastAsia="en-US"/>
        </w:rPr>
        <w:t xml:space="preserve"> (Revised)</w:t>
      </w:r>
      <w:r w:rsidRPr="00FA018D">
        <w:rPr>
          <w:rFonts w:ascii="Arial" w:hAnsi="Arial" w:cs="Arial"/>
          <w:sz w:val="22"/>
          <w:szCs w:val="22"/>
          <w:lang w:eastAsia="en-US"/>
        </w:rPr>
        <w:t xml:space="preserve"> involves assessing the suitability</w:t>
      </w:r>
      <w:r w:rsidR="008807D4" w:rsidRPr="00FA018D">
        <w:rPr>
          <w:rFonts w:ascii="Arial" w:hAnsi="Arial" w:cs="Arial"/>
          <w:sz w:val="22"/>
          <w:szCs w:val="22"/>
          <w:lang w:eastAsia="en-US"/>
        </w:rPr>
        <w:t xml:space="preserve"> in the circumstances</w:t>
      </w:r>
      <w:r w:rsidRPr="00FA018D">
        <w:rPr>
          <w:rFonts w:ascii="Arial" w:hAnsi="Arial" w:cs="Arial"/>
          <w:sz w:val="22"/>
          <w:szCs w:val="22"/>
          <w:lang w:eastAsia="en-US"/>
        </w:rPr>
        <w:t xml:space="preserve"> of ABC’s use</w:t>
      </w:r>
      <w:r w:rsidR="000A6EA2" w:rsidRPr="00FA018D">
        <w:rPr>
          <w:rFonts w:ascii="Arial" w:hAnsi="Arial" w:cs="Arial"/>
          <w:sz w:val="22"/>
          <w:szCs w:val="22"/>
          <w:lang w:eastAsia="en-US"/>
        </w:rPr>
        <w:t xml:space="preserve"> of</w:t>
      </w:r>
      <w:r w:rsidRPr="00FA018D">
        <w:rPr>
          <w:rFonts w:ascii="Arial" w:hAnsi="Arial" w:cs="Arial"/>
          <w:sz w:val="22"/>
          <w:szCs w:val="22"/>
          <w:lang w:eastAsia="en-US"/>
        </w:rPr>
        <w:t xml:space="preserve"> </w:t>
      </w:r>
      <w:r w:rsidR="009C4742" w:rsidRPr="00FA018D">
        <w:rPr>
          <w:rFonts w:ascii="Arial" w:hAnsi="Arial" w:cs="Arial"/>
          <w:sz w:val="22"/>
          <w:szCs w:val="22"/>
          <w:lang w:eastAsia="en-US"/>
        </w:rPr>
        <w:t>its reporting criteria</w:t>
      </w:r>
      <w:r w:rsidR="00C32E5B" w:rsidRPr="00FA018D">
        <w:rPr>
          <w:rFonts w:ascii="Arial" w:hAnsi="Arial" w:cs="Arial"/>
          <w:sz w:val="22"/>
          <w:szCs w:val="22"/>
          <w:lang w:eastAsia="en-US"/>
        </w:rPr>
        <w:t xml:space="preserve"> </w:t>
      </w:r>
      <w:r w:rsidRPr="00FA018D">
        <w:rPr>
          <w:rFonts w:ascii="Arial" w:hAnsi="Arial" w:cs="Arial"/>
          <w:sz w:val="22"/>
          <w:szCs w:val="22"/>
          <w:vertAlign w:val="superscript"/>
        </w:rPr>
        <w:t>[</w:t>
      </w:r>
      <w:r w:rsidRPr="00FA018D">
        <w:rPr>
          <w:rFonts w:ascii="Arial" w:hAnsi="Arial" w:cs="Arial"/>
          <w:b/>
          <w:sz w:val="22"/>
          <w:szCs w:val="22"/>
          <w:vertAlign w:val="superscript"/>
        </w:rPr>
        <w:t>N2]</w:t>
      </w:r>
      <w:r w:rsidRPr="00FA018D">
        <w:rPr>
          <w:rFonts w:ascii="Arial" w:hAnsi="Arial" w:cs="Arial"/>
          <w:sz w:val="22"/>
          <w:szCs w:val="22"/>
        </w:rPr>
        <w:t xml:space="preserve"> </w:t>
      </w:r>
      <w:r w:rsidRPr="00FA018D">
        <w:rPr>
          <w:rFonts w:ascii="Arial" w:hAnsi="Arial" w:cs="Arial"/>
          <w:sz w:val="22"/>
          <w:szCs w:val="22"/>
          <w:lang w:eastAsia="en-US"/>
        </w:rPr>
        <w:t xml:space="preserve">as the basis of preparation for the selected </w:t>
      </w:r>
      <w:r w:rsidR="008A4004" w:rsidRPr="00FA018D">
        <w:rPr>
          <w:rFonts w:ascii="Arial" w:hAnsi="Arial" w:cs="Arial"/>
          <w:sz w:val="22"/>
          <w:szCs w:val="22"/>
          <w:lang w:eastAsia="en-US"/>
        </w:rPr>
        <w:t>KPIs</w:t>
      </w:r>
      <w:r w:rsidRPr="00FA018D">
        <w:rPr>
          <w:rFonts w:ascii="Arial" w:hAnsi="Arial" w:cs="Arial"/>
          <w:sz w:val="22"/>
          <w:szCs w:val="22"/>
          <w:lang w:eastAsia="en-US"/>
        </w:rPr>
        <w:t xml:space="preserve">, assessing the risks of material misstatement </w:t>
      </w:r>
      <w:r w:rsidRPr="00FA018D">
        <w:rPr>
          <w:rFonts w:ascii="Arial" w:hAnsi="Arial" w:cs="Arial"/>
          <w:sz w:val="22"/>
          <w:szCs w:val="22"/>
          <w:lang w:eastAsia="en-US"/>
        </w:rPr>
        <w:lastRenderedPageBreak/>
        <w:t xml:space="preserve">of the selected </w:t>
      </w:r>
      <w:r w:rsidR="008A4004" w:rsidRPr="00FA018D">
        <w:rPr>
          <w:rFonts w:ascii="Arial" w:hAnsi="Arial" w:cs="Arial"/>
          <w:sz w:val="22"/>
          <w:szCs w:val="22"/>
          <w:lang w:eastAsia="en-US"/>
        </w:rPr>
        <w:t>KPIs</w:t>
      </w:r>
      <w:r w:rsidRPr="00FA018D">
        <w:rPr>
          <w:rFonts w:ascii="Arial" w:hAnsi="Arial" w:cs="Arial"/>
          <w:sz w:val="22"/>
          <w:szCs w:val="22"/>
          <w:lang w:eastAsia="en-US"/>
        </w:rPr>
        <w:t xml:space="preserve"> whether due to fraud or error, responding to the assessed risks as necessary in the circumstances, and evaluating the overall presentation of the selected </w:t>
      </w:r>
      <w:r w:rsidR="00D57FB9" w:rsidRPr="00FA018D">
        <w:rPr>
          <w:rFonts w:ascii="Arial" w:hAnsi="Arial" w:cs="Arial"/>
          <w:sz w:val="22"/>
          <w:szCs w:val="22"/>
          <w:lang w:eastAsia="en-US"/>
        </w:rPr>
        <w:t>KPI</w:t>
      </w:r>
      <w:r w:rsidR="00A7713F" w:rsidRPr="00FA018D">
        <w:rPr>
          <w:rFonts w:ascii="Arial" w:hAnsi="Arial" w:cs="Arial"/>
          <w:sz w:val="22"/>
          <w:szCs w:val="22"/>
          <w:lang w:eastAsia="en-US"/>
        </w:rPr>
        <w:t>s</w:t>
      </w:r>
      <w:r w:rsidRPr="00FA018D">
        <w:rPr>
          <w:rFonts w:ascii="Arial" w:hAnsi="Arial" w:cs="Arial"/>
          <w:sz w:val="22"/>
          <w:szCs w:val="22"/>
          <w:lang w:eastAsia="en-US"/>
        </w:rPr>
        <w:t>.  A limited assurance engagement is substantially less in scope than a reasonable assurance engagement in relation to both risk assessment procedures, including an understanding of internal control, and the</w:t>
      </w:r>
      <w:r w:rsidR="00A7713F" w:rsidRPr="00FA018D">
        <w:rPr>
          <w:rFonts w:ascii="Arial" w:hAnsi="Arial" w:cs="Arial"/>
          <w:sz w:val="22"/>
          <w:szCs w:val="22"/>
          <w:lang w:eastAsia="en-US"/>
        </w:rPr>
        <w:t xml:space="preserve"> </w:t>
      </w:r>
      <w:r w:rsidRPr="00FA018D">
        <w:rPr>
          <w:rFonts w:ascii="Arial" w:hAnsi="Arial" w:cs="Arial"/>
          <w:sz w:val="22"/>
          <w:szCs w:val="22"/>
          <w:lang w:eastAsia="en-US"/>
        </w:rPr>
        <w:t xml:space="preserve">procedures </w:t>
      </w:r>
      <w:r w:rsidR="00A7713F" w:rsidRPr="00FA018D">
        <w:rPr>
          <w:rFonts w:ascii="Arial" w:hAnsi="Arial" w:cs="Arial"/>
          <w:sz w:val="22"/>
          <w:szCs w:val="22"/>
          <w:lang w:eastAsia="en-US"/>
        </w:rPr>
        <w:t xml:space="preserve">that will be </w:t>
      </w:r>
      <w:r w:rsidRPr="00FA018D">
        <w:rPr>
          <w:rFonts w:ascii="Arial" w:hAnsi="Arial" w:cs="Arial"/>
          <w:sz w:val="22"/>
          <w:szCs w:val="22"/>
          <w:lang w:eastAsia="en-US"/>
        </w:rPr>
        <w:t>performed in response to the assessed risks</w:t>
      </w:r>
      <w:r w:rsidRPr="00FA018D">
        <w:rPr>
          <w:rFonts w:ascii="Arial" w:hAnsi="Arial" w:cs="Arial"/>
          <w:sz w:val="22"/>
          <w:szCs w:val="22"/>
        </w:rPr>
        <w:t>.</w:t>
      </w:r>
      <w:r w:rsidRPr="00FA018D">
        <w:rPr>
          <w:rFonts w:ascii="Arial" w:hAnsi="Arial" w:cs="Arial"/>
          <w:sz w:val="22"/>
          <w:szCs w:val="22"/>
          <w:vertAlign w:val="superscript"/>
        </w:rPr>
        <w:t xml:space="preserve"> </w:t>
      </w:r>
    </w:p>
    <w:p w14:paraId="23B562D1" w14:textId="10F7105F" w:rsidR="007E3160" w:rsidRPr="00FA018D" w:rsidRDefault="007E3160" w:rsidP="00671E38">
      <w:pPr>
        <w:spacing w:after="120" w:line="312" w:lineRule="auto"/>
        <w:jc w:val="both"/>
        <w:rPr>
          <w:rFonts w:ascii="Arial" w:hAnsi="Arial" w:cs="Arial"/>
          <w:sz w:val="22"/>
          <w:szCs w:val="22"/>
        </w:rPr>
      </w:pPr>
      <w:r w:rsidRPr="00FA018D">
        <w:rPr>
          <w:rFonts w:ascii="Arial" w:hAnsi="Arial" w:cs="Arial"/>
          <w:sz w:val="22"/>
          <w:szCs w:val="22"/>
        </w:rPr>
        <w:t xml:space="preserve">The procedures we will perform </w:t>
      </w:r>
      <w:r w:rsidR="00A7713F" w:rsidRPr="00FA018D">
        <w:rPr>
          <w:rFonts w:ascii="Arial" w:hAnsi="Arial" w:cs="Arial"/>
          <w:sz w:val="22"/>
          <w:szCs w:val="22"/>
        </w:rPr>
        <w:t>will be</w:t>
      </w:r>
      <w:r w:rsidRPr="00FA018D">
        <w:rPr>
          <w:rFonts w:ascii="Arial" w:hAnsi="Arial" w:cs="Arial"/>
          <w:sz w:val="22"/>
          <w:szCs w:val="22"/>
        </w:rPr>
        <w:t xml:space="preserve"> based on our professional judgement and </w:t>
      </w:r>
      <w:r w:rsidR="00A7713F" w:rsidRPr="00FA018D">
        <w:rPr>
          <w:rFonts w:ascii="Arial" w:hAnsi="Arial" w:cs="Arial"/>
          <w:sz w:val="22"/>
          <w:szCs w:val="22"/>
        </w:rPr>
        <w:t xml:space="preserve">will </w:t>
      </w:r>
      <w:r w:rsidRPr="00FA018D">
        <w:rPr>
          <w:rFonts w:ascii="Arial" w:hAnsi="Arial" w:cs="Arial"/>
          <w:sz w:val="22"/>
          <w:szCs w:val="22"/>
        </w:rPr>
        <w:t xml:space="preserve">include inquiries, observation of processes </w:t>
      </w:r>
      <w:r w:rsidR="000A6EA2" w:rsidRPr="00FA018D">
        <w:rPr>
          <w:rFonts w:ascii="Arial" w:hAnsi="Arial" w:cs="Arial"/>
          <w:sz w:val="22"/>
          <w:szCs w:val="22"/>
        </w:rPr>
        <w:t>followed</w:t>
      </w:r>
      <w:r w:rsidRPr="00FA018D">
        <w:rPr>
          <w:rFonts w:ascii="Arial" w:hAnsi="Arial" w:cs="Arial"/>
          <w:sz w:val="22"/>
          <w:szCs w:val="22"/>
        </w:rPr>
        <w:t>, inspection of documents, analytical procedures, evaluating the appropriateness of quantification methods and reporting policies, and agreeing or reconciling with underlying records.</w:t>
      </w:r>
    </w:p>
    <w:p w14:paraId="009CC432" w14:textId="61B25F0D" w:rsidR="00496094" w:rsidRPr="00FA018D" w:rsidRDefault="00496094" w:rsidP="00671E38">
      <w:pPr>
        <w:spacing w:after="120" w:line="312" w:lineRule="auto"/>
        <w:jc w:val="both"/>
        <w:rPr>
          <w:rFonts w:ascii="Arial" w:hAnsi="Arial" w:cs="Arial"/>
          <w:sz w:val="22"/>
          <w:szCs w:val="22"/>
        </w:rPr>
      </w:pPr>
      <w:r w:rsidRPr="00FA018D">
        <w:rPr>
          <w:rFonts w:ascii="Arial" w:hAnsi="Arial" w:cs="Arial"/>
          <w:sz w:val="22"/>
          <w:szCs w:val="22"/>
        </w:rPr>
        <w:t>The procedures we will perform in our limited assurance engagement vary in nature from, and are less in extent than for, a reasonable assurance engagement. As a result, the level of assurance we will obtain in our limited assurance engagement is substantially lower than the assurance that would have been obtained had we performed a</w:t>
      </w:r>
      <w:r w:rsidR="00CF7B5A" w:rsidRPr="00FA018D">
        <w:rPr>
          <w:rFonts w:ascii="Arial" w:hAnsi="Arial" w:cs="Arial"/>
          <w:sz w:val="22"/>
          <w:szCs w:val="22"/>
        </w:rPr>
        <w:t xml:space="preserve"> reasonable assurance engagement.</w:t>
      </w:r>
      <w:r w:rsidRPr="00FA018D">
        <w:rPr>
          <w:rFonts w:ascii="Arial" w:hAnsi="Arial" w:cs="Arial"/>
          <w:sz w:val="22"/>
          <w:szCs w:val="22"/>
        </w:rPr>
        <w:t xml:space="preserve"> We will not express a reasonable assurance opinion about whether ABC’s selected </w:t>
      </w:r>
      <w:r w:rsidR="008A4004" w:rsidRPr="00FA018D">
        <w:rPr>
          <w:rFonts w:ascii="Arial" w:hAnsi="Arial" w:cs="Arial"/>
          <w:sz w:val="22"/>
          <w:szCs w:val="22"/>
        </w:rPr>
        <w:t>KPIs</w:t>
      </w:r>
      <w:r w:rsidRPr="00FA018D">
        <w:rPr>
          <w:rFonts w:ascii="Arial" w:hAnsi="Arial" w:cs="Arial"/>
          <w:sz w:val="22"/>
          <w:szCs w:val="22"/>
        </w:rPr>
        <w:t xml:space="preserve"> have been prepared, in all material respects,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w:t>
      </w:r>
      <w:r w:rsidRPr="00FA018D">
        <w:rPr>
          <w:rFonts w:ascii="Arial" w:hAnsi="Arial" w:cs="Arial"/>
          <w:sz w:val="22"/>
          <w:szCs w:val="22"/>
          <w:vertAlign w:val="superscript"/>
        </w:rPr>
        <w:t>[</w:t>
      </w:r>
      <w:r w:rsidRPr="00FA018D">
        <w:rPr>
          <w:rFonts w:ascii="Arial" w:hAnsi="Arial" w:cs="Arial"/>
          <w:b/>
          <w:sz w:val="22"/>
          <w:szCs w:val="22"/>
          <w:vertAlign w:val="superscript"/>
        </w:rPr>
        <w:t>N2]</w:t>
      </w:r>
      <w:r w:rsidR="00CC2A13">
        <w:rPr>
          <w:rFonts w:ascii="Arial" w:hAnsi="Arial" w:cs="Arial"/>
          <w:sz w:val="22"/>
          <w:szCs w:val="22"/>
          <w:vertAlign w:val="superscript"/>
        </w:rPr>
        <w:t>.</w:t>
      </w:r>
    </w:p>
    <w:p w14:paraId="6462D80F" w14:textId="12F56F09" w:rsidR="00B62279" w:rsidRPr="00FA018D" w:rsidRDefault="00B62279" w:rsidP="00671E38">
      <w:pPr>
        <w:pStyle w:val="Heading2"/>
        <w:numPr>
          <w:ilvl w:val="0"/>
          <w:numId w:val="6"/>
        </w:numPr>
        <w:spacing w:after="120" w:line="312" w:lineRule="auto"/>
        <w:jc w:val="both"/>
        <w:rPr>
          <w:rFonts w:cs="Arial"/>
          <w:sz w:val="22"/>
          <w:szCs w:val="22"/>
        </w:rPr>
      </w:pPr>
      <w:r w:rsidRPr="00FA018D">
        <w:rPr>
          <w:rFonts w:cs="Arial"/>
          <w:sz w:val="22"/>
          <w:szCs w:val="22"/>
        </w:rPr>
        <w:t xml:space="preserve">Summary of work to be performed </w:t>
      </w:r>
      <w:r w:rsidRPr="006F42FB">
        <w:rPr>
          <w:rFonts w:cs="Arial"/>
          <w:color w:val="auto"/>
          <w:sz w:val="22"/>
          <w:szCs w:val="22"/>
          <w:vertAlign w:val="superscript"/>
        </w:rPr>
        <w:t>[</w:t>
      </w:r>
      <w:r w:rsidR="00E433B0" w:rsidRPr="006F42FB">
        <w:rPr>
          <w:rFonts w:cs="Arial"/>
          <w:color w:val="auto"/>
          <w:sz w:val="22"/>
          <w:szCs w:val="22"/>
          <w:vertAlign w:val="superscript"/>
        </w:rPr>
        <w:t>N1</w:t>
      </w:r>
      <w:r w:rsidR="00CC2A13">
        <w:rPr>
          <w:rFonts w:cs="Arial"/>
          <w:color w:val="auto"/>
          <w:sz w:val="22"/>
          <w:szCs w:val="22"/>
          <w:vertAlign w:val="superscript"/>
        </w:rPr>
        <w:t>1</w:t>
      </w:r>
      <w:r w:rsidRPr="006F42FB">
        <w:rPr>
          <w:rFonts w:cs="Arial"/>
          <w:color w:val="auto"/>
          <w:sz w:val="22"/>
          <w:szCs w:val="22"/>
          <w:vertAlign w:val="superscript"/>
        </w:rPr>
        <w:t>]</w:t>
      </w:r>
      <w:r w:rsidRPr="00FA018D">
        <w:rPr>
          <w:rFonts w:cs="Arial"/>
          <w:b w:val="0"/>
          <w:color w:val="auto"/>
          <w:sz w:val="22"/>
          <w:szCs w:val="22"/>
          <w:vertAlign w:val="superscript"/>
        </w:rPr>
        <w:t xml:space="preserve"> </w:t>
      </w:r>
    </w:p>
    <w:p w14:paraId="3F07AFAC" w14:textId="09C303E1" w:rsidR="00B62279" w:rsidRPr="00FA018D" w:rsidRDefault="00B62279" w:rsidP="00671E38">
      <w:pPr>
        <w:spacing w:after="120" w:line="312" w:lineRule="auto"/>
        <w:jc w:val="both"/>
        <w:outlineLvl w:val="0"/>
        <w:rPr>
          <w:rFonts w:ascii="Arial" w:hAnsi="Arial" w:cs="Arial"/>
          <w:i/>
          <w:sz w:val="22"/>
          <w:szCs w:val="22"/>
        </w:rPr>
      </w:pPr>
      <w:r w:rsidRPr="00FA018D">
        <w:rPr>
          <w:rFonts w:ascii="Arial" w:hAnsi="Arial" w:cs="Arial"/>
          <w:sz w:val="22"/>
          <w:szCs w:val="22"/>
        </w:rPr>
        <w:t>Given the circumstances of the engagement, the procedures we plan on performing include the following</w:t>
      </w:r>
      <w:r w:rsidR="00B456F4" w:rsidRPr="00FA018D">
        <w:rPr>
          <w:rFonts w:ascii="Arial" w:hAnsi="Arial" w:cs="Arial"/>
          <w:b/>
          <w:sz w:val="22"/>
          <w:szCs w:val="22"/>
        </w:rPr>
        <w:t>,</w:t>
      </w:r>
      <w:r w:rsidR="00B456F4" w:rsidRPr="00FA018D">
        <w:rPr>
          <w:rFonts w:ascii="Arial" w:hAnsi="Arial" w:cs="Arial"/>
          <w:sz w:val="22"/>
          <w:szCs w:val="22"/>
        </w:rPr>
        <w:t xml:space="preserve"> but</w:t>
      </w:r>
      <w:r w:rsidR="001D0283" w:rsidRPr="00FA018D">
        <w:rPr>
          <w:rFonts w:ascii="Arial" w:hAnsi="Arial" w:cs="Arial"/>
          <w:sz w:val="22"/>
          <w:szCs w:val="22"/>
        </w:rPr>
        <w:t xml:space="preserve"> are</w:t>
      </w:r>
      <w:r w:rsidR="00B456F4" w:rsidRPr="00FA018D">
        <w:rPr>
          <w:rFonts w:ascii="Arial" w:hAnsi="Arial" w:cs="Arial"/>
          <w:sz w:val="22"/>
          <w:szCs w:val="22"/>
        </w:rPr>
        <w:t xml:space="preserve"> not necessarily limited to:</w:t>
      </w:r>
    </w:p>
    <w:p w14:paraId="24EB3127" w14:textId="7BBB2DD0"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 xml:space="preserve">Interviewing management and senior executives to obtain an understanding of the internal control environment, risk assessment process and information systems relevant to the sustainability reporting process; </w:t>
      </w:r>
    </w:p>
    <w:p w14:paraId="6DC96C92" w14:textId="77777777"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Inspecting documentation to corroborate the statements of management and senior executives in our interviews;</w:t>
      </w:r>
    </w:p>
    <w:p w14:paraId="20A1FE58" w14:textId="4B28E178"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 xml:space="preserve">Testing  the processes and systems to generate, collate, aggregate, monitor and report the selected </w:t>
      </w:r>
      <w:r w:rsidR="008A4004" w:rsidRPr="00FA018D">
        <w:rPr>
          <w:rFonts w:cs="Arial"/>
          <w:sz w:val="22"/>
          <w:szCs w:val="22"/>
        </w:rPr>
        <w:t>KPIs</w:t>
      </w:r>
      <w:r w:rsidRPr="00FA018D">
        <w:rPr>
          <w:rFonts w:cs="Arial"/>
          <w:sz w:val="22"/>
          <w:szCs w:val="22"/>
        </w:rPr>
        <w:t>;</w:t>
      </w:r>
    </w:p>
    <w:p w14:paraId="01A734C3" w14:textId="66149B3E"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Performing a controls walkthrough</w:t>
      </w:r>
      <w:r w:rsidR="00E20557" w:rsidRPr="00FA018D">
        <w:rPr>
          <w:rFonts w:cs="Arial"/>
          <w:sz w:val="22"/>
          <w:szCs w:val="22"/>
        </w:rPr>
        <w:t xml:space="preserve"> of identified key controls</w:t>
      </w:r>
      <w:r w:rsidRPr="00FA018D">
        <w:rPr>
          <w:rFonts w:cs="Arial"/>
          <w:sz w:val="22"/>
          <w:szCs w:val="22"/>
        </w:rPr>
        <w:t>;</w:t>
      </w:r>
    </w:p>
    <w:p w14:paraId="2356AB62" w14:textId="56D97567" w:rsidR="00542FBD"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Inspecting supporting documentation on a sample basis</w:t>
      </w:r>
      <w:r w:rsidR="00542FBD" w:rsidRPr="00FA018D">
        <w:rPr>
          <w:rFonts w:cs="Arial"/>
          <w:sz w:val="22"/>
          <w:szCs w:val="22"/>
        </w:rPr>
        <w:t>;</w:t>
      </w:r>
      <w:r w:rsidRPr="00FA018D">
        <w:rPr>
          <w:rFonts w:cs="Arial"/>
          <w:sz w:val="22"/>
          <w:szCs w:val="22"/>
        </w:rPr>
        <w:t xml:space="preserve">  </w:t>
      </w:r>
    </w:p>
    <w:p w14:paraId="069FD890" w14:textId="6F79DF89" w:rsidR="00B62279" w:rsidRPr="00FA018D" w:rsidRDefault="00542FBD" w:rsidP="00671E38">
      <w:pPr>
        <w:pStyle w:val="BodyText"/>
        <w:numPr>
          <w:ilvl w:val="0"/>
          <w:numId w:val="51"/>
        </w:numPr>
        <w:spacing w:after="120" w:line="312" w:lineRule="auto"/>
        <w:jc w:val="both"/>
        <w:rPr>
          <w:rFonts w:cs="Arial"/>
          <w:sz w:val="22"/>
          <w:szCs w:val="22"/>
        </w:rPr>
      </w:pPr>
      <w:r w:rsidRPr="00FA018D">
        <w:rPr>
          <w:rFonts w:cs="Arial"/>
          <w:sz w:val="22"/>
          <w:szCs w:val="22"/>
        </w:rPr>
        <w:t>P</w:t>
      </w:r>
      <w:r w:rsidR="00B62279" w:rsidRPr="00FA018D">
        <w:rPr>
          <w:rFonts w:cs="Arial"/>
          <w:sz w:val="22"/>
          <w:szCs w:val="22"/>
        </w:rPr>
        <w:t>erforming analytical procedures to evaluate the data generation and reporting processes against the reporting criteria;</w:t>
      </w:r>
    </w:p>
    <w:p w14:paraId="3D43B6E0" w14:textId="40ADDCAE"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Evaluating the reasonableness and appropriateness of significant estimates and judgements made by the directors in the preparation of the</w:t>
      </w:r>
      <w:r w:rsidR="002948D5">
        <w:rPr>
          <w:rFonts w:cs="Arial"/>
          <w:sz w:val="22"/>
          <w:szCs w:val="22"/>
        </w:rPr>
        <w:t xml:space="preserve"> selected</w:t>
      </w:r>
      <w:r w:rsidRPr="00FA018D">
        <w:rPr>
          <w:rFonts w:cs="Arial"/>
          <w:sz w:val="22"/>
          <w:szCs w:val="22"/>
        </w:rPr>
        <w:t xml:space="preserve"> </w:t>
      </w:r>
      <w:r w:rsidR="008A4004" w:rsidRPr="00FA018D">
        <w:rPr>
          <w:rFonts w:cs="Arial"/>
          <w:sz w:val="22"/>
          <w:szCs w:val="22"/>
        </w:rPr>
        <w:t>KPIs</w:t>
      </w:r>
      <w:r w:rsidRPr="00FA018D">
        <w:rPr>
          <w:rFonts w:cs="Arial"/>
          <w:sz w:val="22"/>
          <w:szCs w:val="22"/>
        </w:rPr>
        <w:t>;</w:t>
      </w:r>
      <w:r w:rsidR="00BD2665">
        <w:rPr>
          <w:rFonts w:cs="Arial"/>
          <w:sz w:val="22"/>
          <w:szCs w:val="22"/>
        </w:rPr>
        <w:t xml:space="preserve"> and</w:t>
      </w:r>
    </w:p>
    <w:p w14:paraId="3D5219AB" w14:textId="1A18D302"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 xml:space="preserve">Evaluating whether the selected </w:t>
      </w:r>
      <w:r w:rsidR="008A4004" w:rsidRPr="00FA018D">
        <w:rPr>
          <w:rFonts w:cs="Arial"/>
          <w:sz w:val="22"/>
          <w:szCs w:val="22"/>
        </w:rPr>
        <w:t>KPIs</w:t>
      </w:r>
      <w:r w:rsidRPr="00FA018D">
        <w:rPr>
          <w:rFonts w:cs="Arial"/>
          <w:sz w:val="22"/>
          <w:szCs w:val="22"/>
        </w:rPr>
        <w:t xml:space="preserve"> presented in the Report are consistent with our overall knowledge and experience of sustainability management and performance at ABC.</w:t>
      </w:r>
    </w:p>
    <w:p w14:paraId="14CD5EE8" w14:textId="7B70CDD3" w:rsidR="00D75E13" w:rsidRPr="00FA018D" w:rsidRDefault="00244387" w:rsidP="00671E38">
      <w:pPr>
        <w:pStyle w:val="Heading2"/>
        <w:numPr>
          <w:ilvl w:val="0"/>
          <w:numId w:val="6"/>
        </w:numPr>
        <w:spacing w:after="120" w:line="312" w:lineRule="auto"/>
        <w:jc w:val="both"/>
        <w:rPr>
          <w:rFonts w:cs="Arial"/>
          <w:sz w:val="22"/>
          <w:szCs w:val="22"/>
          <w:lang w:val="en-US"/>
        </w:rPr>
      </w:pPr>
      <w:r w:rsidRPr="00FA018D">
        <w:rPr>
          <w:rFonts w:cs="Arial"/>
          <w:sz w:val="22"/>
          <w:szCs w:val="22"/>
          <w:lang w:val="en-US"/>
        </w:rPr>
        <w:lastRenderedPageBreak/>
        <w:t>Independent limited 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E433B0" w:rsidRPr="006F42FB">
        <w:rPr>
          <w:rFonts w:cs="Arial"/>
          <w:color w:val="auto"/>
          <w:sz w:val="22"/>
          <w:szCs w:val="22"/>
          <w:vertAlign w:val="superscript"/>
        </w:rPr>
        <w:t>N1</w:t>
      </w:r>
      <w:r w:rsidR="00CC2A13">
        <w:rPr>
          <w:rFonts w:cs="Arial"/>
          <w:color w:val="auto"/>
          <w:sz w:val="22"/>
          <w:szCs w:val="22"/>
          <w:vertAlign w:val="superscript"/>
        </w:rPr>
        <w:t>2</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E433B0" w:rsidRPr="006F42FB">
        <w:rPr>
          <w:rFonts w:cs="Arial"/>
          <w:color w:val="auto"/>
          <w:sz w:val="22"/>
          <w:szCs w:val="22"/>
          <w:vertAlign w:val="superscript"/>
        </w:rPr>
        <w:t>N1</w:t>
      </w:r>
      <w:r w:rsidR="00CC2A13">
        <w:rPr>
          <w:rFonts w:cs="Arial"/>
          <w:color w:val="auto"/>
          <w:sz w:val="22"/>
          <w:szCs w:val="22"/>
          <w:vertAlign w:val="superscript"/>
        </w:rPr>
        <w:t>3</w:t>
      </w:r>
      <w:r w:rsidR="00536173" w:rsidRPr="006F42FB">
        <w:rPr>
          <w:rFonts w:cs="Arial"/>
          <w:color w:val="auto"/>
          <w:sz w:val="22"/>
          <w:szCs w:val="22"/>
          <w:vertAlign w:val="superscript"/>
        </w:rPr>
        <w:t>]</w:t>
      </w:r>
    </w:p>
    <w:p w14:paraId="25BEAFE4" w14:textId="31951DED"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limited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580DB67D"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 conclusion as follows</w:t>
      </w:r>
      <w:r w:rsidR="00C45036" w:rsidRPr="00FA018D">
        <w:rPr>
          <w:rFonts w:ascii="Arial" w:hAnsi="Arial" w:cs="Arial"/>
          <w:bCs/>
          <w:iCs/>
          <w:sz w:val="22"/>
          <w:szCs w:val="22"/>
          <w:lang w:val="en-ZA"/>
        </w:rPr>
        <w:t>.</w:t>
      </w:r>
    </w:p>
    <w:p w14:paraId="6F44BDBB" w14:textId="57BE9FFC" w:rsidR="00244387" w:rsidRPr="00FA018D" w:rsidRDefault="00244387" w:rsidP="00671E38">
      <w:pPr>
        <w:spacing w:after="120" w:line="312" w:lineRule="auto"/>
        <w:ind w:left="720"/>
        <w:jc w:val="both"/>
        <w:rPr>
          <w:rFonts w:ascii="Arial" w:hAnsi="Arial" w:cs="Arial"/>
          <w:sz w:val="22"/>
          <w:szCs w:val="22"/>
          <w:lang w:val="en-ZA"/>
        </w:rPr>
      </w:pPr>
      <w:r w:rsidRPr="00FA018D">
        <w:rPr>
          <w:rFonts w:ascii="Arial" w:hAnsi="Arial" w:cs="Arial"/>
          <w:sz w:val="22"/>
          <w:szCs w:val="22"/>
          <w:lang w:val="en-ZA"/>
        </w:rPr>
        <w:t xml:space="preserve">Based on the procedures we have performed and the evidence we have obtained, nothing has come to our attention that causes us to believe that the selected </w:t>
      </w:r>
      <w:r w:rsidR="008A4004" w:rsidRPr="00FA018D">
        <w:rPr>
          <w:rFonts w:ascii="Arial" w:hAnsi="Arial" w:cs="Arial"/>
          <w:sz w:val="22"/>
          <w:szCs w:val="22"/>
          <w:lang w:val="en-ZA"/>
        </w:rPr>
        <w:t>KPIs</w:t>
      </w:r>
      <w:r w:rsidRPr="00FA018D">
        <w:rPr>
          <w:rFonts w:ascii="Arial" w:hAnsi="Arial" w:cs="Arial"/>
          <w:sz w:val="22"/>
          <w:szCs w:val="22"/>
          <w:lang w:val="en-ZA"/>
        </w:rPr>
        <w:t xml:space="preserve"> as set out in the subject matter paragraph </w:t>
      </w:r>
      <w:r w:rsidRPr="00FA018D">
        <w:rPr>
          <w:rFonts w:ascii="Arial" w:hAnsi="Arial" w:cs="Arial"/>
          <w:i/>
          <w:sz w:val="22"/>
          <w:szCs w:val="22"/>
          <w:lang w:val="en-ZA"/>
        </w:rPr>
        <w:t xml:space="preserve">(of the audit report) </w:t>
      </w:r>
      <w:r w:rsidRPr="00FA018D">
        <w:rPr>
          <w:rFonts w:ascii="Arial" w:hAnsi="Arial" w:cs="Arial"/>
          <w:sz w:val="22"/>
          <w:szCs w:val="22"/>
          <w:lang w:val="en-ZA"/>
        </w:rPr>
        <w:t xml:space="preserve">for the year ended </w:t>
      </w:r>
      <w:r w:rsidR="009D73B9">
        <w:rPr>
          <w:rFonts w:ascii="Arial" w:hAnsi="Arial" w:cs="Arial"/>
          <w:sz w:val="22"/>
          <w:szCs w:val="22"/>
          <w:lang w:val="en-ZA"/>
        </w:rPr>
        <w:t>(</w:t>
      </w:r>
      <w:r w:rsidR="009D73B9" w:rsidRPr="009D73B9">
        <w:rPr>
          <w:rFonts w:ascii="Arial" w:hAnsi="Arial" w:cs="Arial"/>
          <w:i/>
          <w:sz w:val="22"/>
          <w:szCs w:val="22"/>
          <w:lang w:val="en-ZA"/>
        </w:rPr>
        <w:t>insert date</w:t>
      </w:r>
      <w:r w:rsidR="009D73B9">
        <w:rPr>
          <w:rFonts w:ascii="Arial" w:hAnsi="Arial" w:cs="Arial"/>
          <w:sz w:val="22"/>
          <w:szCs w:val="22"/>
          <w:lang w:val="en-ZA"/>
        </w:rPr>
        <w:t>)</w:t>
      </w:r>
      <w:r w:rsidRPr="00FA018D">
        <w:rPr>
          <w:rFonts w:ascii="Arial" w:hAnsi="Arial" w:cs="Arial"/>
          <w:sz w:val="22"/>
          <w:szCs w:val="22"/>
          <w:lang w:val="en-ZA"/>
        </w:rPr>
        <w:t xml:space="preserve"> are not prepared, in all material respects, in accordance with </w:t>
      </w:r>
      <w:r w:rsidR="009C4742" w:rsidRPr="00FA018D">
        <w:rPr>
          <w:rFonts w:ascii="Arial" w:hAnsi="Arial" w:cs="Arial"/>
          <w:sz w:val="22"/>
          <w:szCs w:val="22"/>
          <w:lang w:val="en-ZA"/>
        </w:rPr>
        <w:t>the reporting criteria.</w:t>
      </w:r>
    </w:p>
    <w:p w14:paraId="3B2FB176" w14:textId="318172EC"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limited assurance conclusion will be expressed. Circumstances may arise in which it is necessary for us to modify our conclusion,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5041A890" w:rsidR="00B456F4" w:rsidRPr="00FA018D" w:rsidRDefault="00B456F4" w:rsidP="00B64007">
      <w:pPr>
        <w:pStyle w:val="ListParagraph"/>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E433B0" w:rsidRPr="00FA018D">
        <w:rPr>
          <w:rFonts w:cs="Arial"/>
          <w:b/>
          <w:sz w:val="22"/>
          <w:szCs w:val="22"/>
          <w:vertAlign w:val="superscript"/>
        </w:rPr>
        <w:t>N1</w:t>
      </w:r>
      <w:r w:rsidR="00CC2A13">
        <w:rPr>
          <w:rFonts w:cs="Arial"/>
          <w:b/>
          <w:sz w:val="22"/>
          <w:szCs w:val="22"/>
          <w:vertAlign w:val="superscript"/>
        </w:rPr>
        <w:t>4</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EE6566" w:rsidRPr="00FA018D">
        <w:rPr>
          <w:rFonts w:cs="Arial"/>
          <w:b/>
          <w:sz w:val="22"/>
          <w:szCs w:val="22"/>
          <w:vertAlign w:val="superscript"/>
        </w:rPr>
        <w:t>N1</w:t>
      </w:r>
      <w:r w:rsidR="00CC2A13">
        <w:rPr>
          <w:rFonts w:cs="Arial"/>
          <w:b/>
          <w:sz w:val="22"/>
          <w:szCs w:val="22"/>
          <w:vertAlign w:val="superscript"/>
        </w:rPr>
        <w:t>5</w:t>
      </w:r>
      <w:r w:rsidR="00EE6566" w:rsidRPr="00FA018D">
        <w:rPr>
          <w:rFonts w:cs="Arial"/>
          <w:b/>
          <w:sz w:val="22"/>
          <w:szCs w:val="22"/>
          <w:vertAlign w:val="superscript"/>
        </w:rPr>
        <w:t>]</w:t>
      </w:r>
    </w:p>
    <w:p w14:paraId="1EF8457A" w14:textId="77777777" w:rsidR="0010123B" w:rsidRPr="00FA018D" w:rsidRDefault="0010123B" w:rsidP="00681078">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5005C751" w:rsidR="00B456F4" w:rsidRPr="00FA018D" w:rsidRDefault="00B456F4" w:rsidP="00B64007">
      <w:pPr>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The information relating to prior reporting periods will not be subject to assurance procedures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C2A13">
        <w:rPr>
          <w:rFonts w:ascii="Arial" w:hAnsi="Arial" w:cs="Arial"/>
          <w:b/>
          <w:sz w:val="22"/>
          <w:szCs w:val="22"/>
          <w:vertAlign w:val="superscript"/>
        </w:rPr>
        <w:t>16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08BC463F"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Our report will include the provision of limited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C2A13">
        <w:rPr>
          <w:rFonts w:ascii="Arial" w:hAnsi="Arial" w:cs="Arial"/>
          <w:b/>
          <w:sz w:val="22"/>
          <w:szCs w:val="22"/>
          <w:vertAlign w:val="superscript"/>
        </w:rPr>
        <w:t>17</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50525337"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for the financial year, consisting of a printed report as well as additional online disclosures </w:t>
      </w:r>
      <w:r w:rsidRPr="00FA018D">
        <w:rPr>
          <w:rFonts w:cs="Arial"/>
          <w:sz w:val="22"/>
          <w:szCs w:val="22"/>
          <w:vertAlign w:val="superscript"/>
        </w:rPr>
        <w:t>[</w:t>
      </w:r>
      <w:r w:rsidR="00E433B0" w:rsidRPr="00FA018D">
        <w:rPr>
          <w:rFonts w:cs="Arial"/>
          <w:b/>
          <w:sz w:val="22"/>
          <w:szCs w:val="22"/>
          <w:vertAlign w:val="superscript"/>
        </w:rPr>
        <w:t>N</w:t>
      </w:r>
      <w:r w:rsidR="00CC2A13">
        <w:rPr>
          <w:rFonts w:cs="Arial"/>
          <w:b/>
          <w:sz w:val="22"/>
          <w:szCs w:val="22"/>
          <w:vertAlign w:val="superscript"/>
        </w:rPr>
        <w:t>18</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72B653ED"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t>The maintenance and integrity of your website is your responsibility. Our procedures will not involve consideration of these matters and, accordingly</w:t>
      </w:r>
      <w:r w:rsidR="003131EC">
        <w:rPr>
          <w:rFonts w:cs="Arial"/>
          <w:bCs/>
          <w:iCs/>
          <w:sz w:val="22"/>
          <w:szCs w:val="22"/>
          <w:lang w:val="en-ZA"/>
        </w:rPr>
        <w:t>,</w:t>
      </w:r>
      <w:r w:rsidRPr="00FA018D">
        <w:rPr>
          <w:rFonts w:cs="Arial"/>
          <w:bCs/>
          <w:iCs/>
          <w:sz w:val="22"/>
          <w:szCs w:val="22"/>
          <w:lang w:val="en-ZA"/>
        </w:rPr>
        <w:t xml:space="preserve"> we accept no responsibility for any changes to either the information in the Report or our independent</w:t>
      </w:r>
      <w:r w:rsidR="00875CCC" w:rsidRPr="00FA018D">
        <w:rPr>
          <w:rFonts w:cs="Arial"/>
          <w:bCs/>
          <w:iCs/>
          <w:sz w:val="22"/>
          <w:szCs w:val="22"/>
          <w:lang w:val="en-ZA"/>
        </w:rPr>
        <w:t xml:space="preserve"> limited</w:t>
      </w:r>
      <w:r w:rsidRPr="00FA018D">
        <w:rPr>
          <w:rFonts w:cs="Arial"/>
          <w:bCs/>
          <w:iCs/>
          <w:sz w:val="22"/>
          <w:szCs w:val="22"/>
          <w:lang w:val="en-ZA"/>
        </w:rPr>
        <w:t xml:space="preserve"> assurance report</w:t>
      </w:r>
      <w:r w:rsidR="00875CCC" w:rsidRPr="00FA018D">
        <w:rPr>
          <w:rFonts w:cs="Arial"/>
          <w:b/>
          <w:sz w:val="22"/>
          <w:szCs w:val="22"/>
          <w:vertAlign w:val="superscript"/>
        </w:rPr>
        <w:t xml:space="preserve"> </w:t>
      </w:r>
      <w:r w:rsidRPr="00FA018D">
        <w:rPr>
          <w:rFonts w:cs="Arial"/>
          <w:bCs/>
          <w:iCs/>
          <w:sz w:val="22"/>
          <w:szCs w:val="22"/>
          <w:lang w:val="en-ZA"/>
        </w:rPr>
        <w:t xml:space="preserve">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E433B0" w:rsidRPr="00FA018D">
        <w:rPr>
          <w:rFonts w:cs="Arial"/>
          <w:b/>
          <w:sz w:val="22"/>
          <w:szCs w:val="22"/>
          <w:vertAlign w:val="superscript"/>
        </w:rPr>
        <w:t>N</w:t>
      </w:r>
      <w:r w:rsidR="00CC2A13">
        <w:rPr>
          <w:rFonts w:cs="Arial"/>
          <w:b/>
          <w:sz w:val="22"/>
          <w:szCs w:val="22"/>
          <w:vertAlign w:val="superscript"/>
        </w:rPr>
        <w:t>19</w:t>
      </w:r>
      <w:r w:rsidRPr="00FA018D">
        <w:rPr>
          <w:rFonts w:cs="Arial"/>
          <w:b/>
          <w:sz w:val="22"/>
          <w:szCs w:val="22"/>
          <w:vertAlign w:val="superscript"/>
        </w:rPr>
        <w:t>]</w:t>
      </w:r>
      <w:r w:rsidRPr="00FA018D">
        <w:rPr>
          <w:rFonts w:cs="Arial"/>
          <w:bCs/>
          <w:iCs/>
          <w:sz w:val="22"/>
          <w:szCs w:val="22"/>
          <w:lang w:val="en-ZA"/>
        </w:rPr>
        <w:t>.</w:t>
      </w:r>
    </w:p>
    <w:p w14:paraId="750902E1" w14:textId="75F33264" w:rsidR="00172F23" w:rsidRPr="00FA018D" w:rsidRDefault="00172F23" w:rsidP="00671E38">
      <w:pPr>
        <w:pStyle w:val="ListParagraph"/>
        <w:numPr>
          <w:ilvl w:val="0"/>
          <w:numId w:val="6"/>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E433B0" w:rsidRPr="00FA018D">
        <w:rPr>
          <w:rFonts w:cs="Arial"/>
          <w:b/>
          <w:sz w:val="22"/>
          <w:szCs w:val="22"/>
          <w:vertAlign w:val="superscript"/>
        </w:rPr>
        <w:t>N2</w:t>
      </w:r>
      <w:r w:rsidR="003F5D62">
        <w:rPr>
          <w:rFonts w:cs="Arial"/>
          <w:b/>
          <w:sz w:val="22"/>
          <w:szCs w:val="22"/>
          <w:vertAlign w:val="superscript"/>
        </w:rPr>
        <w:t>0</w:t>
      </w:r>
      <w:r w:rsidR="00346A3F" w:rsidRPr="00FA018D">
        <w:rPr>
          <w:rFonts w:cs="Arial"/>
          <w:b/>
          <w:sz w:val="22"/>
          <w:szCs w:val="22"/>
          <w:vertAlign w:val="superscript"/>
        </w:rPr>
        <w:t>]</w:t>
      </w:r>
    </w:p>
    <w:p w14:paraId="75C059BC" w14:textId="60B0E2BE"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a limited assurance conclusion 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78250C">
        <w:rPr>
          <w:rFonts w:ascii="Arial" w:hAnsi="Arial" w:cs="Arial"/>
          <w:sz w:val="22"/>
          <w:szCs w:val="22"/>
          <w:lang w:val="en-ZA"/>
        </w:rPr>
        <w:t xml:space="preserve">the Directors of </w:t>
      </w:r>
      <w:r w:rsidRPr="00FA018D">
        <w:rPr>
          <w:rFonts w:ascii="Arial" w:hAnsi="Arial" w:cs="Arial"/>
          <w:sz w:val="22"/>
          <w:szCs w:val="22"/>
          <w:lang w:val="en-ZA"/>
        </w:rPr>
        <w:t>ABC, for our work, for the limited assurance report that we will issue, or for the conclusions that we will reach.  A statement to this effect will be included in our limited assurance report.</w:t>
      </w:r>
    </w:p>
    <w:p w14:paraId="7304557C" w14:textId="62392995" w:rsidR="00A85414" w:rsidRPr="00FA018D" w:rsidRDefault="00A85414" w:rsidP="00B5158A">
      <w:pPr>
        <w:pStyle w:val="ListParagraph"/>
        <w:keepNext/>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 xml:space="preserve">As part of our assurance engagement procedures, we will request that management provide us with a representation letter acknowledging management’s responsibility regarding the </w:t>
      </w:r>
      <w:r w:rsidRPr="00FA018D">
        <w:rPr>
          <w:rFonts w:ascii="Arial" w:hAnsi="Arial" w:cs="Arial"/>
          <w:sz w:val="22"/>
          <w:szCs w:val="22"/>
        </w:rPr>
        <w:lastRenderedPageBreak/>
        <w:t>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0CF7DE18" w:rsidR="008313C4" w:rsidRPr="00FA018D" w:rsidRDefault="008313C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3F5D62">
        <w:rPr>
          <w:rFonts w:cs="Arial"/>
          <w:color w:val="auto"/>
          <w:sz w:val="22"/>
          <w:szCs w:val="22"/>
          <w:vertAlign w:val="superscript"/>
          <w:lang w:val="en-US"/>
        </w:rPr>
        <w:t>1</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471D7A2A" w:rsidR="00895114" w:rsidRPr="00FA018D" w:rsidRDefault="0089511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50E467A9" w:rsidR="00B456F4" w:rsidRPr="00FA018D" w:rsidRDefault="00B456F4" w:rsidP="00671E38">
      <w:pPr>
        <w:pStyle w:val="Heading2"/>
        <w:numPr>
          <w:ilvl w:val="0"/>
          <w:numId w:val="6"/>
        </w:numPr>
        <w:spacing w:after="120" w:line="312" w:lineRule="auto"/>
        <w:jc w:val="both"/>
        <w:rPr>
          <w:rFonts w:cs="Arial"/>
          <w:sz w:val="22"/>
          <w:szCs w:val="22"/>
        </w:rPr>
      </w:pPr>
      <w:r w:rsidRPr="00FA018D">
        <w:rPr>
          <w:rFonts w:cs="Arial"/>
          <w:sz w:val="22"/>
          <w:szCs w:val="22"/>
        </w:rPr>
        <w:t xml:space="preserve">Other paragraphs </w:t>
      </w:r>
      <w:r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6569A665" w:rsidR="00EF3A43" w:rsidRPr="00FA018D" w:rsidRDefault="00EF3A43" w:rsidP="00671E38">
      <w:pPr>
        <w:pStyle w:val="Heading2"/>
        <w:numPr>
          <w:ilvl w:val="0"/>
          <w:numId w:val="6"/>
        </w:numPr>
        <w:spacing w:after="120" w:line="312" w:lineRule="auto"/>
        <w:jc w:val="both"/>
        <w:rPr>
          <w:rFonts w:cs="Arial"/>
          <w:sz w:val="22"/>
          <w:szCs w:val="22"/>
        </w:rPr>
      </w:pPr>
      <w:r w:rsidRPr="00FA018D">
        <w:rPr>
          <w:rFonts w:cs="Arial"/>
          <w:sz w:val="22"/>
          <w:szCs w:val="22"/>
        </w:rPr>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56C9980C" w14:textId="70D1633A"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477B69">
        <w:rPr>
          <w:rFonts w:ascii="Arial" w:hAnsi="Arial" w:cs="Arial"/>
          <w:bCs/>
          <w:sz w:val="22"/>
          <w:szCs w:val="22"/>
        </w:rPr>
        <w:t>e</w:t>
      </w:r>
      <w:r w:rsidRPr="00FA018D">
        <w:rPr>
          <w:rFonts w:ascii="Arial" w:hAnsi="Arial" w:cs="Arial"/>
          <w:bCs/>
          <w:sz w:val="22"/>
          <w:szCs w:val="22"/>
        </w:rPr>
        <w:t xml:space="preserve">ngagement </w:t>
      </w:r>
      <w:r w:rsidR="00477B69">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266911A1"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110901">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4B340201"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                            </w:t>
      </w:r>
    </w:p>
    <w:p w14:paraId="253DB6E8" w14:textId="77777777" w:rsidR="00895114" w:rsidRPr="00FA018D" w:rsidRDefault="00895114" w:rsidP="00671E38">
      <w:pPr>
        <w:pStyle w:val="BodySingle"/>
        <w:spacing w:after="120" w:line="312" w:lineRule="auto"/>
        <w:jc w:val="both"/>
        <w:rPr>
          <w:rFonts w:cs="Arial"/>
          <w:sz w:val="22"/>
          <w:szCs w:val="22"/>
        </w:rPr>
      </w:pPr>
    </w:p>
    <w:p w14:paraId="2275F084" w14:textId="08F74B19" w:rsidR="00D24B06" w:rsidRPr="00FA018D" w:rsidRDefault="00D24B06" w:rsidP="004D39B4">
      <w:pPr>
        <w:pStyle w:val="BodySingle"/>
        <w:spacing w:after="120" w:line="312" w:lineRule="auto"/>
        <w:jc w:val="both"/>
        <w:rPr>
          <w:lang w:val="en-ZA"/>
        </w:rPr>
      </w:pPr>
      <w:r w:rsidRPr="00FA018D">
        <w:rPr>
          <w:rFonts w:cs="Arial"/>
          <w:b/>
          <w:sz w:val="22"/>
          <w:szCs w:val="22"/>
        </w:rPr>
        <w:t xml:space="preserve">(Company name of assurance </w:t>
      </w:r>
      <w:r w:rsidR="00FB14F2">
        <w:rPr>
          <w:rFonts w:cs="Arial"/>
          <w:b/>
          <w:sz w:val="22"/>
          <w:szCs w:val="22"/>
        </w:rPr>
        <w:t>practitioner</w:t>
      </w:r>
      <w:r w:rsidRPr="00FA018D">
        <w:rPr>
          <w:rFonts w:cs="Arial"/>
          <w:b/>
          <w:sz w:val="22"/>
          <w:szCs w:val="22"/>
        </w:rPr>
        <w:t>)</w:t>
      </w:r>
      <w:r w:rsidRPr="00FA018D">
        <w:rPr>
          <w:rFonts w:cs="Arial"/>
          <w:sz w:val="22"/>
          <w:szCs w:val="22"/>
          <w:vertAlign w:val="superscript"/>
        </w:rPr>
        <w:t xml:space="preserve"> [</w:t>
      </w:r>
      <w:r w:rsidR="00E433B0" w:rsidRPr="00FA018D">
        <w:rPr>
          <w:rFonts w:cs="Arial"/>
          <w:b/>
          <w:sz w:val="22"/>
          <w:szCs w:val="22"/>
          <w:vertAlign w:val="superscript"/>
        </w:rPr>
        <w:t>N2</w:t>
      </w:r>
      <w:r w:rsidR="003F5D62">
        <w:rPr>
          <w:rFonts w:cs="Arial"/>
          <w:b/>
          <w:sz w:val="22"/>
          <w:szCs w:val="22"/>
          <w:vertAlign w:val="superscript"/>
        </w:rPr>
        <w:t>3</w:t>
      </w:r>
      <w:r w:rsidRPr="00FA018D">
        <w:rPr>
          <w:rFonts w:cs="Arial"/>
          <w:b/>
          <w:sz w:val="22"/>
          <w:szCs w:val="22"/>
          <w:vertAlign w:val="superscript"/>
        </w:rPr>
        <w:t>]</w:t>
      </w:r>
    </w:p>
    <w:p w14:paraId="2198B5B2" w14:textId="1208BC6D"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Assurance </w:t>
      </w:r>
      <w:r w:rsidR="00FB14F2">
        <w:rPr>
          <w:rFonts w:ascii="Arial" w:hAnsi="Arial" w:cs="Arial"/>
          <w:i/>
          <w:sz w:val="22"/>
          <w:szCs w:val="22"/>
          <w:lang w:val="en-ZA"/>
        </w:rPr>
        <w:t>practitioner</w:t>
      </w:r>
      <w:r w:rsidRPr="00FA018D">
        <w:rPr>
          <w:rFonts w:ascii="Arial" w:hAnsi="Arial" w:cs="Arial"/>
          <w:i/>
          <w:sz w:val="22"/>
          <w:szCs w:val="22"/>
          <w:lang w:val="en-ZA"/>
        </w:rPr>
        <w:t>’s signature</w:t>
      </w:r>
    </w:p>
    <w:p w14:paraId="7A7F3AE9" w14:textId="77777777"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7BCA86DE" w14:textId="6626D8F1" w:rsidR="00E923F3" w:rsidRPr="00F1610D" w:rsidRDefault="00D24B06" w:rsidP="004D39B4">
      <w:pPr>
        <w:autoSpaceDE w:val="0"/>
        <w:autoSpaceDN w:val="0"/>
        <w:adjustRightInd w:val="0"/>
        <w:spacing w:after="120" w:line="312" w:lineRule="auto"/>
        <w:jc w:val="both"/>
      </w:pPr>
      <w:r w:rsidRPr="00FA018D">
        <w:rPr>
          <w:rFonts w:ascii="Arial" w:hAnsi="Arial" w:cs="Arial"/>
          <w:bCs/>
          <w:i/>
          <w:sz w:val="22"/>
          <w:szCs w:val="22"/>
        </w:rPr>
        <w:t xml:space="preserve">Capacity (e.g.) Director or </w:t>
      </w:r>
      <w:r w:rsidR="00C45036" w:rsidRPr="00FA018D">
        <w:rPr>
          <w:rFonts w:ascii="Arial" w:hAnsi="Arial" w:cs="Arial"/>
          <w:bCs/>
          <w:i/>
          <w:sz w:val="22"/>
          <w:szCs w:val="22"/>
        </w:rPr>
        <w:t xml:space="preserve">Partner </w:t>
      </w:r>
      <w:r w:rsidR="00C45036" w:rsidRPr="00FA018D">
        <w:rPr>
          <w:rFonts w:ascii="Arial" w:hAnsi="Arial" w:cs="Arial"/>
          <w:sz w:val="22"/>
          <w:szCs w:val="22"/>
          <w:vertAlign w:val="superscript"/>
        </w:rPr>
        <w:t>[</w:t>
      </w:r>
      <w:r w:rsidR="00E433B0" w:rsidRPr="00FA018D">
        <w:rPr>
          <w:rFonts w:ascii="Arial" w:hAnsi="Arial" w:cs="Arial"/>
          <w:b/>
          <w:sz w:val="22"/>
          <w:szCs w:val="22"/>
          <w:vertAlign w:val="superscript"/>
        </w:rPr>
        <w:t>N2</w:t>
      </w:r>
      <w:r w:rsidR="003F5D62">
        <w:rPr>
          <w:rFonts w:ascii="Arial" w:hAnsi="Arial" w:cs="Arial"/>
          <w:b/>
          <w:sz w:val="22"/>
          <w:szCs w:val="22"/>
          <w:vertAlign w:val="superscript"/>
        </w:rPr>
        <w:t>3</w:t>
      </w:r>
      <w:r w:rsidRPr="00FA018D">
        <w:rPr>
          <w:rFonts w:ascii="Arial" w:hAnsi="Arial" w:cs="Arial"/>
          <w:b/>
          <w:sz w:val="22"/>
          <w:szCs w:val="22"/>
          <w:vertAlign w:val="superscript"/>
        </w:rPr>
        <w:t>]</w:t>
      </w:r>
    </w:p>
    <w:p w14:paraId="23A4F3C0" w14:textId="77777777" w:rsidR="00895114" w:rsidRPr="00F1610D" w:rsidRDefault="00895114" w:rsidP="00671E38">
      <w:pPr>
        <w:pStyle w:val="BodySingle"/>
        <w:spacing w:after="120" w:line="312" w:lineRule="auto"/>
        <w:jc w:val="both"/>
        <w:rPr>
          <w:rFonts w:cs="Arial"/>
          <w:sz w:val="22"/>
          <w:szCs w:val="22"/>
        </w:rPr>
      </w:pPr>
    </w:p>
    <w:p w14:paraId="0A27E565" w14:textId="20492ED8"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lastRenderedPageBreak/>
        <w:t xml:space="preserve">Confirmation of the </w:t>
      </w:r>
      <w:r w:rsidR="00E37EBE">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4C437B75"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E37EBE">
        <w:rPr>
          <w:rFonts w:ascii="Arial" w:hAnsi="Arial" w:cs="Arial"/>
          <w:snapToGrid w:val="0"/>
          <w:sz w:val="22"/>
          <w:szCs w:val="22"/>
        </w:rPr>
        <w:t>e</w:t>
      </w:r>
      <w:r w:rsidRPr="00F1610D">
        <w:rPr>
          <w:rFonts w:ascii="Arial" w:hAnsi="Arial" w:cs="Arial"/>
          <w:snapToGrid w:val="0"/>
          <w:sz w:val="22"/>
          <w:szCs w:val="22"/>
        </w:rPr>
        <w:t xml:space="preserve">ngagement </w:t>
      </w:r>
      <w:r w:rsidR="00E37EBE">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7334851E" w14:textId="77777777" w:rsidR="00A9026C" w:rsidRPr="00F1610D" w:rsidRDefault="00895114" w:rsidP="00A9026C">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A9026C" w:rsidRPr="00F1610D">
        <w:rPr>
          <w:rFonts w:ascii="Arial" w:hAnsi="Arial" w:cs="Arial"/>
          <w:sz w:val="22"/>
          <w:szCs w:val="22"/>
        </w:rPr>
        <w:t>__________________________________________</w:t>
      </w:r>
    </w:p>
    <w:p w14:paraId="48E3E206" w14:textId="77777777" w:rsidR="00895114" w:rsidRPr="00F1610D" w:rsidRDefault="00895114" w:rsidP="00671E38">
      <w:pPr>
        <w:keepNext/>
        <w:keepLines/>
        <w:spacing w:after="120" w:line="312" w:lineRule="auto"/>
        <w:ind w:left="1701" w:hanging="1701"/>
        <w:jc w:val="both"/>
        <w:rPr>
          <w:rFonts w:ascii="Arial" w:hAnsi="Arial" w:cs="Arial"/>
          <w:smallCaps/>
          <w:sz w:val="22"/>
          <w:szCs w:val="22"/>
        </w:rPr>
      </w:pP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7F32F792"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r w:rsidR="00A5478B">
        <w:rPr>
          <w:rFonts w:ascii="Arial" w:hAnsi="Arial" w:cs="Arial"/>
          <w:sz w:val="22"/>
          <w:szCs w:val="22"/>
          <w:lang w:val="en-ZA"/>
        </w:rPr>
        <w:t xml:space="preserve">the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5"/>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7"/>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subject matters are included in the scope of the assurance engagement, the practitioner should adapt the assurance report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It is important that the practitioner clearly 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71748324"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 xml:space="preserve">there is no specific guidance in terms </w:t>
      </w:r>
      <w:r w:rsidR="00ED4127" w:rsidRPr="00EB3D27">
        <w:rPr>
          <w:rFonts w:ascii="Arial" w:hAnsi="Arial" w:cs="Arial"/>
          <w:sz w:val="22"/>
          <w:szCs w:val="22"/>
          <w:lang w:val="en-ZA"/>
        </w:rPr>
        <w:lastRenderedPageBreak/>
        <w:t>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0F06B7">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5500499A"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0F06B7">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0F06B7">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0F06B7">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8"/>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Accordingly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0ACE7BFF"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DF2F41">
        <w:rPr>
          <w:rFonts w:ascii="Arial" w:hAnsi="Arial" w:cs="Arial"/>
          <w:sz w:val="22"/>
          <w:szCs w:val="22"/>
          <w:lang w:val="en-ZA"/>
        </w:rPr>
        <w:t>s</w:t>
      </w:r>
      <w:r>
        <w:rPr>
          <w:rFonts w:ascii="Arial" w:hAnsi="Arial" w:cs="Arial"/>
          <w:sz w:val="22"/>
          <w:szCs w:val="22"/>
          <w:lang w:val="en-ZA"/>
        </w:rPr>
        <w:t xml:space="preserve"> 24</w:t>
      </w:r>
      <w:r w:rsidR="00DF2F41">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FF2944">
        <w:rPr>
          <w:rFonts w:ascii="Arial" w:hAnsi="Arial" w:cs="Arial"/>
          <w:sz w:val="22"/>
          <w:szCs w:val="22"/>
          <w:lang w:val="en-ZA"/>
        </w:rPr>
        <w:t xml:space="preserve">that all preconditions be present prior </w:t>
      </w:r>
      <w:r>
        <w:rPr>
          <w:rFonts w:ascii="Arial" w:hAnsi="Arial" w:cs="Arial"/>
          <w:sz w:val="22"/>
          <w:szCs w:val="22"/>
          <w:lang w:val="en-ZA"/>
        </w:rPr>
        <w:t xml:space="preserve">to accepting an assurance engagement.  </w:t>
      </w:r>
      <w:r w:rsidRPr="00F1610D">
        <w:rPr>
          <w:rFonts w:ascii="Arial" w:hAnsi="Arial" w:cs="Arial"/>
          <w:sz w:val="22"/>
          <w:szCs w:val="22"/>
          <w:lang w:val="en-ZA" w:eastAsia="en-US"/>
        </w:rPr>
        <w:t xml:space="preserve"> </w:t>
      </w:r>
    </w:p>
    <w:p w14:paraId="5A7B863B" w14:textId="2E779631"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 </w:t>
      </w:r>
      <w:r w:rsidR="00880FA4">
        <w:rPr>
          <w:rFonts w:ascii="Arial" w:hAnsi="Arial" w:cs="Arial"/>
          <w:sz w:val="22"/>
          <w:szCs w:val="22"/>
          <w:lang w:val="en-ZA" w:eastAsia="en-US"/>
        </w:rPr>
        <w:t>The assurance pr</w:t>
      </w:r>
      <w:r w:rsidR="007E008B">
        <w:rPr>
          <w:rFonts w:ascii="Arial" w:hAnsi="Arial" w:cs="Arial"/>
          <w:sz w:val="22"/>
          <w:szCs w:val="22"/>
          <w:lang w:val="en-ZA" w:eastAsia="en-US"/>
        </w:rPr>
        <w:t>actitioner</w:t>
      </w:r>
      <w:r w:rsidR="00880FA4">
        <w:rPr>
          <w:rFonts w:ascii="Arial" w:hAnsi="Arial" w:cs="Arial"/>
          <w:sz w:val="22"/>
          <w:szCs w:val="22"/>
          <w:lang w:val="en-ZA" w:eastAsia="en-US"/>
        </w:rPr>
        <w:t xml:space="preserve"> should emphasise to those responsible for the selection, preparation and presentation of the selected KPIs that they should ensure that there is a rational purpose present for the inclusion of these selected KPIs in the Report.  The assurance pr</w:t>
      </w:r>
      <w:r w:rsidR="007E008B">
        <w:rPr>
          <w:rFonts w:ascii="Arial" w:hAnsi="Arial" w:cs="Arial"/>
          <w:sz w:val="22"/>
          <w:szCs w:val="22"/>
          <w:lang w:val="en-ZA" w:eastAsia="en-US"/>
        </w:rPr>
        <w:t>actitioner</w:t>
      </w:r>
      <w:r w:rsidR="00880FA4">
        <w:rPr>
          <w:rFonts w:ascii="Arial" w:hAnsi="Arial" w:cs="Arial"/>
          <w:sz w:val="22"/>
          <w:szCs w:val="22"/>
          <w:lang w:val="en-ZA" w:eastAsia="en-US"/>
        </w:rPr>
        <w:t xml:space="preserve"> is referred to N3 above relating to the ISAE 3000 (Revised), paragraph</w:t>
      </w:r>
      <w:r w:rsidR="003031AF">
        <w:rPr>
          <w:rFonts w:ascii="Arial" w:hAnsi="Arial" w:cs="Arial"/>
          <w:sz w:val="22"/>
          <w:szCs w:val="22"/>
          <w:lang w:val="en-ZA" w:eastAsia="en-US"/>
        </w:rPr>
        <w:t>s</w:t>
      </w:r>
      <w:r w:rsidR="00880FA4">
        <w:rPr>
          <w:rFonts w:ascii="Arial" w:hAnsi="Arial" w:cs="Arial"/>
          <w:sz w:val="22"/>
          <w:szCs w:val="22"/>
          <w:lang w:val="en-ZA" w:eastAsia="en-US"/>
        </w:rPr>
        <w:t xml:space="preserve"> 24</w:t>
      </w:r>
      <w:r w:rsidR="003031AF">
        <w:rPr>
          <w:rFonts w:ascii="Arial" w:hAnsi="Arial" w:cs="Arial"/>
          <w:sz w:val="22"/>
          <w:szCs w:val="22"/>
          <w:lang w:val="en-ZA" w:eastAsia="en-US"/>
        </w:rPr>
        <w:t xml:space="preserve"> and 25</w:t>
      </w:r>
      <w:r w:rsidR="00880FA4">
        <w:rPr>
          <w:rFonts w:ascii="Arial" w:hAnsi="Arial" w:cs="Arial"/>
          <w:sz w:val="22"/>
          <w:szCs w:val="22"/>
          <w:lang w:val="en-ZA" w:eastAsia="en-US"/>
        </w:rPr>
        <w:t>, “Preconditions for the Assurance Engagement”</w:t>
      </w:r>
      <w:r w:rsidR="00B26D37">
        <w:rPr>
          <w:rFonts w:ascii="Arial" w:hAnsi="Arial" w:cs="Arial"/>
          <w:sz w:val="22"/>
          <w:szCs w:val="22"/>
          <w:lang w:val="en-ZA" w:eastAsia="en-US"/>
        </w:rPr>
        <w:t>.</w:t>
      </w:r>
    </w:p>
    <w:p w14:paraId="4FD95AC7" w14:textId="23F8CEA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EE5460">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 xml:space="preserve">should </w:t>
      </w:r>
      <w:r w:rsidR="002D0D19" w:rsidRPr="00F1610D">
        <w:rPr>
          <w:rFonts w:ascii="Arial" w:hAnsi="Arial" w:cs="Arial"/>
          <w:sz w:val="22"/>
          <w:szCs w:val="22"/>
          <w:lang w:val="en-ZA" w:eastAsia="en-US"/>
        </w:rPr>
        <w:t>includ</w:t>
      </w:r>
      <w:r w:rsidR="00EE5460">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 xml:space="preserve">presented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w:t>
      </w:r>
      <w:r w:rsidR="005B743A" w:rsidRPr="00DA662D">
        <w:rPr>
          <w:rFonts w:ascii="Arial" w:hAnsi="Arial" w:cs="Arial"/>
          <w:sz w:val="22"/>
          <w:szCs w:val="22"/>
          <w:lang w:val="en-ZA" w:eastAsia="en-US"/>
        </w:rPr>
        <w:lastRenderedPageBreak/>
        <w:t>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542DC6B5" w14:textId="1B1C5BFF" w:rsidR="00CF4BF9" w:rsidRPr="00C94B13" w:rsidRDefault="00CF4BF9" w:rsidP="00CC2A13">
      <w:pPr>
        <w:spacing w:after="120" w:line="312" w:lineRule="auto"/>
        <w:ind w:left="567"/>
        <w:jc w:val="both"/>
        <w:rPr>
          <w:rFonts w:cs="Arial"/>
          <w:sz w:val="22"/>
          <w:szCs w:val="22"/>
          <w:lang w:val="en-ZA"/>
        </w:rPr>
      </w:pPr>
      <w:r>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Pr>
          <w:rFonts w:ascii="Arial" w:hAnsi="Arial" w:cs="Arial"/>
          <w:sz w:val="22"/>
          <w:szCs w:val="22"/>
          <w:lang w:val="en-ZA"/>
        </w:rPr>
        <w:t xml:space="preserve"> </w:t>
      </w:r>
      <w:r w:rsidR="006243FB">
        <w:rPr>
          <w:rFonts w:ascii="Arial" w:hAnsi="Arial" w:cs="Arial"/>
          <w:sz w:val="22"/>
          <w:szCs w:val="22"/>
          <w:lang w:val="en-ZA"/>
        </w:rPr>
        <w:t>Report</w:t>
      </w:r>
      <w:r>
        <w:rPr>
          <w:rFonts w:ascii="Arial" w:hAnsi="Arial" w:cs="Arial"/>
          <w:sz w:val="22"/>
          <w:szCs w:val="22"/>
          <w:lang w:val="en-ZA"/>
        </w:rPr>
        <w:t xml:space="preserve">, a specific table or in various sections throughout the Integrated Report. In such circumstances, the sentence should be worded to refer the user to the identified disclosure areas. </w:t>
      </w:r>
    </w:p>
    <w:p w14:paraId="45A56C96" w14:textId="07E9F578"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837554">
        <w:rPr>
          <w:rFonts w:ascii="Arial" w:hAnsi="Arial" w:cs="Arial"/>
          <w:sz w:val="22"/>
          <w:szCs w:val="22"/>
          <w:lang w:val="en-ZA" w:eastAsia="en-US"/>
        </w:rPr>
        <w:t>diverse</w:t>
      </w:r>
      <w:r w:rsidRPr="00DC1D9F">
        <w:rPr>
          <w:rFonts w:ascii="Arial" w:hAnsi="Arial" w:cs="Arial"/>
          <w:sz w:val="22"/>
          <w:szCs w:val="22"/>
          <w:lang w:val="en-ZA" w:eastAsia="en-US"/>
        </w:rPr>
        <w:t xml:space="preserve"> </w:t>
      </w:r>
      <w:r w:rsidR="00837554">
        <w:rPr>
          <w:rFonts w:ascii="Arial" w:hAnsi="Arial" w:cs="Arial"/>
          <w:sz w:val="22"/>
          <w:szCs w:val="22"/>
          <w:lang w:val="en-ZA" w:eastAsia="en-US"/>
        </w:rPr>
        <w:t>sustainability areas</w:t>
      </w:r>
      <w:r w:rsidRPr="00DC1D9F">
        <w:rPr>
          <w:rFonts w:ascii="Arial" w:hAnsi="Arial" w:cs="Arial"/>
          <w:sz w:val="22"/>
          <w:szCs w:val="22"/>
          <w:lang w:val="en-ZA" w:eastAsia="en-US"/>
        </w:rPr>
        <w:t xml:space="preserve"> will be required. The assurance </w:t>
      </w:r>
      <w:r w:rsidR="00FB14F2">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0EBE6C3B"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engagement to engagement</w:t>
      </w:r>
      <w:r w:rsidR="00AD56C1">
        <w:rPr>
          <w:rFonts w:ascii="Arial" w:hAnsi="Arial" w:cs="Arial"/>
          <w:sz w:val="22"/>
          <w:szCs w:val="22"/>
          <w:lang w:val="en-ZA" w:eastAsia="en-US"/>
        </w:rPr>
        <w:t xml:space="preserve"> depending on those reported on in the Report and those on which the assurance </w:t>
      </w:r>
      <w:r w:rsidR="00FB14F2">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limited</w:t>
      </w:r>
      <w:r w:rsidR="00AD56C1">
        <w:rPr>
          <w:rFonts w:ascii="Arial" w:hAnsi="Arial" w:cs="Arial"/>
          <w:sz w:val="22"/>
          <w:szCs w:val="22"/>
          <w:lang w:val="en-ZA" w:eastAsia="en-US"/>
        </w:rPr>
        <w:t xml:space="preserve"> assurance</w:t>
      </w:r>
      <w:r w:rsidR="00ED32C2">
        <w:rPr>
          <w:rFonts w:ascii="Arial" w:hAnsi="Arial" w:cs="Arial"/>
          <w:sz w:val="22"/>
          <w:szCs w:val="22"/>
          <w:lang w:val="en-ZA" w:eastAsia="en-US"/>
        </w:rPr>
        <w:t xml:space="preserve">.  </w:t>
      </w:r>
    </w:p>
    <w:p w14:paraId="193D97FD" w14:textId="49F06B02"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limited</w:t>
      </w:r>
      <w:r w:rsidR="00982988" w:rsidRPr="00F1610D">
        <w:rPr>
          <w:rFonts w:ascii="Arial" w:hAnsi="Arial" w:cs="Arial"/>
          <w:sz w:val="22"/>
          <w:szCs w:val="22"/>
        </w:rPr>
        <w:t xml:space="preserve"> </w:t>
      </w:r>
      <w:r w:rsidR="00982988" w:rsidRPr="00F1610D">
        <w:rPr>
          <w:rFonts w:ascii="Arial" w:hAnsi="Arial" w:cs="Arial"/>
          <w:sz w:val="22"/>
          <w:szCs w:val="22"/>
          <w:lang w:val="en-ZA"/>
        </w:rPr>
        <w:t>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FB14F2">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w:t>
      </w:r>
      <w:r w:rsidR="00321727">
        <w:rPr>
          <w:rFonts w:ascii="Arial" w:hAnsi="Arial" w:cs="Arial"/>
          <w:sz w:val="22"/>
          <w:szCs w:val="22"/>
          <w:lang w:val="en-ZA"/>
        </w:rPr>
        <w:t xml:space="preserve"> limited</w:t>
      </w:r>
      <w:r w:rsidR="00E41F07">
        <w:rPr>
          <w:rFonts w:ascii="Arial" w:hAnsi="Arial" w:cs="Arial"/>
          <w:sz w:val="22"/>
          <w:szCs w:val="22"/>
          <w:lang w:val="en-ZA"/>
        </w:rPr>
        <w:t xml:space="preserve"> assurance to be expressed on. The assurance </w:t>
      </w:r>
      <w:r w:rsidR="00FB14F2">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the preconditions for the assurance engagement are present, which includes that the underlying subject matter is appropriate.</w:t>
      </w:r>
      <w:r w:rsidR="00AD0727">
        <w:rPr>
          <w:rStyle w:val="FootnoteReference"/>
          <w:rFonts w:ascii="Arial" w:hAnsi="Arial"/>
          <w:sz w:val="22"/>
          <w:szCs w:val="22"/>
        </w:rPr>
        <w:footnoteReference w:id="13"/>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FB14F2">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report is likely to meet the information needs of intended 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21037EA9"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t>N</w:t>
      </w:r>
      <w:r w:rsidR="00CC2A13">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t>
      </w:r>
      <w:r w:rsidR="000E32D8">
        <w:rPr>
          <w:rFonts w:ascii="Arial" w:hAnsi="Arial" w:cs="Arial"/>
          <w:sz w:val="22"/>
          <w:szCs w:val="22"/>
        </w:rPr>
        <w:lastRenderedPageBreak/>
        <w:t>“whil</w:t>
      </w:r>
      <w:r w:rsidR="009D5226">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825461">
        <w:rPr>
          <w:rFonts w:ascii="Arial" w:hAnsi="Arial" w:cs="Arial"/>
          <w:sz w:val="22"/>
          <w:szCs w:val="22"/>
        </w:rPr>
        <w:t xml:space="preserve">assurance </w:t>
      </w:r>
      <w:r w:rsidR="00FB14F2">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6517E738" w14:textId="7421352D" w:rsidR="009C5104" w:rsidRDefault="00E433B0"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eastAsia="en-US"/>
        </w:rPr>
        <w:t>N</w:t>
      </w:r>
      <w:r w:rsidR="00CC2A13">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2431B1" w:rsidRPr="00AA4382">
        <w:rPr>
          <w:rFonts w:ascii="Arial" w:hAnsi="Arial" w:cs="Arial"/>
          <w:sz w:val="22"/>
          <w:szCs w:val="22"/>
          <w:lang w:val="en-ZA"/>
        </w:rPr>
        <w:t>Th</w:t>
      </w:r>
      <w:r w:rsidR="002431B1">
        <w:rPr>
          <w:rFonts w:ascii="Arial" w:hAnsi="Arial" w:cs="Arial"/>
          <w:sz w:val="22"/>
          <w:szCs w:val="22"/>
          <w:lang w:val="en-ZA"/>
        </w:rPr>
        <w:t>e International Ethics Standards Board for Accountants (IESBA)</w:t>
      </w:r>
      <w:r w:rsidR="002431B1" w:rsidRPr="00AA4382">
        <w:rPr>
          <w:rFonts w:ascii="Arial" w:hAnsi="Arial" w:cs="Arial"/>
          <w:sz w:val="22"/>
          <w:szCs w:val="22"/>
          <w:lang w:val="en-ZA"/>
        </w:rPr>
        <w:t xml:space="preserve"> </w:t>
      </w:r>
      <w:r w:rsidR="002431B1" w:rsidRPr="00B7086E">
        <w:rPr>
          <w:rFonts w:ascii="Arial" w:hAnsi="Arial" w:cs="Arial"/>
          <w:i/>
          <w:sz w:val="22"/>
          <w:szCs w:val="22"/>
          <w:lang w:val="en-ZA"/>
        </w:rPr>
        <w:t>Code of Ethics for Professional Accountants</w:t>
      </w:r>
      <w:r w:rsidR="0048748F">
        <w:rPr>
          <w:rFonts w:ascii="Arial" w:hAnsi="Arial" w:cs="Arial"/>
          <w:i/>
          <w:sz w:val="22"/>
          <w:szCs w:val="22"/>
          <w:lang w:val="en-ZA"/>
        </w:rPr>
        <w:t xml:space="preserve">, recently replaced by the </w:t>
      </w:r>
      <w:r w:rsidR="00BA4836" w:rsidRPr="00FA7D68">
        <w:rPr>
          <w:rFonts w:ascii="Arial" w:hAnsi="Arial" w:cs="Arial"/>
          <w:i/>
          <w:sz w:val="22"/>
          <w:szCs w:val="22"/>
        </w:rPr>
        <w:t>International Code of Ethics for Professional Accountants (including International Independence Standards)</w:t>
      </w:r>
      <w:r w:rsidR="0048748F">
        <w:rPr>
          <w:rFonts w:ascii="Arial" w:hAnsi="Arial" w:cs="Arial"/>
          <w:i/>
          <w:sz w:val="22"/>
          <w:szCs w:val="22"/>
        </w:rPr>
        <w:t>,</w:t>
      </w:r>
      <w:r w:rsidR="00BA4836" w:rsidRPr="00FA7D68">
        <w:rPr>
          <w:rFonts w:ascii="Arial" w:hAnsi="Arial" w:cs="Arial"/>
          <w:i/>
          <w:sz w:val="22"/>
          <w:szCs w:val="22"/>
        </w:rPr>
        <w:t xml:space="preserve"> </w:t>
      </w:r>
      <w:r w:rsidR="002431B1" w:rsidRPr="00AA4382">
        <w:rPr>
          <w:rFonts w:ascii="Arial" w:hAnsi="Arial" w:cs="Arial"/>
          <w:sz w:val="22"/>
          <w:szCs w:val="22"/>
          <w:lang w:val="en-ZA"/>
        </w:rPr>
        <w:t xml:space="preserve">establish ethical requirements for </w:t>
      </w:r>
      <w:r w:rsidR="002431B1">
        <w:rPr>
          <w:rFonts w:ascii="Arial" w:hAnsi="Arial" w:cs="Arial"/>
          <w:sz w:val="22"/>
          <w:szCs w:val="22"/>
          <w:lang w:val="en-ZA"/>
        </w:rPr>
        <w:t>“</w:t>
      </w:r>
      <w:r w:rsidR="002431B1" w:rsidRPr="00AA4382">
        <w:rPr>
          <w:rFonts w:ascii="Arial" w:hAnsi="Arial" w:cs="Arial"/>
          <w:sz w:val="22"/>
          <w:szCs w:val="22"/>
          <w:lang w:val="en-ZA"/>
        </w:rPr>
        <w:t>professional accountants</w:t>
      </w:r>
      <w:r w:rsidR="002431B1">
        <w:rPr>
          <w:rFonts w:ascii="Arial" w:hAnsi="Arial" w:cs="Arial"/>
          <w:sz w:val="22"/>
          <w:szCs w:val="22"/>
          <w:lang w:val="en-ZA"/>
        </w:rPr>
        <w:t>”</w:t>
      </w:r>
      <w:r w:rsidR="002431B1" w:rsidRPr="00AA4382">
        <w:rPr>
          <w:rFonts w:ascii="Arial" w:hAnsi="Arial" w:cs="Arial"/>
          <w:sz w:val="22"/>
          <w:szCs w:val="22"/>
          <w:lang w:val="en-ZA"/>
        </w:rPr>
        <w:t xml:space="preserve">, who are defined in terms of IESBA Code to be individuals who are members of </w:t>
      </w:r>
      <w:r w:rsidR="002431B1">
        <w:rPr>
          <w:rFonts w:ascii="Arial" w:hAnsi="Arial" w:cs="Arial"/>
          <w:sz w:val="22"/>
          <w:szCs w:val="22"/>
          <w:lang w:val="en-ZA"/>
        </w:rPr>
        <w:t>an</w:t>
      </w:r>
      <w:r w:rsidR="002431B1" w:rsidRPr="00AA4382">
        <w:rPr>
          <w:rFonts w:ascii="Arial" w:hAnsi="Arial" w:cs="Arial"/>
          <w:sz w:val="22"/>
          <w:szCs w:val="22"/>
          <w:lang w:val="en-ZA"/>
        </w:rPr>
        <w:t xml:space="preserve"> IFAC member body.  Where the assurance </w:t>
      </w:r>
      <w:r w:rsidR="00FB14F2">
        <w:rPr>
          <w:rFonts w:ascii="Arial" w:hAnsi="Arial" w:cs="Arial"/>
          <w:sz w:val="22"/>
          <w:szCs w:val="22"/>
          <w:lang w:val="en-ZA"/>
        </w:rPr>
        <w:t>practitioner</w:t>
      </w:r>
      <w:r w:rsidR="002431B1" w:rsidRPr="00AA4382">
        <w:rPr>
          <w:rFonts w:ascii="Arial" w:hAnsi="Arial" w:cs="Arial"/>
          <w:sz w:val="22"/>
          <w:szCs w:val="22"/>
          <w:lang w:val="en-ZA"/>
        </w:rPr>
        <w:t xml:space="preserve"> is a </w:t>
      </w:r>
      <w:r w:rsidR="002431B1">
        <w:rPr>
          <w:rFonts w:ascii="Arial" w:hAnsi="Arial" w:cs="Arial"/>
          <w:sz w:val="22"/>
          <w:szCs w:val="22"/>
          <w:lang w:val="en-ZA"/>
        </w:rPr>
        <w:t>R</w:t>
      </w:r>
      <w:r w:rsidR="002431B1" w:rsidRPr="00AA4382">
        <w:rPr>
          <w:rFonts w:ascii="Arial" w:hAnsi="Arial" w:cs="Arial"/>
          <w:sz w:val="22"/>
          <w:szCs w:val="22"/>
          <w:lang w:val="en-ZA"/>
        </w:rPr>
        <w:t xml:space="preserve">egistered </w:t>
      </w:r>
      <w:r w:rsidR="002431B1">
        <w:rPr>
          <w:rFonts w:ascii="Arial" w:hAnsi="Arial" w:cs="Arial"/>
          <w:sz w:val="22"/>
          <w:szCs w:val="22"/>
          <w:lang w:val="en-ZA"/>
        </w:rPr>
        <w:t>A</w:t>
      </w:r>
      <w:r w:rsidR="002431B1" w:rsidRPr="00AA4382">
        <w:rPr>
          <w:rFonts w:ascii="Arial" w:hAnsi="Arial" w:cs="Arial"/>
          <w:sz w:val="22"/>
          <w:szCs w:val="22"/>
          <w:lang w:val="en-ZA"/>
        </w:rPr>
        <w:t xml:space="preserve">uditor, </w:t>
      </w:r>
      <w:bookmarkStart w:id="0" w:name="_Hlk18396245"/>
      <w:r w:rsidR="002431B1" w:rsidRPr="00AA4382">
        <w:rPr>
          <w:rFonts w:ascii="Arial" w:hAnsi="Arial" w:cs="Arial"/>
          <w:sz w:val="22"/>
          <w:szCs w:val="22"/>
          <w:lang w:val="en-ZA"/>
        </w:rPr>
        <w:t>reference</w:t>
      </w:r>
      <w:r w:rsidR="002D1C60">
        <w:rPr>
          <w:rFonts w:ascii="Arial" w:hAnsi="Arial" w:cs="Arial"/>
          <w:sz w:val="22"/>
          <w:szCs w:val="22"/>
          <w:lang w:val="en-ZA"/>
        </w:rPr>
        <w:t xml:space="preserve"> to</w:t>
      </w:r>
      <w:r w:rsidR="002431B1" w:rsidRPr="00AA4382">
        <w:rPr>
          <w:rFonts w:ascii="Arial" w:hAnsi="Arial" w:cs="Arial"/>
          <w:sz w:val="22"/>
          <w:szCs w:val="22"/>
          <w:lang w:val="en-ZA"/>
        </w:rPr>
        <w:t xml:space="preserve"> </w:t>
      </w:r>
      <w:r w:rsidR="002D1C60">
        <w:rPr>
          <w:rFonts w:ascii="Arial" w:hAnsi="Arial" w:cs="Arial"/>
          <w:sz w:val="22"/>
          <w:szCs w:val="22"/>
        </w:rPr>
        <w:t xml:space="preserve">the </w:t>
      </w:r>
      <w:bookmarkEnd w:id="0"/>
      <w:r w:rsidR="002D1C60">
        <w:rPr>
          <w:rFonts w:ascii="Arial" w:hAnsi="Arial" w:cs="Arial"/>
          <w:sz w:val="22"/>
          <w:szCs w:val="22"/>
        </w:rPr>
        <w:t>“</w:t>
      </w:r>
      <w:r w:rsidR="002D1C60" w:rsidRPr="001A6251">
        <w:rPr>
          <w:rFonts w:ascii="Arial" w:hAnsi="Arial" w:cs="Arial"/>
          <w:i/>
          <w:sz w:val="22"/>
          <w:szCs w:val="22"/>
        </w:rPr>
        <w:t>Code of Ethics for Professional Accountants</w:t>
      </w:r>
      <w:r w:rsidR="002D1C60">
        <w:rPr>
          <w:rFonts w:ascii="Arial" w:hAnsi="Arial" w:cs="Arial"/>
          <w:i/>
          <w:sz w:val="22"/>
          <w:szCs w:val="22"/>
        </w:rPr>
        <w:t xml:space="preserve"> </w:t>
      </w:r>
      <w:r w:rsidR="002D1C60" w:rsidRPr="0048748F">
        <w:rPr>
          <w:rFonts w:ascii="Arial" w:hAnsi="Arial" w:cs="Arial"/>
          <w:iCs/>
          <w:sz w:val="22"/>
          <w:szCs w:val="22"/>
        </w:rPr>
        <w:t>and</w:t>
      </w:r>
      <w:r w:rsidR="002D1C60">
        <w:rPr>
          <w:rFonts w:ascii="Arial" w:hAnsi="Arial" w:cs="Arial"/>
          <w:i/>
          <w:sz w:val="22"/>
          <w:szCs w:val="22"/>
        </w:rPr>
        <w:t xml:space="preserve"> </w:t>
      </w:r>
      <w:r w:rsidR="002D1C60" w:rsidRPr="00BA4836">
        <w:rPr>
          <w:rFonts w:ascii="Arial" w:hAnsi="Arial" w:cs="Arial"/>
          <w:sz w:val="22"/>
          <w:szCs w:val="22"/>
          <w:lang w:val="en-ZA"/>
        </w:rPr>
        <w:t>the</w:t>
      </w:r>
      <w:r w:rsidR="002D1C60">
        <w:rPr>
          <w:rFonts w:ascii="Arial" w:hAnsi="Arial" w:cs="Arial"/>
          <w:i/>
          <w:sz w:val="22"/>
          <w:szCs w:val="22"/>
          <w:lang w:val="en-ZA"/>
        </w:rPr>
        <w:t xml:space="preserve"> </w:t>
      </w:r>
      <w:r w:rsidR="002D1C60" w:rsidRPr="00FA7D68">
        <w:rPr>
          <w:rFonts w:ascii="Arial" w:hAnsi="Arial" w:cs="Arial"/>
          <w:i/>
          <w:sz w:val="22"/>
          <w:szCs w:val="22"/>
        </w:rPr>
        <w:t>International Code of Ethics for Professional Accountants (including International Independence Standards)</w:t>
      </w:r>
      <w:r w:rsidR="002D1C60" w:rsidRPr="001A6251">
        <w:rPr>
          <w:rFonts w:ascii="Arial" w:hAnsi="Arial" w:cs="Arial"/>
          <w:i/>
          <w:sz w:val="22"/>
          <w:szCs w:val="22"/>
        </w:rPr>
        <w:t xml:space="preserve"> </w:t>
      </w:r>
      <w:r w:rsidR="002D1C60" w:rsidRPr="001A6251">
        <w:rPr>
          <w:rFonts w:ascii="Arial" w:hAnsi="Arial" w:cs="Arial"/>
          <w:sz w:val="22"/>
          <w:szCs w:val="22"/>
        </w:rPr>
        <w:t>issued by the International Ethics Standards Board for Accountants”</w:t>
      </w:r>
      <w:r w:rsidR="002D1C60" w:rsidRPr="001A6251">
        <w:rPr>
          <w:rFonts w:ascii="Arial" w:hAnsi="Arial" w:cs="Arial"/>
          <w:sz w:val="22"/>
          <w:szCs w:val="22"/>
          <w:lang w:val="en-ZA"/>
        </w:rPr>
        <w:t xml:space="preserve"> </w:t>
      </w:r>
      <w:bookmarkStart w:id="1" w:name="_Hlk17752861"/>
      <w:r w:rsidR="002D1C60" w:rsidRPr="001A6251">
        <w:rPr>
          <w:rFonts w:ascii="Arial" w:hAnsi="Arial" w:cs="Arial"/>
          <w:sz w:val="22"/>
          <w:szCs w:val="22"/>
          <w:lang w:val="en-ZA"/>
        </w:rPr>
        <w:t>should be replaced with the following</w:t>
      </w:r>
      <w:bookmarkEnd w:id="1"/>
      <w:r w:rsidR="00E90A1E">
        <w:rPr>
          <w:rFonts w:ascii="Arial" w:hAnsi="Arial" w:cs="Arial"/>
          <w:sz w:val="22"/>
          <w:szCs w:val="22"/>
          <w:lang w:val="en-ZA"/>
        </w:rPr>
        <w:t>:</w:t>
      </w:r>
    </w:p>
    <w:p w14:paraId="4BEB111F" w14:textId="609F64E4" w:rsidR="00227FA3" w:rsidRPr="00227FA3" w:rsidRDefault="00227FA3" w:rsidP="00671E38">
      <w:pPr>
        <w:spacing w:after="120" w:line="312" w:lineRule="auto"/>
        <w:ind w:left="567" w:hanging="567"/>
        <w:jc w:val="both"/>
        <w:rPr>
          <w:rFonts w:ascii="Arial" w:hAnsi="Arial" w:cs="Arial"/>
          <w:sz w:val="22"/>
          <w:szCs w:val="22"/>
          <w:lang w:val="en-ZA" w:eastAsia="en-US"/>
        </w:rPr>
      </w:pPr>
      <w:r>
        <w:rPr>
          <w:rFonts w:ascii="Arial" w:hAnsi="Arial" w:cs="Arial"/>
          <w:sz w:val="22"/>
          <w:szCs w:val="22"/>
          <w:lang w:val="en-ZA" w:eastAsia="en-US"/>
        </w:rPr>
        <w:tab/>
      </w:r>
      <w:r w:rsidRPr="00227FA3">
        <w:rPr>
          <w:rFonts w:ascii="Arial" w:hAnsi="Arial" w:cs="Arial"/>
          <w:sz w:val="22"/>
          <w:szCs w:val="22"/>
          <w:lang w:val="en-ZA" w:eastAsia="en-ZA"/>
        </w:rPr>
        <w:t xml:space="preserve">We are required to comply with the independence and other ethical requirements of the </w:t>
      </w:r>
      <w:r w:rsidRPr="00227FA3">
        <w:rPr>
          <w:rFonts w:ascii="Arial" w:hAnsi="Arial" w:cs="Arial"/>
          <w:i/>
          <w:sz w:val="22"/>
          <w:szCs w:val="22"/>
          <w:lang w:val="en-ZA" w:eastAsia="en-ZA"/>
        </w:rPr>
        <w:t>Code of Professional Conduct for Registered Auditors</w:t>
      </w:r>
      <w:r w:rsidRPr="00227FA3">
        <w:rPr>
          <w:rFonts w:ascii="Arial" w:hAnsi="Arial" w:cs="Arial"/>
          <w:i/>
          <w:sz w:val="22"/>
          <w:szCs w:val="22"/>
          <w:lang w:eastAsia="en-ZA"/>
        </w:rPr>
        <w:t xml:space="preserve"> </w:t>
      </w:r>
      <w:r w:rsidRPr="00227FA3">
        <w:rPr>
          <w:rFonts w:ascii="Arial" w:hAnsi="Arial" w:cs="Arial"/>
          <w:sz w:val="22"/>
          <w:szCs w:val="22"/>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227FA3">
        <w:rPr>
          <w:rFonts w:ascii="Arial" w:hAnsi="Arial" w:cs="Arial"/>
          <w:sz w:val="22"/>
          <w:szCs w:val="22"/>
          <w:lang w:eastAsia="en-ZA"/>
        </w:rPr>
        <w:t xml:space="preserve"> </w:t>
      </w:r>
      <w:r w:rsidRPr="00227FA3">
        <w:rPr>
          <w:rFonts w:ascii="Arial" w:hAnsi="Arial" w:cs="Arial"/>
          <w:sz w:val="22"/>
          <w:szCs w:val="22"/>
          <w:lang w:val="en-ZA" w:eastAsia="en-ZA"/>
        </w:rPr>
        <w:t>is consistent with the corresponding sections of the International Ethics Standards Board for Accountants</w:t>
      </w:r>
      <w:r w:rsidRPr="00227FA3">
        <w:rPr>
          <w:rFonts w:ascii="Arial" w:hAnsi="Arial" w:cs="Arial"/>
          <w:sz w:val="22"/>
          <w:szCs w:val="22"/>
          <w:lang w:eastAsia="en-ZA"/>
        </w:rPr>
        <w:t>’</w:t>
      </w:r>
      <w:r w:rsidRPr="00227FA3">
        <w:rPr>
          <w:rFonts w:ascii="Arial" w:hAnsi="Arial" w:cs="Arial"/>
          <w:sz w:val="22"/>
          <w:szCs w:val="22"/>
          <w:lang w:val="en-ZA" w:eastAsia="en-ZA"/>
        </w:rPr>
        <w:t xml:space="preserve"> </w:t>
      </w:r>
      <w:r w:rsidRPr="00227FA3">
        <w:rPr>
          <w:rFonts w:ascii="Arial" w:eastAsiaTheme="minorHAnsi" w:hAnsi="Arial" w:cs="Arial"/>
          <w:i/>
          <w:sz w:val="22"/>
          <w:szCs w:val="22"/>
        </w:rPr>
        <w:t>International Code of Ethics for Professional Accountants (including International Independence Standards)</w:t>
      </w:r>
      <w:r w:rsidRPr="00227FA3">
        <w:rPr>
          <w:rFonts w:ascii="Arial" w:hAnsi="Arial" w:cs="Arial"/>
          <w:sz w:val="22"/>
          <w:szCs w:val="22"/>
          <w:lang w:val="en-ZA" w:eastAsia="en-ZA"/>
        </w:rPr>
        <w:t>.</w:t>
      </w:r>
    </w:p>
    <w:p w14:paraId="62BD7DE7" w14:textId="77777777" w:rsidR="007172A8" w:rsidRDefault="007172A8" w:rsidP="0048748F">
      <w:pPr>
        <w:spacing w:after="120" w:line="312" w:lineRule="auto"/>
      </w:pPr>
    </w:p>
    <w:p w14:paraId="078CBC18" w14:textId="77777777" w:rsidR="00E90A1E" w:rsidRPr="00CD6EB3" w:rsidRDefault="00E90A1E">
      <w:pPr>
        <w:spacing w:after="120" w:line="312" w:lineRule="auto"/>
        <w:ind w:left="567" w:hanging="567"/>
        <w:jc w:val="both"/>
        <w:rPr>
          <w:rFonts w:ascii="Arial" w:hAnsi="Arial" w:cs="Arial"/>
          <w:sz w:val="22"/>
          <w:szCs w:val="22"/>
          <w:lang w:val="en-ZA" w:eastAsia="en-US"/>
        </w:rPr>
      </w:pPr>
    </w:p>
    <w:p w14:paraId="60272BD1" w14:textId="25AAF9C3" w:rsidR="00140927" w:rsidRDefault="00E433B0" w:rsidP="00700E61">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N1</w:t>
      </w:r>
      <w:r w:rsidR="00CC2A13">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Assurance Engagements other than the Audits or Reviews of Historical Financial Information</w:t>
      </w:r>
      <w:r w:rsidR="00B97D30" w:rsidRPr="00DF5AA8">
        <w:rPr>
          <w:rFonts w:ascii="Arial" w:hAnsi="Arial" w:cs="Arial"/>
          <w:sz w:val="22"/>
          <w:szCs w:val="22"/>
          <w:lang w:val="en-ZA" w:eastAsia="en-US"/>
        </w:rPr>
        <w:t xml:space="preserve"> and</w:t>
      </w:r>
      <w:r w:rsidR="00C8368B">
        <w:rPr>
          <w:rFonts w:ascii="Arial" w:hAnsi="Arial" w:cs="Arial"/>
          <w:sz w:val="22"/>
          <w:szCs w:val="22"/>
          <w:lang w:val="en-ZA" w:eastAsia="en-US"/>
        </w:rPr>
        <w:t>, in respect of greenhouse gas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632BB77B" w14:textId="48FA940B" w:rsidR="009C4742" w:rsidRPr="00DF5AA8" w:rsidRDefault="00E433B0" w:rsidP="00671E38">
      <w:pPr>
        <w:spacing w:after="120" w:line="312" w:lineRule="auto"/>
        <w:ind w:left="567" w:hanging="567"/>
        <w:jc w:val="both"/>
        <w:rPr>
          <w:rFonts w:ascii="Arial" w:hAnsi="Arial" w:cs="Arial"/>
          <w:sz w:val="22"/>
          <w:szCs w:val="22"/>
        </w:rPr>
      </w:pPr>
      <w:r w:rsidRPr="00856311">
        <w:rPr>
          <w:rFonts w:ascii="Arial" w:hAnsi="Arial" w:cs="Arial"/>
          <w:b/>
          <w:sz w:val="22"/>
          <w:szCs w:val="22"/>
          <w:lang w:val="en-ZA" w:eastAsia="en-US"/>
        </w:rPr>
        <w:lastRenderedPageBreak/>
        <w:t>N1</w:t>
      </w:r>
      <w:r w:rsidR="00CC2A13">
        <w:rPr>
          <w:rFonts w:ascii="Arial" w:hAnsi="Arial" w:cs="Arial"/>
          <w:b/>
          <w:sz w:val="22"/>
          <w:szCs w:val="22"/>
          <w:lang w:val="en-ZA" w:eastAsia="en-US"/>
        </w:rPr>
        <w:t>1</w:t>
      </w:r>
      <w:r w:rsidR="00190BF8" w:rsidRPr="00856311">
        <w:rPr>
          <w:rFonts w:ascii="Arial" w:hAnsi="Arial" w:cs="Arial"/>
          <w:b/>
          <w:sz w:val="22"/>
          <w:szCs w:val="22"/>
          <w:lang w:val="en-ZA" w:eastAsia="en-US"/>
        </w:rPr>
        <w:t>.</w:t>
      </w:r>
      <w:r w:rsidR="00190BF8" w:rsidRPr="00DF5AA8">
        <w:rPr>
          <w:rFonts w:ascii="Arial" w:hAnsi="Arial" w:cs="Arial"/>
          <w:sz w:val="22"/>
          <w:szCs w:val="22"/>
          <w:lang w:val="en-ZA" w:eastAsia="en-US"/>
        </w:rPr>
        <w:t xml:space="preserve"> Th</w:t>
      </w:r>
      <w:r w:rsidR="00D22EFF" w:rsidRPr="00DF5AA8">
        <w:rPr>
          <w:rFonts w:ascii="Arial" w:hAnsi="Arial" w:cs="Arial"/>
          <w:sz w:val="22"/>
          <w:szCs w:val="22"/>
          <w:lang w:val="en-ZA" w:eastAsia="en-US"/>
        </w:rPr>
        <w:t xml:space="preserve">is is a summary of work </w:t>
      </w:r>
      <w:r w:rsidR="00607577">
        <w:rPr>
          <w:rFonts w:ascii="Arial" w:hAnsi="Arial" w:cs="Arial"/>
          <w:sz w:val="22"/>
          <w:szCs w:val="22"/>
          <w:lang w:val="en-ZA" w:eastAsia="en-US"/>
        </w:rPr>
        <w:t xml:space="preserve">to be </w:t>
      </w:r>
      <w:r w:rsidR="00D22EFF" w:rsidRPr="00DF5AA8">
        <w:rPr>
          <w:rFonts w:ascii="Arial" w:hAnsi="Arial" w:cs="Arial"/>
          <w:sz w:val="22"/>
          <w:szCs w:val="22"/>
          <w:lang w:val="en-ZA" w:eastAsia="en-US"/>
        </w:rPr>
        <w:t>performed as per the illustrative assurance report</w:t>
      </w:r>
      <w:r w:rsidR="00081354" w:rsidRPr="00DF5AA8">
        <w:rPr>
          <w:rFonts w:ascii="Arial" w:hAnsi="Arial" w:cs="Arial"/>
          <w:sz w:val="22"/>
          <w:szCs w:val="22"/>
          <w:lang w:val="en-ZA" w:eastAsia="en-US"/>
        </w:rPr>
        <w:t xml:space="preserve"> and</w:t>
      </w:r>
      <w:r w:rsidR="00190BF8" w:rsidRPr="00DF5AA8">
        <w:rPr>
          <w:rFonts w:ascii="Arial" w:hAnsi="Arial" w:cs="Arial"/>
          <w:sz w:val="22"/>
          <w:szCs w:val="22"/>
          <w:lang w:val="en-ZA" w:eastAsia="en-US"/>
        </w:rPr>
        <w:t xml:space="preserve"> should be </w:t>
      </w:r>
      <w:r w:rsidR="0045225C" w:rsidRPr="00DF5AA8">
        <w:rPr>
          <w:rFonts w:ascii="Arial" w:hAnsi="Arial" w:cs="Arial"/>
          <w:sz w:val="22"/>
          <w:szCs w:val="22"/>
          <w:lang w:val="en-ZA" w:eastAsia="en-US"/>
        </w:rPr>
        <w:t xml:space="preserve">tailored to specific engagements. </w:t>
      </w:r>
      <w:r w:rsidR="009C4742" w:rsidRPr="00DF5AA8">
        <w:rPr>
          <w:rFonts w:ascii="Arial" w:hAnsi="Arial" w:cs="Arial"/>
          <w:sz w:val="22"/>
          <w:szCs w:val="22"/>
          <w:lang w:val="en-ZA" w:eastAsia="en-US"/>
        </w:rPr>
        <w:t>When limited assurance is expressed</w:t>
      </w:r>
      <w:r w:rsidR="009C4742" w:rsidRPr="00DF5AA8">
        <w:rPr>
          <w:rFonts w:ascii="Arial" w:hAnsi="Arial" w:cs="Arial"/>
          <w:sz w:val="22"/>
          <w:szCs w:val="22"/>
        </w:rPr>
        <w:t>, the summary of work performed may be more detailed than for reasonable assurance because, an appreciation of the nature, timing and extent of procedures</w:t>
      </w:r>
      <w:r w:rsidR="00D00D17">
        <w:rPr>
          <w:rFonts w:ascii="Arial" w:hAnsi="Arial" w:cs="Arial"/>
          <w:sz w:val="22"/>
          <w:szCs w:val="22"/>
        </w:rPr>
        <w:t xml:space="preserve"> to be</w:t>
      </w:r>
      <w:r w:rsidR="009C4742" w:rsidRPr="00DF5AA8">
        <w:rPr>
          <w:rFonts w:ascii="Arial" w:hAnsi="Arial" w:cs="Arial"/>
          <w:sz w:val="22"/>
          <w:szCs w:val="22"/>
        </w:rPr>
        <w:t xml:space="preserve"> performed is essential to understanding the conclusion </w:t>
      </w:r>
      <w:r w:rsidR="00607577">
        <w:rPr>
          <w:rFonts w:ascii="Arial" w:hAnsi="Arial" w:cs="Arial"/>
          <w:sz w:val="22"/>
          <w:szCs w:val="22"/>
        </w:rPr>
        <w:t xml:space="preserve">that will be </w:t>
      </w:r>
      <w:r w:rsidR="009C4742" w:rsidRPr="00DF5AA8">
        <w:rPr>
          <w:rFonts w:ascii="Arial" w:hAnsi="Arial" w:cs="Arial"/>
          <w:sz w:val="22"/>
          <w:szCs w:val="22"/>
        </w:rPr>
        <w:t xml:space="preserve">expressed. ISAE 3000 </w:t>
      </w:r>
      <w:r w:rsidR="002A01BC">
        <w:rPr>
          <w:rFonts w:ascii="Arial" w:hAnsi="Arial" w:cs="Arial"/>
          <w:sz w:val="22"/>
          <w:szCs w:val="22"/>
        </w:rPr>
        <w:t>(</w:t>
      </w:r>
      <w:r w:rsidR="009C4742" w:rsidRPr="00DF5AA8">
        <w:rPr>
          <w:rFonts w:ascii="Arial" w:hAnsi="Arial" w:cs="Arial"/>
          <w:sz w:val="22"/>
          <w:szCs w:val="22"/>
        </w:rPr>
        <w:t>Revised</w:t>
      </w:r>
      <w:r w:rsidR="002A01BC">
        <w:rPr>
          <w:rFonts w:ascii="Arial" w:hAnsi="Arial" w:cs="Arial"/>
          <w:sz w:val="22"/>
          <w:szCs w:val="22"/>
        </w:rPr>
        <w:t>)</w:t>
      </w:r>
      <w:r w:rsidR="00E6356F">
        <w:rPr>
          <w:rFonts w:ascii="Arial" w:hAnsi="Arial" w:cs="Arial"/>
          <w:sz w:val="22"/>
          <w:szCs w:val="22"/>
        </w:rPr>
        <w:t>, paragraph A176,</w:t>
      </w:r>
      <w:r w:rsidR="009C4742" w:rsidRPr="00DF5AA8">
        <w:rPr>
          <w:rFonts w:ascii="Arial" w:hAnsi="Arial" w:cs="Arial"/>
          <w:sz w:val="22"/>
          <w:szCs w:val="22"/>
        </w:rPr>
        <w:t xml:space="preserve"> provides guidance as to the factors to consider in determining the level of detail to be provided in the summary of the work performed. These may include:</w:t>
      </w:r>
    </w:p>
    <w:p w14:paraId="1F2AD07D" w14:textId="4FC0904F" w:rsidR="009C4742"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Circumstances specific to the entity</w:t>
      </w:r>
      <w:r w:rsidR="00324CF9">
        <w:rPr>
          <w:rFonts w:cs="Arial"/>
          <w:sz w:val="22"/>
          <w:szCs w:val="22"/>
          <w:lang w:val="en-ZA"/>
        </w:rPr>
        <w:t>, for example,</w:t>
      </w:r>
      <w:r w:rsidRPr="00671E38">
        <w:rPr>
          <w:rFonts w:cs="Arial"/>
          <w:sz w:val="22"/>
          <w:szCs w:val="22"/>
          <w:lang w:val="en-ZA"/>
        </w:rPr>
        <w:t xml:space="preserve"> the differing nature of the entity’s activities compared to those typical in the sector.</w:t>
      </w:r>
    </w:p>
    <w:p w14:paraId="10E7DF29" w14:textId="77777777" w:rsidR="009C4742"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Specific engagement circumstances affecting the nature and extent of the procedures performed.</w:t>
      </w:r>
    </w:p>
    <w:p w14:paraId="59C8D87A" w14:textId="50384400" w:rsidR="00190BF8"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rPr>
      </w:pPr>
      <w:r w:rsidRPr="00671E38">
        <w:rPr>
          <w:rFonts w:cs="Arial"/>
          <w:sz w:val="22"/>
          <w:szCs w:val="22"/>
          <w:lang w:val="en-ZA"/>
        </w:rPr>
        <w:t>The intended users’ expectations of the level of detail to be provided in the report, based on market practice, or applicable law or regulation</w:t>
      </w:r>
      <w:r w:rsidR="00607577">
        <w:rPr>
          <w:rFonts w:cs="Arial"/>
          <w:sz w:val="22"/>
          <w:szCs w:val="22"/>
          <w:lang w:val="en-ZA"/>
        </w:rPr>
        <w:t>.</w:t>
      </w:r>
    </w:p>
    <w:p w14:paraId="14B3B7A6" w14:textId="5E86B50C" w:rsidR="003122E2" w:rsidRDefault="00E433B0" w:rsidP="003122E2">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CC2A13">
        <w:rPr>
          <w:rFonts w:ascii="Arial" w:hAnsi="Arial" w:cs="Arial"/>
          <w:b/>
          <w:sz w:val="22"/>
          <w:szCs w:val="22"/>
          <w:lang w:val="en-ZA"/>
        </w:rPr>
        <w:t>2</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6406C018" w14:textId="41602B4D" w:rsidR="00536173" w:rsidRPr="00A13634" w:rsidRDefault="00E433B0" w:rsidP="00A13634">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CC2A13">
        <w:rPr>
          <w:rFonts w:ascii="Arial" w:hAnsi="Arial" w:cs="Arial"/>
          <w:b/>
          <w:sz w:val="22"/>
          <w:szCs w:val="22"/>
          <w:lang w:val="en-ZA"/>
        </w:rPr>
        <w:t>3</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536173">
        <w:rPr>
          <w:rFonts w:ascii="Arial" w:hAnsi="Arial" w:cs="Arial"/>
          <w:sz w:val="22"/>
          <w:szCs w:val="22"/>
          <w:lang w:val="en-ZA"/>
        </w:rPr>
        <w:t>ISAE 3000 (Revised), paragraph A180 sets out the following</w:t>
      </w:r>
      <w:r w:rsidR="00AF7BA9">
        <w:rPr>
          <w:rFonts w:ascii="Arial" w:hAnsi="Arial" w:cs="Arial"/>
          <w:sz w:val="22"/>
          <w:szCs w:val="22"/>
          <w:lang w:val="en-ZA"/>
        </w:rPr>
        <w:t xml:space="preserve"> e</w:t>
      </w:r>
      <w:r w:rsidR="00536173" w:rsidRPr="00A13634">
        <w:rPr>
          <w:rFonts w:ascii="Arial" w:hAnsi="Arial" w:cs="Arial"/>
          <w:sz w:val="22"/>
          <w:szCs w:val="22"/>
          <w:lang w:val="en-ZA" w:eastAsia="en-ZA"/>
        </w:rPr>
        <w:t>xamples of conclusions expressed in a form appropriate for a limited</w:t>
      </w:r>
      <w:r w:rsidR="00536173">
        <w:rPr>
          <w:rFonts w:ascii="Arial" w:hAnsi="Arial" w:cs="Arial"/>
          <w:sz w:val="22"/>
          <w:szCs w:val="22"/>
          <w:lang w:val="en-ZA" w:eastAsia="en-ZA"/>
        </w:rPr>
        <w:t xml:space="preserve"> </w:t>
      </w:r>
      <w:r w:rsidR="00536173" w:rsidRPr="00A13634">
        <w:rPr>
          <w:rFonts w:ascii="Arial" w:hAnsi="Arial" w:cs="Arial"/>
          <w:sz w:val="22"/>
          <w:szCs w:val="22"/>
          <w:lang w:val="en-ZA" w:eastAsia="en-ZA"/>
        </w:rPr>
        <w:t>assurance engagement:</w:t>
      </w:r>
    </w:p>
    <w:p w14:paraId="0E9974E3" w14:textId="097028C4" w:rsidR="00536173" w:rsidRPr="00A13634"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underlying subject matter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nothing has come to our attention that causes us to believe</w:t>
      </w:r>
      <w:r>
        <w:rPr>
          <w:rFonts w:cs="Arial"/>
          <w:sz w:val="22"/>
          <w:szCs w:val="22"/>
          <w:lang w:val="en-ZA"/>
        </w:rPr>
        <w:t xml:space="preserve"> </w:t>
      </w:r>
      <w:r w:rsidRPr="00A13634">
        <w:rPr>
          <w:rFonts w:cs="Arial"/>
          <w:sz w:val="22"/>
          <w:szCs w:val="22"/>
          <w:lang w:val="en-ZA"/>
        </w:rPr>
        <w:t>that [the entity] has not complied, in all material respects, with XYZ</w:t>
      </w:r>
      <w:r>
        <w:rPr>
          <w:rFonts w:cs="Arial"/>
          <w:sz w:val="22"/>
          <w:szCs w:val="22"/>
          <w:lang w:val="en-ZA"/>
        </w:rPr>
        <w:t xml:space="preserve"> </w:t>
      </w:r>
      <w:r w:rsidRPr="00A13634">
        <w:rPr>
          <w:rFonts w:cs="Arial"/>
          <w:sz w:val="22"/>
          <w:szCs w:val="22"/>
          <w:lang w:val="en-ZA"/>
        </w:rPr>
        <w:t>law.”</w:t>
      </w:r>
    </w:p>
    <w:p w14:paraId="06641E7E" w14:textId="683B9107" w:rsidR="00536173" w:rsidRPr="00A13634"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subject matter information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we are not aware of any material amendments that need to</w:t>
      </w:r>
      <w:r>
        <w:rPr>
          <w:rFonts w:cs="Arial"/>
          <w:sz w:val="22"/>
          <w:szCs w:val="22"/>
          <w:lang w:val="en-ZA"/>
        </w:rPr>
        <w:t xml:space="preserve"> </w:t>
      </w:r>
      <w:r w:rsidRPr="00A13634">
        <w:rPr>
          <w:rFonts w:cs="Arial"/>
          <w:sz w:val="22"/>
          <w:szCs w:val="22"/>
          <w:lang w:val="en-ZA"/>
        </w:rPr>
        <w:t xml:space="preserve">be made to the assessment of </w:t>
      </w:r>
      <w:r w:rsidR="00573B07">
        <w:rPr>
          <w:rFonts w:cs="Arial"/>
          <w:sz w:val="22"/>
          <w:szCs w:val="22"/>
          <w:lang w:val="en-ZA"/>
        </w:rPr>
        <w:t xml:space="preserve">the selected </w:t>
      </w:r>
      <w:r w:rsidR="002E348C">
        <w:rPr>
          <w:rFonts w:cs="Arial"/>
          <w:sz w:val="22"/>
          <w:szCs w:val="22"/>
          <w:lang w:val="en-ZA"/>
        </w:rPr>
        <w:t>KPI</w:t>
      </w:r>
      <w:r w:rsidRPr="00A13634">
        <w:rPr>
          <w:rFonts w:cs="Arial"/>
          <w:sz w:val="22"/>
          <w:szCs w:val="22"/>
          <w:lang w:val="en-ZA"/>
        </w:rPr>
        <w:t>s for them to</w:t>
      </w:r>
      <w:r>
        <w:rPr>
          <w:rFonts w:cs="Arial"/>
          <w:sz w:val="22"/>
          <w:szCs w:val="22"/>
          <w:lang w:val="en-ZA"/>
        </w:rPr>
        <w:t xml:space="preserve"> </w:t>
      </w:r>
      <w:r w:rsidRPr="00A13634">
        <w:rPr>
          <w:rFonts w:cs="Arial"/>
          <w:sz w:val="22"/>
          <w:szCs w:val="22"/>
          <w:lang w:val="en-ZA"/>
        </w:rPr>
        <w:t>be in accordance with XYZ criteria.”</w:t>
      </w:r>
    </w:p>
    <w:p w14:paraId="7FBFAE3F" w14:textId="177158B0" w:rsidR="00536173" w:rsidRPr="00A84B60"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a statement made by the appropriate</w:t>
      </w:r>
      <w:r>
        <w:rPr>
          <w:rFonts w:cs="Arial"/>
          <w:sz w:val="22"/>
          <w:szCs w:val="22"/>
          <w:lang w:val="en-ZA"/>
        </w:rPr>
        <w:t xml:space="preserve"> </w:t>
      </w:r>
      <w:r w:rsidRPr="00A13634">
        <w:rPr>
          <w:rFonts w:cs="Arial"/>
          <w:sz w:val="22"/>
          <w:szCs w:val="22"/>
          <w:lang w:val="en-ZA"/>
        </w:rPr>
        <w:t>party, “Based on the procedures performed and evidence obtained,</w:t>
      </w:r>
      <w:r>
        <w:rPr>
          <w:rFonts w:cs="Arial"/>
          <w:sz w:val="22"/>
          <w:szCs w:val="22"/>
          <w:lang w:val="en-ZA"/>
        </w:rPr>
        <w:t xml:space="preserve"> </w:t>
      </w:r>
      <w:r w:rsidRPr="00A13634">
        <w:rPr>
          <w:rFonts w:cs="Arial"/>
          <w:sz w:val="22"/>
          <w:szCs w:val="22"/>
          <w:lang w:val="en-ZA"/>
        </w:rPr>
        <w:t>nothing has come to our attention that causes us to believe that the</w:t>
      </w:r>
      <w:r>
        <w:rPr>
          <w:rFonts w:cs="Arial"/>
          <w:sz w:val="22"/>
          <w:szCs w:val="22"/>
          <w:lang w:val="en-ZA"/>
        </w:rPr>
        <w:t xml:space="preserve"> </w:t>
      </w:r>
      <w:r w:rsidRPr="00A13634">
        <w:rPr>
          <w:rFonts w:cs="Arial"/>
          <w:sz w:val="22"/>
          <w:szCs w:val="22"/>
          <w:lang w:val="en-ZA"/>
        </w:rPr>
        <w:t>[appropriate party’s] statement that [the entity] has complied with</w:t>
      </w:r>
      <w:r>
        <w:rPr>
          <w:rFonts w:cs="Arial"/>
          <w:sz w:val="22"/>
          <w:szCs w:val="22"/>
          <w:lang w:val="en-ZA"/>
        </w:rPr>
        <w:t xml:space="preserve"> </w:t>
      </w:r>
      <w:r w:rsidRPr="00A13634">
        <w:rPr>
          <w:rFonts w:cs="Arial"/>
          <w:sz w:val="22"/>
          <w:szCs w:val="22"/>
          <w:lang w:val="en-ZA"/>
        </w:rPr>
        <w:t>XYZ law, is not, in all material respects, fairly stated.”</w:t>
      </w:r>
    </w:p>
    <w:p w14:paraId="7ED2585E" w14:textId="40D2786A"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t>N1</w:t>
      </w:r>
      <w:r w:rsidR="00CC2A13">
        <w:rPr>
          <w:rFonts w:ascii="Arial" w:hAnsi="Arial" w:cs="Arial"/>
          <w:b/>
          <w:sz w:val="22"/>
          <w:szCs w:val="22"/>
        </w:rPr>
        <w:t>4</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 xml:space="preserve">Our report does not </w:t>
      </w:r>
      <w:r w:rsidR="007702E9" w:rsidRPr="00AA4382">
        <w:rPr>
          <w:rFonts w:ascii="Arial" w:hAnsi="Arial" w:cs="Arial"/>
          <w:bCs/>
          <w:iCs/>
          <w:sz w:val="22"/>
          <w:szCs w:val="22"/>
          <w:lang w:val="en-ZA"/>
        </w:rPr>
        <w:lastRenderedPageBreak/>
        <w:t>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0A055817" w:rsidR="00EE6566" w:rsidRPr="007A459E" w:rsidRDefault="00CC2A13"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N15</w:t>
      </w:r>
      <w:r w:rsidR="00EE6566" w:rsidRPr="008624B9">
        <w:rPr>
          <w:rFonts w:ascii="Arial" w:hAnsi="Arial" w:cs="Arial"/>
          <w:b/>
          <w:sz w:val="22"/>
          <w:szCs w:val="22"/>
          <w:lang w:val="en-ZA"/>
        </w:rPr>
        <w:t>.</w:t>
      </w:r>
      <w:r w:rsidR="00EE6566">
        <w:rPr>
          <w:rFonts w:ascii="Arial" w:hAnsi="Arial" w:cs="Arial"/>
          <w:sz w:val="22"/>
          <w:szCs w:val="22"/>
          <w:lang w:val="en-ZA"/>
        </w:rPr>
        <w:tab/>
      </w:r>
      <w:r w:rsidR="00EE6566" w:rsidRPr="007A459E">
        <w:rPr>
          <w:rFonts w:ascii="Arial" w:hAnsi="Arial" w:cs="Arial"/>
          <w:sz w:val="22"/>
          <w:szCs w:val="22"/>
          <w:lang w:val="en-ZA"/>
        </w:rPr>
        <w:t xml:space="preserve">ISAE 3000 (Revised), paragraph 62 states that </w:t>
      </w:r>
      <w:r w:rsidR="00EE6566">
        <w:rPr>
          <w:rFonts w:ascii="Arial" w:hAnsi="Arial" w:cs="Arial"/>
          <w:sz w:val="22"/>
          <w:szCs w:val="22"/>
          <w:lang w:val="en-ZA"/>
        </w:rPr>
        <w:t>“</w:t>
      </w:r>
      <w:r w:rsidR="00EE6566"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24786EF2" w14:textId="77777777" w:rsidR="00EE6566" w:rsidRPr="007A459E" w:rsidRDefault="00EE6566" w:rsidP="000B0A39">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0B0A39">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party(ies)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44AE4475" w14:textId="5A4EEB6D"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CC2A13">
        <w:rPr>
          <w:rFonts w:ascii="Arial" w:hAnsi="Arial" w:cs="Arial"/>
          <w:b/>
          <w:sz w:val="22"/>
          <w:szCs w:val="22"/>
        </w:rPr>
        <w:t>16</w:t>
      </w:r>
      <w:r w:rsidR="00213C13" w:rsidRPr="00856311">
        <w:rPr>
          <w:rFonts w:ascii="Arial" w:hAnsi="Arial" w:cs="Arial"/>
          <w:b/>
          <w:sz w:val="22"/>
          <w:szCs w:val="22"/>
        </w:rPr>
        <w:t>.</w:t>
      </w:r>
      <w:r w:rsidR="00213C13" w:rsidRPr="00DF5AA8">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20AA8932"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CC2A13">
        <w:rPr>
          <w:rFonts w:ascii="Arial" w:hAnsi="Arial" w:cs="Arial"/>
          <w:b/>
          <w:sz w:val="22"/>
          <w:szCs w:val="22"/>
        </w:rPr>
        <w:t>17</w:t>
      </w:r>
      <w:r w:rsidR="00213C13" w:rsidRPr="00856311">
        <w:rPr>
          <w:rFonts w:ascii="Arial" w:hAnsi="Arial" w:cs="Arial"/>
          <w:b/>
          <w:sz w:val="22"/>
          <w:szCs w:val="22"/>
        </w:rPr>
        <w:t>.</w:t>
      </w:r>
      <w:r w:rsidR="00213C13" w:rsidRPr="00DF5AA8">
        <w:rPr>
          <w:rFonts w:ascii="Arial" w:hAnsi="Arial" w:cs="Arial"/>
          <w:sz w:val="22"/>
          <w:szCs w:val="22"/>
        </w:rPr>
        <w:t xml:space="preserve"> </w:t>
      </w:r>
      <w:r w:rsidR="0056566C">
        <w:rPr>
          <w:rFonts w:ascii="Arial" w:hAnsi="Arial" w:cs="Arial"/>
          <w:sz w:val="22"/>
          <w:szCs w:val="22"/>
        </w:rPr>
        <w:tab/>
      </w:r>
      <w:r w:rsidR="00213C13" w:rsidRPr="00DF5AA8">
        <w:rPr>
          <w:rFonts w:ascii="Arial" w:hAnsi="Arial" w:cs="Arial"/>
          <w:sz w:val="22"/>
          <w:szCs w:val="22"/>
        </w:rPr>
        <w:t>Include this paragraph where there has been an increase in scope of assurance provided on the</w:t>
      </w:r>
      <w:r w:rsidR="00573B07">
        <w:rPr>
          <w:rFonts w:ascii="Arial" w:hAnsi="Arial" w:cs="Arial"/>
          <w:sz w:val="22"/>
          <w:szCs w:val="22"/>
        </w:rPr>
        <w:t xml:space="preserve"> selected</w:t>
      </w:r>
      <w:r w:rsidR="00213C13" w:rsidRPr="00DF5AA8">
        <w:rPr>
          <w:rFonts w:ascii="Arial" w:hAnsi="Arial" w:cs="Arial"/>
          <w:sz w:val="22"/>
          <w:szCs w:val="22"/>
        </w:rPr>
        <w:t xml:space="preserve"> </w:t>
      </w:r>
      <w:r w:rsidR="00213C13">
        <w:rPr>
          <w:rFonts w:ascii="Arial" w:hAnsi="Arial" w:cs="Arial"/>
          <w:sz w:val="22"/>
          <w:szCs w:val="22"/>
        </w:rPr>
        <w:t xml:space="preserve">KPIs </w:t>
      </w:r>
      <w:r w:rsidR="00213C13" w:rsidRPr="00DF5AA8">
        <w:rPr>
          <w:rFonts w:ascii="Arial" w:hAnsi="Arial" w:cs="Arial"/>
          <w:sz w:val="22"/>
          <w:szCs w:val="22"/>
        </w:rPr>
        <w:t>from the prior year.</w:t>
      </w:r>
    </w:p>
    <w:p w14:paraId="60278A5C" w14:textId="35361E77"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CC2A13">
        <w:rPr>
          <w:rFonts w:ascii="Arial" w:hAnsi="Arial" w:cs="Arial"/>
          <w:b/>
          <w:sz w:val="22"/>
          <w:szCs w:val="22"/>
          <w:lang w:val="en-ZA" w:eastAsia="en-US"/>
        </w:rPr>
        <w:t>18</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044732D2"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CC2A13">
        <w:rPr>
          <w:rFonts w:ascii="Arial" w:hAnsi="Arial" w:cs="Arial"/>
          <w:b/>
          <w:sz w:val="22"/>
          <w:szCs w:val="22"/>
          <w:lang w:val="en-ZA" w:eastAsia="en-US"/>
        </w:rPr>
        <w:t>19</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E61362">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393500B3"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003F5D62">
        <w:rPr>
          <w:rFonts w:ascii="Arial" w:hAnsi="Arial" w:cs="Arial"/>
          <w:b/>
          <w:sz w:val="22"/>
          <w:szCs w:val="22"/>
          <w:lang w:val="en-ZA"/>
        </w:rPr>
        <w:t>0</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3AEB4011"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494811">
        <w:rPr>
          <w:rFonts w:ascii="Arial" w:hAnsi="Arial" w:cs="Arial"/>
          <w:bCs/>
          <w:sz w:val="22"/>
          <w:szCs w:val="22"/>
        </w:rPr>
        <w:t>will be</w:t>
      </w:r>
      <w:r w:rsidRPr="00DC6979">
        <w:rPr>
          <w:rFonts w:ascii="Arial" w:hAnsi="Arial" w:cs="Arial"/>
          <w:bCs/>
          <w:sz w:val="22"/>
          <w:szCs w:val="22"/>
        </w:rPr>
        <w:t xml:space="preserve"> undertaken to enable us to express a limited assurance conclusion on the selected </w:t>
      </w:r>
      <w:r w:rsidR="0034332F">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Save as set out in that agreement, our report may not be made available to any other party without our prior written consent.</w:t>
      </w:r>
    </w:p>
    <w:p w14:paraId="44187448" w14:textId="4F437D16"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4F74F7">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 xml:space="preserve">irectors to demonstrate that they </w:t>
      </w:r>
      <w:r>
        <w:rPr>
          <w:rFonts w:ascii="Arial" w:hAnsi="Arial" w:cs="Arial"/>
          <w:bCs/>
          <w:sz w:val="22"/>
          <w:szCs w:val="22"/>
        </w:rPr>
        <w:lastRenderedPageBreak/>
        <w:t>have</w:t>
      </w:r>
      <w:r w:rsidRPr="00B11193">
        <w:rPr>
          <w:rFonts w:ascii="Arial" w:hAnsi="Arial" w:cs="Arial"/>
          <w:bCs/>
          <w:sz w:val="22"/>
          <w:szCs w:val="22"/>
        </w:rPr>
        <w:t xml:space="preserve"> </w:t>
      </w:r>
      <w:r>
        <w:rPr>
          <w:rFonts w:ascii="Arial" w:hAnsi="Arial" w:cs="Arial"/>
          <w:bCs/>
          <w:sz w:val="22"/>
          <w:szCs w:val="22"/>
        </w:rPr>
        <w:t xml:space="preserve"> discharged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4F74F7">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635CB0B0" w:rsidR="00C75CCE" w:rsidRDefault="00E433B0" w:rsidP="005049F6">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F5D62">
        <w:rPr>
          <w:rFonts w:ascii="Arial" w:hAnsi="Arial" w:cs="Arial"/>
          <w:b/>
          <w:sz w:val="22"/>
          <w:szCs w:val="22"/>
          <w:lang w:val="en-ZA" w:eastAsia="en-US"/>
        </w:rPr>
        <w:t>1</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FB14F2">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FB14F2">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5AD80E85"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F5D62">
        <w:rPr>
          <w:rFonts w:ascii="Arial" w:hAnsi="Arial" w:cs="Arial"/>
          <w:b/>
          <w:sz w:val="22"/>
          <w:szCs w:val="22"/>
          <w:lang w:val="en-ZA" w:eastAsia="en-US"/>
        </w:rPr>
        <w:t>2</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FB14F2">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8D20D7">
        <w:rPr>
          <w:rFonts w:ascii="Arial" w:hAnsi="Arial" w:cs="Arial"/>
          <w:sz w:val="22"/>
          <w:szCs w:val="22"/>
          <w:lang w:val="en-ZA" w:eastAsia="en-US"/>
        </w:rPr>
        <w:t>. P</w:t>
      </w:r>
      <w:r w:rsidR="00E229F9" w:rsidRPr="00DF5AA8">
        <w:rPr>
          <w:rFonts w:ascii="Arial" w:hAnsi="Arial" w:cs="Arial"/>
          <w:sz w:val="22"/>
          <w:szCs w:val="22"/>
          <w:lang w:val="en-ZA" w:eastAsia="en-US"/>
        </w:rPr>
        <w:t xml:space="preserve">ractitioners may seek legal advice when necessary. </w:t>
      </w:r>
    </w:p>
    <w:p w14:paraId="5B0B951F" w14:textId="77529479" w:rsidR="00182932" w:rsidRPr="00DF5AA8" w:rsidRDefault="00E433B0" w:rsidP="00182932">
      <w:pPr>
        <w:autoSpaceDE w:val="0"/>
        <w:autoSpaceDN w:val="0"/>
        <w:adjustRightInd w:val="0"/>
        <w:spacing w:after="120" w:line="312" w:lineRule="auto"/>
        <w:ind w:left="567" w:hanging="567"/>
        <w:jc w:val="both"/>
        <w:rPr>
          <w:rFonts w:ascii="Arial" w:eastAsia="Calibri" w:hAnsi="Arial" w:cs="Arial"/>
          <w:sz w:val="22"/>
          <w:szCs w:val="22"/>
          <w:lang w:val="en-ZA" w:eastAsia="en-ZA"/>
        </w:rPr>
      </w:pPr>
      <w:r w:rsidRPr="00856311">
        <w:rPr>
          <w:rFonts w:ascii="Arial" w:hAnsi="Arial" w:cs="Arial"/>
          <w:b/>
          <w:sz w:val="22"/>
          <w:szCs w:val="22"/>
          <w:lang w:val="en-ZA" w:eastAsia="en-US"/>
        </w:rPr>
        <w:t>N2</w:t>
      </w:r>
      <w:r w:rsidR="003F5D62">
        <w:rPr>
          <w:rFonts w:ascii="Arial" w:hAnsi="Arial" w:cs="Arial"/>
          <w:b/>
          <w:sz w:val="22"/>
          <w:szCs w:val="22"/>
          <w:lang w:val="en-ZA" w:eastAsia="en-US"/>
        </w:rPr>
        <w:t>3</w:t>
      </w:r>
      <w:r w:rsidR="00182932" w:rsidRPr="00856311">
        <w:rPr>
          <w:rFonts w:ascii="Arial" w:hAnsi="Arial" w:cs="Arial"/>
          <w:b/>
          <w:sz w:val="22"/>
          <w:szCs w:val="22"/>
          <w:lang w:val="en-ZA" w:eastAsia="en-US"/>
        </w:rPr>
        <w:t>.</w:t>
      </w:r>
      <w:r w:rsidR="00182932" w:rsidRPr="00DF5AA8">
        <w:rPr>
          <w:rFonts w:ascii="Arial" w:hAnsi="Arial" w:cs="Arial"/>
          <w:sz w:val="22"/>
          <w:szCs w:val="22"/>
          <w:lang w:val="en-ZA" w:eastAsia="en-US"/>
        </w:rPr>
        <w:t xml:space="preserve"> </w:t>
      </w:r>
      <w:r w:rsidR="00182932" w:rsidRPr="00DF5AA8">
        <w:rPr>
          <w:rFonts w:ascii="Arial" w:hAnsi="Arial" w:cs="Arial"/>
          <w:bCs/>
          <w:sz w:val="22"/>
          <w:szCs w:val="22"/>
        </w:rPr>
        <w:t xml:space="preserve">Where the assurance </w:t>
      </w:r>
      <w:r w:rsidR="00FB14F2">
        <w:rPr>
          <w:rFonts w:ascii="Arial" w:hAnsi="Arial" w:cs="Arial"/>
          <w:bCs/>
          <w:sz w:val="22"/>
          <w:szCs w:val="22"/>
        </w:rPr>
        <w:t>practitioner</w:t>
      </w:r>
      <w:r w:rsidR="00182932" w:rsidRPr="00DF5AA8">
        <w:rPr>
          <w:rFonts w:ascii="Arial" w:hAnsi="Arial" w:cs="Arial"/>
          <w:bCs/>
          <w:sz w:val="22"/>
          <w:szCs w:val="22"/>
        </w:rPr>
        <w:t xml:space="preserve"> (</w:t>
      </w:r>
      <w:r w:rsidR="00E249D8">
        <w:rPr>
          <w:rFonts w:ascii="Arial" w:hAnsi="Arial" w:cs="Arial"/>
          <w:bCs/>
          <w:sz w:val="22"/>
          <w:szCs w:val="22"/>
        </w:rPr>
        <w:t>firm</w:t>
      </w:r>
      <w:r w:rsidR="00182932" w:rsidRPr="00DF5AA8">
        <w:rPr>
          <w:rFonts w:ascii="Arial" w:hAnsi="Arial" w:cs="Arial"/>
          <w:bCs/>
          <w:sz w:val="22"/>
          <w:szCs w:val="22"/>
        </w:rPr>
        <w:t xml:space="preserve"> and individual) are registered auditors, such capacity should be clearly stated in the signature as follows:</w:t>
      </w:r>
    </w:p>
    <w:p w14:paraId="26677F4F" w14:textId="77777777" w:rsidR="0029290A" w:rsidRDefault="0029290A" w:rsidP="00182932">
      <w:pPr>
        <w:pStyle w:val="BodyText"/>
        <w:spacing w:after="120" w:line="312" w:lineRule="auto"/>
        <w:ind w:left="567"/>
        <w:jc w:val="both"/>
        <w:outlineLvl w:val="0"/>
        <w:rPr>
          <w:rFonts w:cs="Arial"/>
          <w:b/>
          <w:sz w:val="22"/>
          <w:szCs w:val="22"/>
        </w:rPr>
      </w:pPr>
    </w:p>
    <w:p w14:paraId="6664A4BF" w14:textId="0A529C15" w:rsidR="00182932" w:rsidRPr="00DF5AA8" w:rsidRDefault="00182932" w:rsidP="00182932">
      <w:pPr>
        <w:pStyle w:val="BodyText"/>
        <w:spacing w:after="120" w:line="312" w:lineRule="auto"/>
        <w:ind w:left="567"/>
        <w:jc w:val="both"/>
        <w:outlineLvl w:val="0"/>
        <w:rPr>
          <w:rFonts w:cs="Arial"/>
          <w:sz w:val="22"/>
          <w:szCs w:val="22"/>
          <w:vertAlign w:val="superscript"/>
        </w:rPr>
      </w:pPr>
      <w:r w:rsidRPr="00DF5AA8">
        <w:rPr>
          <w:rFonts w:cs="Arial"/>
          <w:b/>
          <w:sz w:val="22"/>
          <w:szCs w:val="22"/>
        </w:rPr>
        <w:t>(</w:t>
      </w:r>
      <w:r w:rsidR="00E249D8">
        <w:rPr>
          <w:rFonts w:cs="Arial"/>
          <w:b/>
          <w:sz w:val="22"/>
          <w:szCs w:val="22"/>
        </w:rPr>
        <w:t>Firm</w:t>
      </w:r>
      <w:r w:rsidRPr="00DF5AA8">
        <w:rPr>
          <w:rFonts w:cs="Arial"/>
          <w:b/>
          <w:sz w:val="22"/>
          <w:szCs w:val="22"/>
        </w:rPr>
        <w:t xml:space="preserve"> name of assurance </w:t>
      </w:r>
      <w:r w:rsidR="00FB14F2">
        <w:rPr>
          <w:rFonts w:cs="Arial"/>
          <w:b/>
          <w:sz w:val="22"/>
          <w:szCs w:val="22"/>
        </w:rPr>
        <w:t>practitioner</w:t>
      </w:r>
      <w:r w:rsidRPr="00DF5AA8">
        <w:rPr>
          <w:rFonts w:cs="Arial"/>
          <w:b/>
          <w:sz w:val="22"/>
          <w:szCs w:val="22"/>
        </w:rPr>
        <w:t>)</w:t>
      </w:r>
      <w:r w:rsidRPr="00E021BF">
        <w:rPr>
          <w:rFonts w:cs="Arial"/>
          <w:sz w:val="22"/>
          <w:szCs w:val="22"/>
          <w:vertAlign w:val="superscript"/>
        </w:rPr>
        <w:t xml:space="preserve"> </w:t>
      </w:r>
    </w:p>
    <w:p w14:paraId="3E110F19" w14:textId="77777777" w:rsidR="00182932" w:rsidRPr="00EB3D27" w:rsidRDefault="00182932" w:rsidP="00182932">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Registered Auditor</w:t>
      </w:r>
    </w:p>
    <w:p w14:paraId="2F7D1883" w14:textId="77777777" w:rsidR="00182932" w:rsidRPr="00DC1D9F" w:rsidRDefault="00182932" w:rsidP="00182932">
      <w:pPr>
        <w:spacing w:after="120" w:line="312" w:lineRule="auto"/>
        <w:ind w:left="567"/>
        <w:jc w:val="both"/>
        <w:rPr>
          <w:rFonts w:ascii="Arial" w:hAnsi="Arial" w:cs="Arial"/>
          <w:b/>
          <w:sz w:val="22"/>
          <w:szCs w:val="22"/>
          <w:lang w:val="en-ZA"/>
        </w:rPr>
      </w:pPr>
    </w:p>
    <w:p w14:paraId="6D2218AD" w14:textId="055FCBE3" w:rsidR="00182932" w:rsidRPr="009C3E5C" w:rsidRDefault="00182932" w:rsidP="00182932">
      <w:pPr>
        <w:spacing w:after="120" w:line="312" w:lineRule="auto"/>
        <w:ind w:left="567"/>
        <w:jc w:val="both"/>
        <w:rPr>
          <w:rFonts w:ascii="Arial" w:hAnsi="Arial" w:cs="Arial"/>
          <w:i/>
          <w:sz w:val="22"/>
          <w:szCs w:val="22"/>
          <w:lang w:val="en-ZA"/>
        </w:rPr>
      </w:pPr>
      <w:r w:rsidRPr="009C3E5C">
        <w:rPr>
          <w:rFonts w:ascii="Arial" w:hAnsi="Arial" w:cs="Arial"/>
          <w:i/>
          <w:sz w:val="22"/>
          <w:szCs w:val="22"/>
          <w:lang w:val="en-ZA"/>
        </w:rPr>
        <w:t xml:space="preserve">Assurance </w:t>
      </w:r>
      <w:r w:rsidR="00FB14F2">
        <w:rPr>
          <w:rFonts w:ascii="Arial" w:hAnsi="Arial" w:cs="Arial"/>
          <w:i/>
          <w:sz w:val="22"/>
          <w:szCs w:val="22"/>
          <w:lang w:val="en-ZA"/>
        </w:rPr>
        <w:t>practitioner</w:t>
      </w:r>
      <w:r w:rsidRPr="009C3E5C">
        <w:rPr>
          <w:rFonts w:ascii="Arial" w:hAnsi="Arial" w:cs="Arial"/>
          <w:i/>
          <w:sz w:val="22"/>
          <w:szCs w:val="22"/>
          <w:lang w:val="en-ZA"/>
        </w:rPr>
        <w:t>’s signature</w:t>
      </w:r>
    </w:p>
    <w:p w14:paraId="5019A2CD" w14:textId="77777777" w:rsidR="00182932" w:rsidRPr="00FB382B" w:rsidRDefault="00182932" w:rsidP="00182932">
      <w:pPr>
        <w:spacing w:after="120" w:line="312" w:lineRule="auto"/>
        <w:ind w:left="567"/>
        <w:jc w:val="both"/>
        <w:rPr>
          <w:rFonts w:ascii="Arial" w:hAnsi="Arial" w:cs="Arial"/>
          <w:i/>
          <w:sz w:val="22"/>
          <w:szCs w:val="22"/>
          <w:lang w:val="en-ZA"/>
        </w:rPr>
      </w:pPr>
      <w:r w:rsidRPr="00FB382B">
        <w:rPr>
          <w:rFonts w:ascii="Arial" w:hAnsi="Arial" w:cs="Arial"/>
          <w:i/>
          <w:sz w:val="22"/>
          <w:szCs w:val="22"/>
          <w:lang w:val="en-ZA"/>
        </w:rPr>
        <w:t xml:space="preserve">Name of individual </w:t>
      </w:r>
    </w:p>
    <w:p w14:paraId="0287795A" w14:textId="77777777" w:rsidR="00182932" w:rsidRPr="00DF5AA8"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Chartered Accountant (SA)</w:t>
      </w:r>
    </w:p>
    <w:p w14:paraId="2247343C" w14:textId="77777777" w:rsidR="00182932" w:rsidRPr="00DF5AA8"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Registered Auditor</w:t>
      </w:r>
    </w:p>
    <w:p w14:paraId="20ABA0AB" w14:textId="7A393C08" w:rsidR="00182932"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Capacity (e.g.) Director or Partner</w:t>
      </w:r>
    </w:p>
    <w:p w14:paraId="00C10B07" w14:textId="3A9F6ABC" w:rsidR="00553A18" w:rsidRPr="00553A18" w:rsidRDefault="00553A18" w:rsidP="00553A18">
      <w:pPr>
        <w:spacing w:after="120" w:line="312" w:lineRule="auto"/>
        <w:ind w:left="567"/>
        <w:jc w:val="both"/>
        <w:rPr>
          <w:rFonts w:ascii="Arial" w:hAnsi="Arial" w:cs="Arial"/>
          <w:i/>
          <w:sz w:val="22"/>
          <w:szCs w:val="22"/>
          <w:lang w:val="en-ZA"/>
        </w:rPr>
      </w:pPr>
      <w:r>
        <w:rPr>
          <w:rFonts w:ascii="Arial" w:hAnsi="Arial" w:cs="Arial"/>
          <w:i/>
          <w:sz w:val="22"/>
          <w:szCs w:val="22"/>
          <w:lang w:val="en-ZA"/>
        </w:rPr>
        <w:t>Assurance practitioner’s address</w:t>
      </w:r>
    </w:p>
    <w:p w14:paraId="733F7372" w14:textId="77777777" w:rsidR="00182932"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Date</w:t>
      </w:r>
    </w:p>
    <w:p w14:paraId="72AD85D0" w14:textId="77777777" w:rsidR="00B67410" w:rsidRPr="00F1610D" w:rsidRDefault="00B67410" w:rsidP="00671E38">
      <w:pPr>
        <w:spacing w:after="120" w:line="312" w:lineRule="auto"/>
        <w:ind w:left="510" w:hanging="510"/>
        <w:jc w:val="both"/>
        <w:rPr>
          <w:rFonts w:ascii="Arial" w:hAnsi="Arial" w:cs="Arial"/>
          <w:sz w:val="22"/>
          <w:szCs w:val="22"/>
          <w:lang w:val="en-ZA" w:eastAsia="en-US"/>
        </w:rPr>
      </w:pPr>
    </w:p>
    <w:p w14:paraId="05F3713B" w14:textId="77777777" w:rsidR="00190BF8" w:rsidRPr="00F1610D" w:rsidRDefault="00190BF8" w:rsidP="00671E38">
      <w:pPr>
        <w:spacing w:after="120" w:line="312" w:lineRule="auto"/>
        <w:ind w:left="397" w:hanging="397"/>
        <w:jc w:val="both"/>
        <w:rPr>
          <w:rFonts w:ascii="Arial" w:hAnsi="Arial" w:cs="Arial"/>
          <w:smallCaps/>
          <w:sz w:val="22"/>
          <w:szCs w:val="22"/>
        </w:rPr>
      </w:pPr>
    </w:p>
    <w:sectPr w:rsidR="00190BF8" w:rsidRPr="00F1610D" w:rsidSect="00D75A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32F4" w14:textId="77777777" w:rsidR="001C0770" w:rsidRDefault="001C0770">
      <w:r>
        <w:separator/>
      </w:r>
    </w:p>
  </w:endnote>
  <w:endnote w:type="continuationSeparator" w:id="0">
    <w:p w14:paraId="6727069C" w14:textId="77777777" w:rsidR="001C0770" w:rsidRDefault="001C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7D97" w14:textId="77777777" w:rsidR="00CE414C" w:rsidRDefault="00CE4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25252142"/>
      <w:docPartObj>
        <w:docPartGallery w:val="Page Numbers (Bottom of Page)"/>
        <w:docPartUnique/>
      </w:docPartObj>
    </w:sdtPr>
    <w:sdtEndPr/>
    <w:sdtContent>
      <w:sdt>
        <w:sdtPr>
          <w:rPr>
            <w:rFonts w:ascii="Arial" w:hAnsi="Arial" w:cs="Arial"/>
            <w:sz w:val="20"/>
            <w:szCs w:val="20"/>
          </w:rPr>
          <w:id w:val="-1652207622"/>
          <w:docPartObj>
            <w:docPartGallery w:val="Page Numbers (Top of Page)"/>
            <w:docPartUnique/>
          </w:docPartObj>
        </w:sdtPr>
        <w:sdtEndPr/>
        <w:sdtContent>
          <w:p w14:paraId="1A07F791" w14:textId="73E611C5" w:rsidR="00A7713F" w:rsidRPr="001943D1" w:rsidRDefault="00C253B7" w:rsidP="0057177A">
            <w:pPr>
              <w:pStyle w:val="Footer"/>
              <w:ind w:left="90"/>
              <w:rPr>
                <w:rFonts w:ascii="Arial" w:hAnsi="Arial" w:cs="Arial"/>
                <w:sz w:val="20"/>
                <w:szCs w:val="20"/>
              </w:rPr>
            </w:pPr>
            <w:r>
              <w:rPr>
                <w:rFonts w:ascii="Arial" w:hAnsi="Arial" w:cs="Arial"/>
                <w:sz w:val="20"/>
                <w:szCs w:val="20"/>
              </w:rPr>
              <w:tab/>
            </w:r>
            <w:r w:rsidR="0057177A">
              <w:rPr>
                <w:rFonts w:ascii="Arial" w:hAnsi="Arial" w:cs="Arial"/>
                <w:sz w:val="20"/>
                <w:szCs w:val="20"/>
              </w:rPr>
              <w:tab/>
            </w:r>
            <w:r w:rsidR="00A7713F" w:rsidRPr="001943D1">
              <w:rPr>
                <w:rFonts w:ascii="Arial" w:hAnsi="Arial" w:cs="Arial"/>
                <w:sz w:val="20"/>
                <w:szCs w:val="20"/>
              </w:rPr>
              <w:t xml:space="preserve">Page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PAGE </w:instrText>
            </w:r>
            <w:r w:rsidR="00A7713F" w:rsidRPr="001943D1">
              <w:rPr>
                <w:rFonts w:ascii="Arial" w:hAnsi="Arial" w:cs="Arial"/>
                <w:bCs/>
                <w:sz w:val="20"/>
                <w:szCs w:val="20"/>
              </w:rPr>
              <w:fldChar w:fldCharType="separate"/>
            </w:r>
            <w:r w:rsidR="007E008B">
              <w:rPr>
                <w:rFonts w:ascii="Arial" w:hAnsi="Arial" w:cs="Arial"/>
                <w:bCs/>
                <w:noProof/>
                <w:sz w:val="20"/>
                <w:szCs w:val="20"/>
              </w:rPr>
              <w:t>9</w:t>
            </w:r>
            <w:r w:rsidR="00A7713F" w:rsidRPr="001943D1">
              <w:rPr>
                <w:rFonts w:ascii="Arial" w:hAnsi="Arial" w:cs="Arial"/>
                <w:bCs/>
                <w:sz w:val="20"/>
                <w:szCs w:val="20"/>
              </w:rPr>
              <w:fldChar w:fldCharType="end"/>
            </w:r>
            <w:r w:rsidR="00A7713F" w:rsidRPr="001943D1">
              <w:rPr>
                <w:rFonts w:ascii="Arial" w:hAnsi="Arial" w:cs="Arial"/>
                <w:sz w:val="20"/>
                <w:szCs w:val="20"/>
              </w:rPr>
              <w:t xml:space="preserve"> of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NUMPAGES  </w:instrText>
            </w:r>
            <w:r w:rsidR="00A7713F" w:rsidRPr="001943D1">
              <w:rPr>
                <w:rFonts w:ascii="Arial" w:hAnsi="Arial" w:cs="Arial"/>
                <w:bCs/>
                <w:sz w:val="20"/>
                <w:szCs w:val="20"/>
              </w:rPr>
              <w:fldChar w:fldCharType="separate"/>
            </w:r>
            <w:r w:rsidR="007E008B">
              <w:rPr>
                <w:rFonts w:ascii="Arial" w:hAnsi="Arial" w:cs="Arial"/>
                <w:bCs/>
                <w:noProof/>
                <w:sz w:val="20"/>
                <w:szCs w:val="20"/>
              </w:rPr>
              <w:t>13</w:t>
            </w:r>
            <w:r w:rsidR="00A7713F" w:rsidRPr="001943D1">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75DA" w14:textId="77777777" w:rsidR="00CE414C" w:rsidRDefault="00CE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7F9E" w14:textId="77777777" w:rsidR="001C0770" w:rsidRDefault="001C0770">
      <w:r>
        <w:separator/>
      </w:r>
    </w:p>
  </w:footnote>
  <w:footnote w:type="continuationSeparator" w:id="0">
    <w:p w14:paraId="2585B8D0" w14:textId="77777777" w:rsidR="001C0770" w:rsidRDefault="001C0770">
      <w:r>
        <w:continuationSeparator/>
      </w:r>
    </w:p>
  </w:footnote>
  <w:footnote w:id="1">
    <w:p w14:paraId="5FCBBF11" w14:textId="6CDE1DCB" w:rsidR="002948D5" w:rsidRPr="00BC5E8C" w:rsidRDefault="002948D5" w:rsidP="00182908">
      <w:pPr>
        <w:pStyle w:val="FootnoteText"/>
        <w:ind w:left="180" w:hanging="180"/>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73B3564" w14:textId="596EB2EA" w:rsidR="00DE452D" w:rsidRPr="00DE452D" w:rsidRDefault="00DE452D">
      <w:pPr>
        <w:pStyle w:val="FootnoteText"/>
        <w:rPr>
          <w:lang w:val="en-US"/>
        </w:rPr>
      </w:pPr>
      <w:r w:rsidRPr="00DE452D">
        <w:rPr>
          <w:rStyle w:val="FootnoteReference"/>
        </w:rPr>
        <w:footnoteRef/>
      </w:r>
      <w:r w:rsidRPr="00DE452D">
        <w:t xml:space="preserve"> Historically </w:t>
      </w:r>
      <w:r>
        <w:t>D</w:t>
      </w:r>
      <w:r w:rsidRPr="00DE452D">
        <w:t>isadvantaged South Africans</w:t>
      </w:r>
    </w:p>
  </w:footnote>
  <w:footnote w:id="3">
    <w:p w14:paraId="7D73F33C" w14:textId="6D5BD841" w:rsidR="00DE452D" w:rsidRPr="00DE452D" w:rsidRDefault="00DE452D" w:rsidP="00796039">
      <w:pPr>
        <w:pStyle w:val="FootnoteText"/>
        <w:ind w:left="180" w:hanging="180"/>
        <w:jc w:val="both"/>
        <w:rPr>
          <w:lang w:val="en-US"/>
        </w:rPr>
      </w:pPr>
      <w:r w:rsidRPr="00DE452D">
        <w:rPr>
          <w:rStyle w:val="FootnoteReference"/>
        </w:rPr>
        <w:footnoteRef/>
      </w:r>
      <w:r w:rsidRPr="00DE452D">
        <w:t xml:space="preserve"> Scorecard for the Broad</w:t>
      </w:r>
      <w:r w:rsidR="00E4535A">
        <w:t>-</w:t>
      </w:r>
      <w:r w:rsidRPr="00DE452D">
        <w:t>Based Socio Economic Empowerment Charter for the South African Mining and Minerals industry, as amended September 2010</w:t>
      </w:r>
      <w:r>
        <w:t xml:space="preserve"> (for more information: </w:t>
      </w:r>
      <w:r w:rsidRPr="00182908">
        <w:rPr>
          <w:u w:val="single"/>
        </w:rPr>
        <w:t>http://www.dmr.gov.za/mining-charter.html</w:t>
      </w:r>
      <w:r>
        <w:t>)</w:t>
      </w:r>
    </w:p>
  </w:footnote>
  <w:footnote w:id="4">
    <w:p w14:paraId="516FAD7C" w14:textId="63C16F3F" w:rsidR="00DE452D" w:rsidRPr="003C6A26" w:rsidRDefault="00DE452D" w:rsidP="00EF4410">
      <w:pPr>
        <w:pStyle w:val="FootnoteText"/>
        <w:ind w:left="180" w:hanging="180"/>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182908">
        <w:rPr>
          <w:rFonts w:cs="Arial"/>
          <w:u w:val="single"/>
        </w:rPr>
        <w:t>http://www.ohsas-18001-occupational-health-and-safety.com/</w:t>
      </w:r>
      <w:r>
        <w:rPr>
          <w:rFonts w:cs="Arial"/>
        </w:rPr>
        <w:t>)</w:t>
      </w:r>
    </w:p>
  </w:footnote>
  <w:footnote w:id="5">
    <w:p w14:paraId="61D48E0E" w14:textId="2C51BAD0" w:rsidR="008C494C" w:rsidRPr="00E20557" w:rsidRDefault="008C494C" w:rsidP="00110901">
      <w:pPr>
        <w:pStyle w:val="Default"/>
        <w:ind w:left="180" w:hanging="180"/>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6">
    <w:p w14:paraId="52978138" w14:textId="7721EB95" w:rsidR="008C494C" w:rsidRPr="00816018" w:rsidRDefault="008C494C" w:rsidP="009D0C64">
      <w:pPr>
        <w:pStyle w:val="FootnoteText"/>
        <w:ind w:left="180" w:hanging="180"/>
        <w:rPr>
          <w:lang w:val="en-US"/>
        </w:rPr>
      </w:pPr>
      <w:r>
        <w:rPr>
          <w:rStyle w:val="FootnoteReference"/>
        </w:rPr>
        <w:footnoteRef/>
      </w:r>
      <w:r>
        <w:t xml:space="preserve"> </w:t>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7">
    <w:p w14:paraId="0572E612" w14:textId="27D61DD0" w:rsidR="00816018" w:rsidRPr="00816018" w:rsidRDefault="00816018" w:rsidP="009D0C64">
      <w:pPr>
        <w:pStyle w:val="FootnoteText"/>
        <w:ind w:left="180" w:hanging="180"/>
        <w:rPr>
          <w:lang w:val="en-US"/>
        </w:rPr>
      </w:pPr>
      <w:r>
        <w:rPr>
          <w:rStyle w:val="FootnoteReference"/>
        </w:rPr>
        <w:footnoteRef/>
      </w:r>
      <w:r>
        <w:t xml:space="preserve"> </w:t>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8">
    <w:p w14:paraId="211E2FCC" w14:textId="16F5E85C" w:rsidR="007907AB" w:rsidRPr="003C6A26" w:rsidRDefault="007907AB">
      <w:pPr>
        <w:pStyle w:val="FootnoteText"/>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9">
    <w:p w14:paraId="5D3B0818" w14:textId="506E8E54" w:rsidR="00816018" w:rsidRPr="00816018" w:rsidRDefault="00816018" w:rsidP="000A3D2D">
      <w:pPr>
        <w:pStyle w:val="FootnoteText"/>
        <w:ind w:left="180" w:hanging="180"/>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0">
    <w:p w14:paraId="6851494D" w14:textId="4A1BEAC2" w:rsidR="00816018" w:rsidRPr="00816018" w:rsidRDefault="00816018" w:rsidP="000A3D2D">
      <w:pPr>
        <w:pStyle w:val="FootnoteText"/>
        <w:ind w:left="180" w:hanging="180"/>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784C97">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784C97">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1">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2">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3">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G19gEAAMU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6EqkvAN1ItI9JaTi/tdBoCYDDuYGKFCkukYwTxTBDSbZ587b&#10;4Umgm3oHov3QnROSCKSoKGaFiU6oHwRkOgreUXRsmSwYKU6XSVckO6LGt95tyL67Nil54Tkpoawk&#10;L6ZcxzD+vk+3Xr6+9TMA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tcbhtfYBAADFAwAADgAAAAAAAAAAAAAAAAAuAgAAZHJz&#10;L2Uyb0RvYy54bWxQSwECLQAUAAYACAAAACEAcXo6cNsAAAAFAQAADwAAAAAAAAAAAAAAAABQBAAA&#10;ZHJzL2Rvd25yZXYueG1sUEsFBgAAAAAEAAQA8wAAAFgFA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0A85" w14:textId="54A478AE"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7C27DA">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gk+AEAAMw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EAE1A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D017B"/>
    <w:multiLevelType w:val="singleLevel"/>
    <w:tmpl w:val="CDEC51B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4434CE"/>
    <w:multiLevelType w:val="singleLevel"/>
    <w:tmpl w:val="938CC55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B503131"/>
    <w:multiLevelType w:val="singleLevel"/>
    <w:tmpl w:val="8DD82C3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C5D7DE1"/>
    <w:multiLevelType w:val="singleLevel"/>
    <w:tmpl w:val="A6742BC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9" w15:restartNumberingAfterBreak="0">
    <w:nsid w:val="13BD6C86"/>
    <w:multiLevelType w:val="singleLevel"/>
    <w:tmpl w:val="1DBAE85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13DD3030"/>
    <w:multiLevelType w:val="hybridMultilevel"/>
    <w:tmpl w:val="C06ED8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070262B"/>
    <w:multiLevelType w:val="hybridMultilevel"/>
    <w:tmpl w:val="6C544C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216602A3"/>
    <w:multiLevelType w:val="singleLevel"/>
    <w:tmpl w:val="E7183F06"/>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6ED14DF"/>
    <w:multiLevelType w:val="singleLevel"/>
    <w:tmpl w:val="7076F7F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289E79F2"/>
    <w:multiLevelType w:val="multilevel"/>
    <w:tmpl w:val="A20AD49E"/>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29781EC7"/>
    <w:multiLevelType w:val="singleLevel"/>
    <w:tmpl w:val="73029F00"/>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2AD55DD4"/>
    <w:multiLevelType w:val="singleLevel"/>
    <w:tmpl w:val="B2A286DE"/>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2B186333"/>
    <w:multiLevelType w:val="hybridMultilevel"/>
    <w:tmpl w:val="4BF0B850"/>
    <w:lvl w:ilvl="0" w:tplc="567EA330">
      <w:start w:val="1"/>
      <w:numFmt w:val="bullet"/>
      <w:lvlText w:val=""/>
      <w:lvlJc w:val="left"/>
      <w:pPr>
        <w:tabs>
          <w:tab w:val="num" w:pos="360"/>
        </w:tabs>
        <w:ind w:left="360" w:hanging="360"/>
      </w:pPr>
      <w:rPr>
        <w:rFonts w:ascii="Symbol" w:hAnsi="Symbol" w:hint="default"/>
        <w:b/>
        <w:i w:val="0"/>
        <w:color w:val="365F91"/>
      </w:rPr>
    </w:lvl>
    <w:lvl w:ilvl="1" w:tplc="08090001">
      <w:start w:val="1"/>
      <w:numFmt w:val="bullet"/>
      <w:lvlText w:val=""/>
      <w:lvlJc w:val="left"/>
      <w:pPr>
        <w:tabs>
          <w:tab w:val="num" w:pos="796"/>
        </w:tabs>
        <w:ind w:left="796" w:hanging="360"/>
      </w:pPr>
      <w:rPr>
        <w:rFonts w:ascii="Symbol" w:hAnsi="Symbol" w:hint="default"/>
        <w:b/>
        <w:i w:val="0"/>
        <w:color w:val="000080"/>
      </w:rPr>
    </w:lvl>
    <w:lvl w:ilvl="2" w:tplc="0809001B" w:tentative="1">
      <w:start w:val="1"/>
      <w:numFmt w:val="lowerRoman"/>
      <w:lvlText w:val="%3."/>
      <w:lvlJc w:val="right"/>
      <w:pPr>
        <w:tabs>
          <w:tab w:val="num" w:pos="1516"/>
        </w:tabs>
        <w:ind w:left="1516" w:hanging="180"/>
      </w:pPr>
      <w:rPr>
        <w:rFonts w:cs="Times New Roman"/>
      </w:rPr>
    </w:lvl>
    <w:lvl w:ilvl="3" w:tplc="BAFE19E6">
      <w:start w:val="1"/>
      <w:numFmt w:val="none"/>
      <w:lvlText w:val="2.1"/>
      <w:lvlJc w:val="left"/>
      <w:pPr>
        <w:tabs>
          <w:tab w:val="num" w:pos="2236"/>
        </w:tabs>
        <w:ind w:left="2236" w:hanging="360"/>
      </w:pPr>
      <w:rPr>
        <w:rFonts w:cs="Times New Roman" w:hint="default"/>
        <w:b/>
        <w:i w:val="0"/>
        <w:color w:val="000080"/>
      </w:rPr>
    </w:lvl>
    <w:lvl w:ilvl="4" w:tplc="08090019" w:tentative="1">
      <w:start w:val="1"/>
      <w:numFmt w:val="lowerLetter"/>
      <w:lvlText w:val="%5."/>
      <w:lvlJc w:val="left"/>
      <w:pPr>
        <w:tabs>
          <w:tab w:val="num" w:pos="2956"/>
        </w:tabs>
        <w:ind w:left="2956" w:hanging="360"/>
      </w:pPr>
      <w:rPr>
        <w:rFonts w:cs="Times New Roman"/>
      </w:rPr>
    </w:lvl>
    <w:lvl w:ilvl="5" w:tplc="0809001B" w:tentative="1">
      <w:start w:val="1"/>
      <w:numFmt w:val="lowerRoman"/>
      <w:lvlText w:val="%6."/>
      <w:lvlJc w:val="right"/>
      <w:pPr>
        <w:tabs>
          <w:tab w:val="num" w:pos="3676"/>
        </w:tabs>
        <w:ind w:left="3676" w:hanging="180"/>
      </w:pPr>
      <w:rPr>
        <w:rFonts w:cs="Times New Roman"/>
      </w:rPr>
    </w:lvl>
    <w:lvl w:ilvl="6" w:tplc="0809000F" w:tentative="1">
      <w:start w:val="1"/>
      <w:numFmt w:val="decimal"/>
      <w:lvlText w:val="%7."/>
      <w:lvlJc w:val="left"/>
      <w:pPr>
        <w:tabs>
          <w:tab w:val="num" w:pos="4396"/>
        </w:tabs>
        <w:ind w:left="4396" w:hanging="360"/>
      </w:pPr>
      <w:rPr>
        <w:rFonts w:cs="Times New Roman"/>
      </w:rPr>
    </w:lvl>
    <w:lvl w:ilvl="7" w:tplc="08090019" w:tentative="1">
      <w:start w:val="1"/>
      <w:numFmt w:val="lowerLetter"/>
      <w:lvlText w:val="%8."/>
      <w:lvlJc w:val="left"/>
      <w:pPr>
        <w:tabs>
          <w:tab w:val="num" w:pos="5116"/>
        </w:tabs>
        <w:ind w:left="5116" w:hanging="360"/>
      </w:pPr>
      <w:rPr>
        <w:rFonts w:cs="Times New Roman"/>
      </w:rPr>
    </w:lvl>
    <w:lvl w:ilvl="8" w:tplc="0809001B" w:tentative="1">
      <w:start w:val="1"/>
      <w:numFmt w:val="lowerRoman"/>
      <w:lvlText w:val="%9."/>
      <w:lvlJc w:val="right"/>
      <w:pPr>
        <w:tabs>
          <w:tab w:val="num" w:pos="5836"/>
        </w:tabs>
        <w:ind w:left="5836" w:hanging="180"/>
      </w:pPr>
      <w:rPr>
        <w:rFonts w:cs="Times New Roman"/>
      </w:rPr>
    </w:lvl>
  </w:abstractNum>
  <w:abstractNum w:abstractNumId="19" w15:restartNumberingAfterBreak="0">
    <w:nsid w:val="2C9F7C4A"/>
    <w:multiLevelType w:val="singleLevel"/>
    <w:tmpl w:val="8EA86864"/>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2D9562B2"/>
    <w:multiLevelType w:val="multilevel"/>
    <w:tmpl w:val="4B52047C"/>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1"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2E1E63C4"/>
    <w:multiLevelType w:val="singleLevel"/>
    <w:tmpl w:val="86A4E142"/>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37A159B4"/>
    <w:multiLevelType w:val="hybridMultilevel"/>
    <w:tmpl w:val="CC903C5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BEB61EB"/>
    <w:multiLevelType w:val="hybridMultilevel"/>
    <w:tmpl w:val="7A72F3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CC47B61"/>
    <w:multiLevelType w:val="hybridMultilevel"/>
    <w:tmpl w:val="1D0E0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ECF5EE5"/>
    <w:multiLevelType w:val="singleLevel"/>
    <w:tmpl w:val="9BE0760E"/>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42381CC5"/>
    <w:multiLevelType w:val="singleLevel"/>
    <w:tmpl w:val="1FC63DBA"/>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2725D5C"/>
    <w:multiLevelType w:val="singleLevel"/>
    <w:tmpl w:val="56349160"/>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429E7B2F"/>
    <w:multiLevelType w:val="hybridMultilevel"/>
    <w:tmpl w:val="FE0A60FE"/>
    <w:lvl w:ilvl="0" w:tplc="B6464B9C">
      <w:start w:val="1"/>
      <w:numFmt w:val="bullet"/>
      <w:lvlText w:val=""/>
      <w:lvlJc w:val="left"/>
      <w:pPr>
        <w:tabs>
          <w:tab w:val="num" w:pos="75"/>
        </w:tabs>
        <w:ind w:left="75" w:hanging="360"/>
      </w:pPr>
      <w:rPr>
        <w:rFonts w:ascii="Symbol" w:hAnsi="Symbol" w:hint="default"/>
      </w:rPr>
    </w:lvl>
    <w:lvl w:ilvl="1" w:tplc="04090003">
      <w:start w:val="1"/>
      <w:numFmt w:val="bullet"/>
      <w:lvlText w:val="o"/>
      <w:lvlJc w:val="left"/>
      <w:pPr>
        <w:tabs>
          <w:tab w:val="num" w:pos="795"/>
        </w:tabs>
        <w:ind w:left="795" w:hanging="360"/>
      </w:pPr>
      <w:rPr>
        <w:rFonts w:ascii="Courier New" w:hAnsi="Courier New" w:hint="default"/>
      </w:rPr>
    </w:lvl>
    <w:lvl w:ilvl="2" w:tplc="04090005">
      <w:start w:val="1"/>
      <w:numFmt w:val="bullet"/>
      <w:lvlText w:val=""/>
      <w:lvlJc w:val="left"/>
      <w:pPr>
        <w:tabs>
          <w:tab w:val="num" w:pos="1515"/>
        </w:tabs>
        <w:ind w:left="1515" w:hanging="360"/>
      </w:pPr>
      <w:rPr>
        <w:rFonts w:ascii="Wingdings" w:hAnsi="Wingdings" w:hint="default"/>
      </w:rPr>
    </w:lvl>
    <w:lvl w:ilvl="3" w:tplc="04090001" w:tentative="1">
      <w:start w:val="1"/>
      <w:numFmt w:val="bullet"/>
      <w:lvlText w:val=""/>
      <w:lvlJc w:val="left"/>
      <w:pPr>
        <w:tabs>
          <w:tab w:val="num" w:pos="2235"/>
        </w:tabs>
        <w:ind w:left="2235" w:hanging="360"/>
      </w:pPr>
      <w:rPr>
        <w:rFonts w:ascii="Symbol" w:hAnsi="Symbol" w:hint="default"/>
      </w:rPr>
    </w:lvl>
    <w:lvl w:ilvl="4" w:tplc="04090003" w:tentative="1">
      <w:start w:val="1"/>
      <w:numFmt w:val="bullet"/>
      <w:lvlText w:val="o"/>
      <w:lvlJc w:val="left"/>
      <w:pPr>
        <w:tabs>
          <w:tab w:val="num" w:pos="2955"/>
        </w:tabs>
        <w:ind w:left="2955" w:hanging="360"/>
      </w:pPr>
      <w:rPr>
        <w:rFonts w:ascii="Courier New" w:hAnsi="Courier New" w:hint="default"/>
      </w:rPr>
    </w:lvl>
    <w:lvl w:ilvl="5" w:tplc="04090005" w:tentative="1">
      <w:start w:val="1"/>
      <w:numFmt w:val="bullet"/>
      <w:lvlText w:val=""/>
      <w:lvlJc w:val="left"/>
      <w:pPr>
        <w:tabs>
          <w:tab w:val="num" w:pos="3675"/>
        </w:tabs>
        <w:ind w:left="3675" w:hanging="360"/>
      </w:pPr>
      <w:rPr>
        <w:rFonts w:ascii="Wingdings" w:hAnsi="Wingdings" w:hint="default"/>
      </w:rPr>
    </w:lvl>
    <w:lvl w:ilvl="6" w:tplc="04090001" w:tentative="1">
      <w:start w:val="1"/>
      <w:numFmt w:val="bullet"/>
      <w:lvlText w:val=""/>
      <w:lvlJc w:val="left"/>
      <w:pPr>
        <w:tabs>
          <w:tab w:val="num" w:pos="4395"/>
        </w:tabs>
        <w:ind w:left="4395" w:hanging="360"/>
      </w:pPr>
      <w:rPr>
        <w:rFonts w:ascii="Symbol" w:hAnsi="Symbol" w:hint="default"/>
      </w:rPr>
    </w:lvl>
    <w:lvl w:ilvl="7" w:tplc="04090003" w:tentative="1">
      <w:start w:val="1"/>
      <w:numFmt w:val="bullet"/>
      <w:lvlText w:val="o"/>
      <w:lvlJc w:val="left"/>
      <w:pPr>
        <w:tabs>
          <w:tab w:val="num" w:pos="5115"/>
        </w:tabs>
        <w:ind w:left="5115" w:hanging="360"/>
      </w:pPr>
      <w:rPr>
        <w:rFonts w:ascii="Courier New" w:hAnsi="Courier New" w:hint="default"/>
      </w:rPr>
    </w:lvl>
    <w:lvl w:ilvl="8" w:tplc="04090005" w:tentative="1">
      <w:start w:val="1"/>
      <w:numFmt w:val="bullet"/>
      <w:lvlText w:val=""/>
      <w:lvlJc w:val="left"/>
      <w:pPr>
        <w:tabs>
          <w:tab w:val="num" w:pos="5835"/>
        </w:tabs>
        <w:ind w:left="5835" w:hanging="360"/>
      </w:pPr>
      <w:rPr>
        <w:rFonts w:ascii="Wingdings" w:hAnsi="Wingdings" w:hint="default"/>
      </w:rPr>
    </w:lvl>
  </w:abstractNum>
  <w:abstractNum w:abstractNumId="32" w15:restartNumberingAfterBreak="0">
    <w:nsid w:val="43A5463B"/>
    <w:multiLevelType w:val="hybridMultilevel"/>
    <w:tmpl w:val="532636F2"/>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3" w15:restartNumberingAfterBreak="0">
    <w:nsid w:val="46F2630A"/>
    <w:multiLevelType w:val="singleLevel"/>
    <w:tmpl w:val="737A727C"/>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472D48D7"/>
    <w:multiLevelType w:val="singleLevel"/>
    <w:tmpl w:val="05EC9340"/>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6" w15:restartNumberingAfterBreak="0">
    <w:nsid w:val="4AE90160"/>
    <w:multiLevelType w:val="hybridMultilevel"/>
    <w:tmpl w:val="8AE63A22"/>
    <w:lvl w:ilvl="0" w:tplc="CC2C3834">
      <w:numFmt w:val="bullet"/>
      <w:lvlText w:val="-"/>
      <w:lvlJc w:val="left"/>
      <w:pPr>
        <w:ind w:left="405" w:hanging="360"/>
      </w:pPr>
      <w:rPr>
        <w:rFonts w:ascii="Arial" w:eastAsia="Times New Roman" w:hAnsi="Arial" w:hint="default"/>
      </w:rPr>
    </w:lvl>
    <w:lvl w:ilvl="1" w:tplc="1C090003" w:tentative="1">
      <w:start w:val="1"/>
      <w:numFmt w:val="bullet"/>
      <w:lvlText w:val="o"/>
      <w:lvlJc w:val="left"/>
      <w:pPr>
        <w:ind w:left="1125" w:hanging="360"/>
      </w:pPr>
      <w:rPr>
        <w:rFonts w:ascii="Courier New" w:hAnsi="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37"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5AF57EA"/>
    <w:multiLevelType w:val="singleLevel"/>
    <w:tmpl w:val="9CE45C9E"/>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59CA7072"/>
    <w:multiLevelType w:val="singleLevel"/>
    <w:tmpl w:val="9FC863BC"/>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5BDB2623"/>
    <w:multiLevelType w:val="singleLevel"/>
    <w:tmpl w:val="C7C4398A"/>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5F7B2B1C"/>
    <w:multiLevelType w:val="hybridMultilevel"/>
    <w:tmpl w:val="2C869D9C"/>
    <w:lvl w:ilvl="0" w:tplc="9F248F2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0C4FCB"/>
    <w:multiLevelType w:val="singleLevel"/>
    <w:tmpl w:val="12661136"/>
    <w:lvl w:ilvl="0">
      <w:start w:val="1"/>
      <w:numFmt w:val="bullet"/>
      <w:lvlText w:val=""/>
      <w:lvlJc w:val="left"/>
      <w:pPr>
        <w:tabs>
          <w:tab w:val="num" w:pos="340"/>
        </w:tabs>
        <w:ind w:left="340" w:hanging="340"/>
      </w:pPr>
      <w:rPr>
        <w:rFonts w:ascii="Symbol" w:hAnsi="Symbol" w:hint="default"/>
        <w:color w:val="auto"/>
        <w:sz w:val="22"/>
      </w:rPr>
    </w:lvl>
  </w:abstractNum>
  <w:abstractNum w:abstractNumId="46" w15:restartNumberingAfterBreak="0">
    <w:nsid w:val="61F00F4A"/>
    <w:multiLevelType w:val="hybridMultilevel"/>
    <w:tmpl w:val="60B2F8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7" w15:restartNumberingAfterBreak="0">
    <w:nsid w:val="62AE67D6"/>
    <w:multiLevelType w:val="singleLevel"/>
    <w:tmpl w:val="D338B59C"/>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63DD4E57"/>
    <w:multiLevelType w:val="singleLevel"/>
    <w:tmpl w:val="E03E3746"/>
    <w:lvl w:ilvl="0">
      <w:start w:val="1"/>
      <w:numFmt w:val="bullet"/>
      <w:lvlText w:val=""/>
      <w:lvlJc w:val="left"/>
      <w:pPr>
        <w:tabs>
          <w:tab w:val="num" w:pos="340"/>
        </w:tabs>
        <w:ind w:left="340" w:hanging="340"/>
      </w:pPr>
      <w:rPr>
        <w:rFonts w:ascii="Symbol" w:hAnsi="Symbol" w:hint="default"/>
        <w:color w:val="auto"/>
        <w:sz w:val="22"/>
      </w:rPr>
    </w:lvl>
  </w:abstractNum>
  <w:abstractNum w:abstractNumId="49" w15:restartNumberingAfterBreak="0">
    <w:nsid w:val="6D8256A3"/>
    <w:multiLevelType w:val="hybridMultilevel"/>
    <w:tmpl w:val="A5123B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15:restartNumberingAfterBreak="0">
    <w:nsid w:val="6E7435E8"/>
    <w:multiLevelType w:val="singleLevel"/>
    <w:tmpl w:val="99F03522"/>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6FB40D7D"/>
    <w:multiLevelType w:val="singleLevel"/>
    <w:tmpl w:val="ABFC4CAC"/>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70D02B94"/>
    <w:multiLevelType w:val="singleLevel"/>
    <w:tmpl w:val="DBAA83C6"/>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73DB66B0"/>
    <w:multiLevelType w:val="singleLevel"/>
    <w:tmpl w:val="606EAFC0"/>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16cid:durableId="535000505">
    <w:abstractNumId w:val="0"/>
  </w:num>
  <w:num w:numId="2" w16cid:durableId="1020929341">
    <w:abstractNumId w:val="0"/>
  </w:num>
  <w:num w:numId="3" w16cid:durableId="1182621823">
    <w:abstractNumId w:val="0"/>
  </w:num>
  <w:num w:numId="4" w16cid:durableId="910970418">
    <w:abstractNumId w:val="0"/>
  </w:num>
  <w:num w:numId="5" w16cid:durableId="1508863526">
    <w:abstractNumId w:val="0"/>
  </w:num>
  <w:num w:numId="6" w16cid:durableId="1165440869">
    <w:abstractNumId w:val="35"/>
  </w:num>
  <w:num w:numId="7" w16cid:durableId="725690628">
    <w:abstractNumId w:val="44"/>
  </w:num>
  <w:num w:numId="8" w16cid:durableId="668481991">
    <w:abstractNumId w:val="20"/>
  </w:num>
  <w:num w:numId="9" w16cid:durableId="1340699056">
    <w:abstractNumId w:val="45"/>
  </w:num>
  <w:num w:numId="10" w16cid:durableId="963653292">
    <w:abstractNumId w:val="28"/>
  </w:num>
  <w:num w:numId="11" w16cid:durableId="283193388">
    <w:abstractNumId w:val="42"/>
  </w:num>
  <w:num w:numId="12" w16cid:durableId="1520657903">
    <w:abstractNumId w:val="26"/>
  </w:num>
  <w:num w:numId="13" w16cid:durableId="201405624">
    <w:abstractNumId w:val="31"/>
  </w:num>
  <w:num w:numId="14" w16cid:durableId="635839272">
    <w:abstractNumId w:val="9"/>
  </w:num>
  <w:num w:numId="15" w16cid:durableId="69039963">
    <w:abstractNumId w:val="18"/>
  </w:num>
  <w:num w:numId="16" w16cid:durableId="990669493">
    <w:abstractNumId w:val="11"/>
  </w:num>
  <w:num w:numId="17" w16cid:durableId="1907105744">
    <w:abstractNumId w:val="49"/>
  </w:num>
  <w:num w:numId="18" w16cid:durableId="189953567">
    <w:abstractNumId w:val="46"/>
  </w:num>
  <w:num w:numId="19" w16cid:durableId="969213190">
    <w:abstractNumId w:val="36"/>
  </w:num>
  <w:num w:numId="20" w16cid:durableId="1870533564">
    <w:abstractNumId w:val="32"/>
  </w:num>
  <w:num w:numId="21" w16cid:durableId="2047097850">
    <w:abstractNumId w:val="50"/>
  </w:num>
  <w:num w:numId="22" w16cid:durableId="1968470957">
    <w:abstractNumId w:val="48"/>
  </w:num>
  <w:num w:numId="23" w16cid:durableId="1006059611">
    <w:abstractNumId w:val="34"/>
  </w:num>
  <w:num w:numId="24" w16cid:durableId="1255893110">
    <w:abstractNumId w:val="53"/>
  </w:num>
  <w:num w:numId="25" w16cid:durableId="2029133367">
    <w:abstractNumId w:val="14"/>
  </w:num>
  <w:num w:numId="26" w16cid:durableId="1506937554">
    <w:abstractNumId w:val="16"/>
  </w:num>
  <w:num w:numId="27" w16cid:durableId="847595417">
    <w:abstractNumId w:val="17"/>
  </w:num>
  <w:num w:numId="28" w16cid:durableId="1193767686">
    <w:abstractNumId w:val="39"/>
  </w:num>
  <w:num w:numId="29" w16cid:durableId="1734426700">
    <w:abstractNumId w:val="7"/>
  </w:num>
  <w:num w:numId="30" w16cid:durableId="97454069">
    <w:abstractNumId w:val="47"/>
  </w:num>
  <w:num w:numId="31" w16cid:durableId="981468000">
    <w:abstractNumId w:val="33"/>
  </w:num>
  <w:num w:numId="32" w16cid:durableId="623467653">
    <w:abstractNumId w:val="4"/>
  </w:num>
  <w:num w:numId="33" w16cid:durableId="1025787533">
    <w:abstractNumId w:val="2"/>
  </w:num>
  <w:num w:numId="34" w16cid:durableId="1541429864">
    <w:abstractNumId w:val="13"/>
  </w:num>
  <w:num w:numId="35" w16cid:durableId="1815369505">
    <w:abstractNumId w:val="51"/>
  </w:num>
  <w:num w:numId="36" w16cid:durableId="1804303322">
    <w:abstractNumId w:val="8"/>
  </w:num>
  <w:num w:numId="37" w16cid:durableId="1928686196">
    <w:abstractNumId w:val="19"/>
  </w:num>
  <w:num w:numId="38" w16cid:durableId="490605778">
    <w:abstractNumId w:val="6"/>
  </w:num>
  <w:num w:numId="39" w16cid:durableId="1081871636">
    <w:abstractNumId w:val="41"/>
  </w:num>
  <w:num w:numId="40" w16cid:durableId="877351271">
    <w:abstractNumId w:val="0"/>
  </w:num>
  <w:num w:numId="41" w16cid:durableId="488599587">
    <w:abstractNumId w:val="30"/>
  </w:num>
  <w:num w:numId="42" w16cid:durableId="1570382004">
    <w:abstractNumId w:val="29"/>
  </w:num>
  <w:num w:numId="43" w16cid:durableId="575820651">
    <w:abstractNumId w:val="25"/>
  </w:num>
  <w:num w:numId="44" w16cid:durableId="810253354">
    <w:abstractNumId w:val="23"/>
  </w:num>
  <w:num w:numId="45" w16cid:durableId="1811703068">
    <w:abstractNumId w:val="15"/>
  </w:num>
  <w:num w:numId="46" w16cid:durableId="6181548">
    <w:abstractNumId w:val="22"/>
  </w:num>
  <w:num w:numId="47" w16cid:durableId="2019843911">
    <w:abstractNumId w:val="52"/>
  </w:num>
  <w:num w:numId="48" w16cid:durableId="584150714">
    <w:abstractNumId w:val="37"/>
  </w:num>
  <w:num w:numId="49" w16cid:durableId="1684941225">
    <w:abstractNumId w:val="10"/>
  </w:num>
  <w:num w:numId="50" w16cid:durableId="2095860190">
    <w:abstractNumId w:val="54"/>
  </w:num>
  <w:num w:numId="51" w16cid:durableId="1169252797">
    <w:abstractNumId w:val="12"/>
  </w:num>
  <w:num w:numId="52" w16cid:durableId="1386682314">
    <w:abstractNumId w:val="1"/>
  </w:num>
  <w:num w:numId="53" w16cid:durableId="1628580750">
    <w:abstractNumId w:val="27"/>
  </w:num>
  <w:num w:numId="54" w16cid:durableId="1989941984">
    <w:abstractNumId w:val="3"/>
  </w:num>
  <w:num w:numId="55" w16cid:durableId="1600718872">
    <w:abstractNumId w:val="43"/>
  </w:num>
  <w:num w:numId="56" w16cid:durableId="2078822070">
    <w:abstractNumId w:val="5"/>
  </w:num>
  <w:num w:numId="57" w16cid:durableId="1813447416">
    <w:abstractNumId w:val="21"/>
  </w:num>
  <w:num w:numId="58" w16cid:durableId="1020663354">
    <w:abstractNumId w:val="24"/>
  </w:num>
  <w:num w:numId="59" w16cid:durableId="1670021107">
    <w:abstractNumId w:val="40"/>
  </w:num>
  <w:num w:numId="60" w16cid:durableId="67870037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C9282B"/>
    <w:rsid w:val="000062AF"/>
    <w:rsid w:val="0003019D"/>
    <w:rsid w:val="00033685"/>
    <w:rsid w:val="00033D55"/>
    <w:rsid w:val="00035048"/>
    <w:rsid w:val="000357D3"/>
    <w:rsid w:val="00046859"/>
    <w:rsid w:val="00047BF7"/>
    <w:rsid w:val="00047FBE"/>
    <w:rsid w:val="000514F1"/>
    <w:rsid w:val="00051CEC"/>
    <w:rsid w:val="00060580"/>
    <w:rsid w:val="00063D11"/>
    <w:rsid w:val="00071255"/>
    <w:rsid w:val="0007234E"/>
    <w:rsid w:val="000745CE"/>
    <w:rsid w:val="0007596C"/>
    <w:rsid w:val="00075C28"/>
    <w:rsid w:val="00081354"/>
    <w:rsid w:val="00084C0B"/>
    <w:rsid w:val="00090309"/>
    <w:rsid w:val="000922CD"/>
    <w:rsid w:val="00097362"/>
    <w:rsid w:val="00097523"/>
    <w:rsid w:val="000A041D"/>
    <w:rsid w:val="000A15AC"/>
    <w:rsid w:val="000A260C"/>
    <w:rsid w:val="000A3D2D"/>
    <w:rsid w:val="000A56EA"/>
    <w:rsid w:val="000A6EA2"/>
    <w:rsid w:val="000B0A39"/>
    <w:rsid w:val="000B2728"/>
    <w:rsid w:val="000C18F5"/>
    <w:rsid w:val="000C4891"/>
    <w:rsid w:val="000C7C85"/>
    <w:rsid w:val="000E32D8"/>
    <w:rsid w:val="000E5168"/>
    <w:rsid w:val="000E6A95"/>
    <w:rsid w:val="000F06B7"/>
    <w:rsid w:val="000F2217"/>
    <w:rsid w:val="000F4EA6"/>
    <w:rsid w:val="000F5985"/>
    <w:rsid w:val="00100D39"/>
    <w:rsid w:val="0010123B"/>
    <w:rsid w:val="001023FE"/>
    <w:rsid w:val="0010422D"/>
    <w:rsid w:val="00110901"/>
    <w:rsid w:val="00112665"/>
    <w:rsid w:val="00112D41"/>
    <w:rsid w:val="00113257"/>
    <w:rsid w:val="00113A04"/>
    <w:rsid w:val="00114F56"/>
    <w:rsid w:val="00116329"/>
    <w:rsid w:val="00116D0B"/>
    <w:rsid w:val="00121442"/>
    <w:rsid w:val="0012167B"/>
    <w:rsid w:val="001220C6"/>
    <w:rsid w:val="00125347"/>
    <w:rsid w:val="00126543"/>
    <w:rsid w:val="00133479"/>
    <w:rsid w:val="00134E3C"/>
    <w:rsid w:val="001361B9"/>
    <w:rsid w:val="0013657E"/>
    <w:rsid w:val="001373B9"/>
    <w:rsid w:val="00137BC1"/>
    <w:rsid w:val="00140927"/>
    <w:rsid w:val="00146C6B"/>
    <w:rsid w:val="00147C09"/>
    <w:rsid w:val="00154554"/>
    <w:rsid w:val="0015496B"/>
    <w:rsid w:val="001632BE"/>
    <w:rsid w:val="00165D25"/>
    <w:rsid w:val="00172F23"/>
    <w:rsid w:val="00176904"/>
    <w:rsid w:val="001825B2"/>
    <w:rsid w:val="00182908"/>
    <w:rsid w:val="00182932"/>
    <w:rsid w:val="001843F8"/>
    <w:rsid w:val="00190BF8"/>
    <w:rsid w:val="001943D1"/>
    <w:rsid w:val="00194935"/>
    <w:rsid w:val="001962A1"/>
    <w:rsid w:val="001A1BB4"/>
    <w:rsid w:val="001A2EA3"/>
    <w:rsid w:val="001A3C0A"/>
    <w:rsid w:val="001C0168"/>
    <w:rsid w:val="001C0770"/>
    <w:rsid w:val="001C19A9"/>
    <w:rsid w:val="001C20EC"/>
    <w:rsid w:val="001C39B3"/>
    <w:rsid w:val="001D0283"/>
    <w:rsid w:val="001E2E05"/>
    <w:rsid w:val="001E41F4"/>
    <w:rsid w:val="001E65D7"/>
    <w:rsid w:val="001E7EAD"/>
    <w:rsid w:val="001F218F"/>
    <w:rsid w:val="001F24DD"/>
    <w:rsid w:val="00203CDD"/>
    <w:rsid w:val="002041DE"/>
    <w:rsid w:val="00206DBB"/>
    <w:rsid w:val="0020760E"/>
    <w:rsid w:val="00213C13"/>
    <w:rsid w:val="00214E99"/>
    <w:rsid w:val="002222FF"/>
    <w:rsid w:val="00227FA3"/>
    <w:rsid w:val="00230204"/>
    <w:rsid w:val="00234786"/>
    <w:rsid w:val="002367A1"/>
    <w:rsid w:val="002431B1"/>
    <w:rsid w:val="00244104"/>
    <w:rsid w:val="00244387"/>
    <w:rsid w:val="00246C5D"/>
    <w:rsid w:val="00246F62"/>
    <w:rsid w:val="002521B5"/>
    <w:rsid w:val="002625DD"/>
    <w:rsid w:val="00276973"/>
    <w:rsid w:val="00277165"/>
    <w:rsid w:val="002776A2"/>
    <w:rsid w:val="002804FE"/>
    <w:rsid w:val="00280879"/>
    <w:rsid w:val="00280CB1"/>
    <w:rsid w:val="0028167F"/>
    <w:rsid w:val="00282A5D"/>
    <w:rsid w:val="00282B13"/>
    <w:rsid w:val="002832E0"/>
    <w:rsid w:val="002845F0"/>
    <w:rsid w:val="00286D4A"/>
    <w:rsid w:val="0029290A"/>
    <w:rsid w:val="0029290F"/>
    <w:rsid w:val="002948D5"/>
    <w:rsid w:val="00294D01"/>
    <w:rsid w:val="002A01BC"/>
    <w:rsid w:val="002A5863"/>
    <w:rsid w:val="002B2EE8"/>
    <w:rsid w:val="002B5FC7"/>
    <w:rsid w:val="002C09DE"/>
    <w:rsid w:val="002C1279"/>
    <w:rsid w:val="002C5ACE"/>
    <w:rsid w:val="002D0D19"/>
    <w:rsid w:val="002D1C60"/>
    <w:rsid w:val="002D258D"/>
    <w:rsid w:val="002D4122"/>
    <w:rsid w:val="002E348C"/>
    <w:rsid w:val="002E4126"/>
    <w:rsid w:val="002E4B1C"/>
    <w:rsid w:val="002E5530"/>
    <w:rsid w:val="002F6FFE"/>
    <w:rsid w:val="003031AF"/>
    <w:rsid w:val="00303686"/>
    <w:rsid w:val="003044D3"/>
    <w:rsid w:val="00310ECC"/>
    <w:rsid w:val="003122E2"/>
    <w:rsid w:val="003131EC"/>
    <w:rsid w:val="00313C81"/>
    <w:rsid w:val="0031623F"/>
    <w:rsid w:val="003179FA"/>
    <w:rsid w:val="00321727"/>
    <w:rsid w:val="00323805"/>
    <w:rsid w:val="00323E88"/>
    <w:rsid w:val="0032458A"/>
    <w:rsid w:val="0032463A"/>
    <w:rsid w:val="0032474B"/>
    <w:rsid w:val="00324CF9"/>
    <w:rsid w:val="0032545F"/>
    <w:rsid w:val="003337C9"/>
    <w:rsid w:val="00335FA7"/>
    <w:rsid w:val="0034332F"/>
    <w:rsid w:val="00343548"/>
    <w:rsid w:val="00346A3F"/>
    <w:rsid w:val="00346B29"/>
    <w:rsid w:val="003526EF"/>
    <w:rsid w:val="003531B1"/>
    <w:rsid w:val="003561CE"/>
    <w:rsid w:val="00364B02"/>
    <w:rsid w:val="00367F41"/>
    <w:rsid w:val="00371007"/>
    <w:rsid w:val="00376BBE"/>
    <w:rsid w:val="003775BD"/>
    <w:rsid w:val="003807FA"/>
    <w:rsid w:val="00381FE1"/>
    <w:rsid w:val="00383F60"/>
    <w:rsid w:val="003841B7"/>
    <w:rsid w:val="003869E9"/>
    <w:rsid w:val="00391726"/>
    <w:rsid w:val="003A0FAB"/>
    <w:rsid w:val="003A768E"/>
    <w:rsid w:val="003B317F"/>
    <w:rsid w:val="003B7324"/>
    <w:rsid w:val="003C1D53"/>
    <w:rsid w:val="003C1DD9"/>
    <w:rsid w:val="003C529B"/>
    <w:rsid w:val="003C6A26"/>
    <w:rsid w:val="003D7F0F"/>
    <w:rsid w:val="003E2B2C"/>
    <w:rsid w:val="003F1831"/>
    <w:rsid w:val="003F451A"/>
    <w:rsid w:val="003F5D62"/>
    <w:rsid w:val="004024EF"/>
    <w:rsid w:val="0040762A"/>
    <w:rsid w:val="0041020B"/>
    <w:rsid w:val="00412DD4"/>
    <w:rsid w:val="00412F51"/>
    <w:rsid w:val="00420EE3"/>
    <w:rsid w:val="004210AB"/>
    <w:rsid w:val="00423564"/>
    <w:rsid w:val="00424F02"/>
    <w:rsid w:val="0042782B"/>
    <w:rsid w:val="00430370"/>
    <w:rsid w:val="00432B33"/>
    <w:rsid w:val="00444EDD"/>
    <w:rsid w:val="0044703B"/>
    <w:rsid w:val="0045225C"/>
    <w:rsid w:val="0045747C"/>
    <w:rsid w:val="004635B5"/>
    <w:rsid w:val="00466A20"/>
    <w:rsid w:val="00477B69"/>
    <w:rsid w:val="0048365A"/>
    <w:rsid w:val="00485F9F"/>
    <w:rsid w:val="0048748F"/>
    <w:rsid w:val="00487B66"/>
    <w:rsid w:val="0049137F"/>
    <w:rsid w:val="004916B7"/>
    <w:rsid w:val="00494811"/>
    <w:rsid w:val="00496094"/>
    <w:rsid w:val="00497982"/>
    <w:rsid w:val="004A12BE"/>
    <w:rsid w:val="004C01AD"/>
    <w:rsid w:val="004C1D5B"/>
    <w:rsid w:val="004C2B7F"/>
    <w:rsid w:val="004C56C1"/>
    <w:rsid w:val="004C7B38"/>
    <w:rsid w:val="004D1269"/>
    <w:rsid w:val="004D1840"/>
    <w:rsid w:val="004D39B4"/>
    <w:rsid w:val="004D4007"/>
    <w:rsid w:val="004D74B2"/>
    <w:rsid w:val="004E13C3"/>
    <w:rsid w:val="004E28B7"/>
    <w:rsid w:val="004E6C70"/>
    <w:rsid w:val="004F74F7"/>
    <w:rsid w:val="00500BFC"/>
    <w:rsid w:val="00500C0A"/>
    <w:rsid w:val="0050169D"/>
    <w:rsid w:val="00502A8C"/>
    <w:rsid w:val="0050427B"/>
    <w:rsid w:val="0050460B"/>
    <w:rsid w:val="005049F6"/>
    <w:rsid w:val="005055BD"/>
    <w:rsid w:val="00524DC1"/>
    <w:rsid w:val="0052506F"/>
    <w:rsid w:val="00531709"/>
    <w:rsid w:val="0053177B"/>
    <w:rsid w:val="00532625"/>
    <w:rsid w:val="00533397"/>
    <w:rsid w:val="00534D42"/>
    <w:rsid w:val="0053510B"/>
    <w:rsid w:val="005355F8"/>
    <w:rsid w:val="00535B93"/>
    <w:rsid w:val="00536173"/>
    <w:rsid w:val="00537650"/>
    <w:rsid w:val="00537B9B"/>
    <w:rsid w:val="00542DC2"/>
    <w:rsid w:val="00542FBD"/>
    <w:rsid w:val="00545500"/>
    <w:rsid w:val="0055135A"/>
    <w:rsid w:val="0055335C"/>
    <w:rsid w:val="00553A18"/>
    <w:rsid w:val="00554DAC"/>
    <w:rsid w:val="00554F31"/>
    <w:rsid w:val="00561C47"/>
    <w:rsid w:val="00562451"/>
    <w:rsid w:val="0056345C"/>
    <w:rsid w:val="0056566C"/>
    <w:rsid w:val="0057177A"/>
    <w:rsid w:val="005734E1"/>
    <w:rsid w:val="00573B07"/>
    <w:rsid w:val="0057563F"/>
    <w:rsid w:val="00577E04"/>
    <w:rsid w:val="005802A4"/>
    <w:rsid w:val="005807AB"/>
    <w:rsid w:val="0058471A"/>
    <w:rsid w:val="005847B4"/>
    <w:rsid w:val="00585EA3"/>
    <w:rsid w:val="005879C7"/>
    <w:rsid w:val="0059554A"/>
    <w:rsid w:val="00596C63"/>
    <w:rsid w:val="005A3E87"/>
    <w:rsid w:val="005B743A"/>
    <w:rsid w:val="005C48E0"/>
    <w:rsid w:val="005C5B71"/>
    <w:rsid w:val="005C65BB"/>
    <w:rsid w:val="005C7886"/>
    <w:rsid w:val="005D6A9C"/>
    <w:rsid w:val="005E5D40"/>
    <w:rsid w:val="005F79B4"/>
    <w:rsid w:val="00604A56"/>
    <w:rsid w:val="006051B7"/>
    <w:rsid w:val="00607577"/>
    <w:rsid w:val="0061325F"/>
    <w:rsid w:val="00622909"/>
    <w:rsid w:val="006243FB"/>
    <w:rsid w:val="00627B2E"/>
    <w:rsid w:val="00632355"/>
    <w:rsid w:val="00633CEE"/>
    <w:rsid w:val="0063695A"/>
    <w:rsid w:val="00637E27"/>
    <w:rsid w:val="00637E99"/>
    <w:rsid w:val="00640FEA"/>
    <w:rsid w:val="00641450"/>
    <w:rsid w:val="00641BCB"/>
    <w:rsid w:val="00645691"/>
    <w:rsid w:val="00651E18"/>
    <w:rsid w:val="00654D9B"/>
    <w:rsid w:val="00664774"/>
    <w:rsid w:val="0066618C"/>
    <w:rsid w:val="0066733C"/>
    <w:rsid w:val="00670578"/>
    <w:rsid w:val="00671E38"/>
    <w:rsid w:val="00675014"/>
    <w:rsid w:val="00681078"/>
    <w:rsid w:val="00682D2B"/>
    <w:rsid w:val="00682DA3"/>
    <w:rsid w:val="00684313"/>
    <w:rsid w:val="00685979"/>
    <w:rsid w:val="00691EA3"/>
    <w:rsid w:val="0069675D"/>
    <w:rsid w:val="006A3B50"/>
    <w:rsid w:val="006A63F5"/>
    <w:rsid w:val="006A6DB1"/>
    <w:rsid w:val="006B28A8"/>
    <w:rsid w:val="006B4010"/>
    <w:rsid w:val="006C3F79"/>
    <w:rsid w:val="006C4A7D"/>
    <w:rsid w:val="006C4B14"/>
    <w:rsid w:val="006E0DA4"/>
    <w:rsid w:val="006E595B"/>
    <w:rsid w:val="006E658C"/>
    <w:rsid w:val="006E6E4D"/>
    <w:rsid w:val="006F352D"/>
    <w:rsid w:val="006F3BA8"/>
    <w:rsid w:val="006F42FB"/>
    <w:rsid w:val="006F49AB"/>
    <w:rsid w:val="006F5622"/>
    <w:rsid w:val="006F6DCB"/>
    <w:rsid w:val="00700E61"/>
    <w:rsid w:val="00704CA8"/>
    <w:rsid w:val="00705814"/>
    <w:rsid w:val="00710744"/>
    <w:rsid w:val="00716E90"/>
    <w:rsid w:val="007172A8"/>
    <w:rsid w:val="00722E98"/>
    <w:rsid w:val="007269AB"/>
    <w:rsid w:val="00732127"/>
    <w:rsid w:val="007335FB"/>
    <w:rsid w:val="00736246"/>
    <w:rsid w:val="00741FC8"/>
    <w:rsid w:val="00742998"/>
    <w:rsid w:val="00764E92"/>
    <w:rsid w:val="0076576C"/>
    <w:rsid w:val="00766C98"/>
    <w:rsid w:val="00767F30"/>
    <w:rsid w:val="007702E9"/>
    <w:rsid w:val="00774651"/>
    <w:rsid w:val="007777DC"/>
    <w:rsid w:val="0078250C"/>
    <w:rsid w:val="00783801"/>
    <w:rsid w:val="00783A02"/>
    <w:rsid w:val="00783C5B"/>
    <w:rsid w:val="00784A1E"/>
    <w:rsid w:val="00784C97"/>
    <w:rsid w:val="007907AB"/>
    <w:rsid w:val="00792029"/>
    <w:rsid w:val="007932FD"/>
    <w:rsid w:val="00794B3A"/>
    <w:rsid w:val="00796039"/>
    <w:rsid w:val="007A01FC"/>
    <w:rsid w:val="007A1905"/>
    <w:rsid w:val="007A4168"/>
    <w:rsid w:val="007B5D2D"/>
    <w:rsid w:val="007C27DA"/>
    <w:rsid w:val="007C2E4B"/>
    <w:rsid w:val="007C5A51"/>
    <w:rsid w:val="007D18F2"/>
    <w:rsid w:val="007D6072"/>
    <w:rsid w:val="007D7A01"/>
    <w:rsid w:val="007E008B"/>
    <w:rsid w:val="007E3160"/>
    <w:rsid w:val="007E5DB0"/>
    <w:rsid w:val="007E61EA"/>
    <w:rsid w:val="007E73F4"/>
    <w:rsid w:val="007F1A28"/>
    <w:rsid w:val="007F4A89"/>
    <w:rsid w:val="008023A2"/>
    <w:rsid w:val="008051D4"/>
    <w:rsid w:val="00810250"/>
    <w:rsid w:val="008141EC"/>
    <w:rsid w:val="0081496E"/>
    <w:rsid w:val="00816018"/>
    <w:rsid w:val="00816C8C"/>
    <w:rsid w:val="00825461"/>
    <w:rsid w:val="008313C4"/>
    <w:rsid w:val="00833A3B"/>
    <w:rsid w:val="00837554"/>
    <w:rsid w:val="00846D14"/>
    <w:rsid w:val="008509A8"/>
    <w:rsid w:val="00851A60"/>
    <w:rsid w:val="00852286"/>
    <w:rsid w:val="00856311"/>
    <w:rsid w:val="00857564"/>
    <w:rsid w:val="008577D9"/>
    <w:rsid w:val="0086020A"/>
    <w:rsid w:val="00863146"/>
    <w:rsid w:val="008673DD"/>
    <w:rsid w:val="00867680"/>
    <w:rsid w:val="00871F9E"/>
    <w:rsid w:val="008748FA"/>
    <w:rsid w:val="00875CCC"/>
    <w:rsid w:val="008807D4"/>
    <w:rsid w:val="00880FA4"/>
    <w:rsid w:val="008822E3"/>
    <w:rsid w:val="008830FD"/>
    <w:rsid w:val="0088759C"/>
    <w:rsid w:val="00887F42"/>
    <w:rsid w:val="00895114"/>
    <w:rsid w:val="008A4004"/>
    <w:rsid w:val="008A4ED0"/>
    <w:rsid w:val="008A5637"/>
    <w:rsid w:val="008B0118"/>
    <w:rsid w:val="008B2334"/>
    <w:rsid w:val="008B3259"/>
    <w:rsid w:val="008B7726"/>
    <w:rsid w:val="008C0C6F"/>
    <w:rsid w:val="008C494C"/>
    <w:rsid w:val="008C5353"/>
    <w:rsid w:val="008C5D29"/>
    <w:rsid w:val="008D20D7"/>
    <w:rsid w:val="008D394D"/>
    <w:rsid w:val="008E084D"/>
    <w:rsid w:val="008E24BC"/>
    <w:rsid w:val="008E2B94"/>
    <w:rsid w:val="008E6F04"/>
    <w:rsid w:val="008F1967"/>
    <w:rsid w:val="008F4FB0"/>
    <w:rsid w:val="008F68DB"/>
    <w:rsid w:val="00903785"/>
    <w:rsid w:val="00906431"/>
    <w:rsid w:val="0090703E"/>
    <w:rsid w:val="00920F56"/>
    <w:rsid w:val="00923083"/>
    <w:rsid w:val="00927067"/>
    <w:rsid w:val="0092784F"/>
    <w:rsid w:val="00931417"/>
    <w:rsid w:val="009358CB"/>
    <w:rsid w:val="0093640D"/>
    <w:rsid w:val="00936746"/>
    <w:rsid w:val="009374B7"/>
    <w:rsid w:val="0094251C"/>
    <w:rsid w:val="0094289A"/>
    <w:rsid w:val="00950C16"/>
    <w:rsid w:val="00954B12"/>
    <w:rsid w:val="00960669"/>
    <w:rsid w:val="00965EC9"/>
    <w:rsid w:val="00973145"/>
    <w:rsid w:val="00975FB5"/>
    <w:rsid w:val="009768B9"/>
    <w:rsid w:val="00980F5A"/>
    <w:rsid w:val="00982988"/>
    <w:rsid w:val="0099213D"/>
    <w:rsid w:val="00996ED5"/>
    <w:rsid w:val="009A4216"/>
    <w:rsid w:val="009A48C3"/>
    <w:rsid w:val="009A7DA2"/>
    <w:rsid w:val="009B21EF"/>
    <w:rsid w:val="009B4251"/>
    <w:rsid w:val="009B70B0"/>
    <w:rsid w:val="009C3E5C"/>
    <w:rsid w:val="009C4742"/>
    <w:rsid w:val="009C5104"/>
    <w:rsid w:val="009C51D4"/>
    <w:rsid w:val="009C7A73"/>
    <w:rsid w:val="009D0210"/>
    <w:rsid w:val="009D0C64"/>
    <w:rsid w:val="009D5226"/>
    <w:rsid w:val="009D73B9"/>
    <w:rsid w:val="009E22E1"/>
    <w:rsid w:val="009F305D"/>
    <w:rsid w:val="009F5239"/>
    <w:rsid w:val="009F5EEB"/>
    <w:rsid w:val="009F66B9"/>
    <w:rsid w:val="009F7EAA"/>
    <w:rsid w:val="00A04ACD"/>
    <w:rsid w:val="00A0535E"/>
    <w:rsid w:val="00A06BFE"/>
    <w:rsid w:val="00A07D36"/>
    <w:rsid w:val="00A12612"/>
    <w:rsid w:val="00A13634"/>
    <w:rsid w:val="00A154D0"/>
    <w:rsid w:val="00A256BF"/>
    <w:rsid w:val="00A305A7"/>
    <w:rsid w:val="00A325D8"/>
    <w:rsid w:val="00A3686C"/>
    <w:rsid w:val="00A50253"/>
    <w:rsid w:val="00A50500"/>
    <w:rsid w:val="00A538DF"/>
    <w:rsid w:val="00A5451F"/>
    <w:rsid w:val="00A5478B"/>
    <w:rsid w:val="00A54EA9"/>
    <w:rsid w:val="00A60471"/>
    <w:rsid w:val="00A65EBA"/>
    <w:rsid w:val="00A72536"/>
    <w:rsid w:val="00A75A12"/>
    <w:rsid w:val="00A7713F"/>
    <w:rsid w:val="00A80619"/>
    <w:rsid w:val="00A84B60"/>
    <w:rsid w:val="00A85414"/>
    <w:rsid w:val="00A85665"/>
    <w:rsid w:val="00A85ABC"/>
    <w:rsid w:val="00A85D91"/>
    <w:rsid w:val="00A87A4A"/>
    <w:rsid w:val="00A9026C"/>
    <w:rsid w:val="00A90AB1"/>
    <w:rsid w:val="00A93DCD"/>
    <w:rsid w:val="00AA1E4B"/>
    <w:rsid w:val="00AA648C"/>
    <w:rsid w:val="00AA7197"/>
    <w:rsid w:val="00AB281D"/>
    <w:rsid w:val="00AB36E7"/>
    <w:rsid w:val="00AB77E5"/>
    <w:rsid w:val="00AC1256"/>
    <w:rsid w:val="00AC1BBC"/>
    <w:rsid w:val="00AC3715"/>
    <w:rsid w:val="00AC5C53"/>
    <w:rsid w:val="00AD0727"/>
    <w:rsid w:val="00AD0CF8"/>
    <w:rsid w:val="00AD56C1"/>
    <w:rsid w:val="00AE003A"/>
    <w:rsid w:val="00AE5AF0"/>
    <w:rsid w:val="00AF3458"/>
    <w:rsid w:val="00AF434F"/>
    <w:rsid w:val="00AF7BA9"/>
    <w:rsid w:val="00B02E56"/>
    <w:rsid w:val="00B06BF1"/>
    <w:rsid w:val="00B1074D"/>
    <w:rsid w:val="00B125FE"/>
    <w:rsid w:val="00B13A4A"/>
    <w:rsid w:val="00B1752C"/>
    <w:rsid w:val="00B22272"/>
    <w:rsid w:val="00B256BE"/>
    <w:rsid w:val="00B26788"/>
    <w:rsid w:val="00B26C21"/>
    <w:rsid w:val="00B26D37"/>
    <w:rsid w:val="00B30969"/>
    <w:rsid w:val="00B31CC9"/>
    <w:rsid w:val="00B4186F"/>
    <w:rsid w:val="00B42653"/>
    <w:rsid w:val="00B456F4"/>
    <w:rsid w:val="00B46683"/>
    <w:rsid w:val="00B46F10"/>
    <w:rsid w:val="00B506D8"/>
    <w:rsid w:val="00B5158A"/>
    <w:rsid w:val="00B535AD"/>
    <w:rsid w:val="00B56149"/>
    <w:rsid w:val="00B611B5"/>
    <w:rsid w:val="00B611D0"/>
    <w:rsid w:val="00B62279"/>
    <w:rsid w:val="00B63371"/>
    <w:rsid w:val="00B64007"/>
    <w:rsid w:val="00B67410"/>
    <w:rsid w:val="00B7086E"/>
    <w:rsid w:val="00B7393E"/>
    <w:rsid w:val="00B8071F"/>
    <w:rsid w:val="00B82D6E"/>
    <w:rsid w:val="00B87920"/>
    <w:rsid w:val="00B94844"/>
    <w:rsid w:val="00B97D30"/>
    <w:rsid w:val="00BA0731"/>
    <w:rsid w:val="00BA0737"/>
    <w:rsid w:val="00BA0940"/>
    <w:rsid w:val="00BA4836"/>
    <w:rsid w:val="00BB41A2"/>
    <w:rsid w:val="00BB5E31"/>
    <w:rsid w:val="00BB6A7A"/>
    <w:rsid w:val="00BB767C"/>
    <w:rsid w:val="00BC3F3E"/>
    <w:rsid w:val="00BC5383"/>
    <w:rsid w:val="00BC5E8C"/>
    <w:rsid w:val="00BC614E"/>
    <w:rsid w:val="00BD1ECB"/>
    <w:rsid w:val="00BD2665"/>
    <w:rsid w:val="00BD3597"/>
    <w:rsid w:val="00BD5B49"/>
    <w:rsid w:val="00BE054B"/>
    <w:rsid w:val="00BE2CF1"/>
    <w:rsid w:val="00BF2404"/>
    <w:rsid w:val="00BF7186"/>
    <w:rsid w:val="00BF7C12"/>
    <w:rsid w:val="00C031CA"/>
    <w:rsid w:val="00C10B95"/>
    <w:rsid w:val="00C208F2"/>
    <w:rsid w:val="00C2365D"/>
    <w:rsid w:val="00C253B7"/>
    <w:rsid w:val="00C270B5"/>
    <w:rsid w:val="00C32E5B"/>
    <w:rsid w:val="00C3436B"/>
    <w:rsid w:val="00C34927"/>
    <w:rsid w:val="00C36716"/>
    <w:rsid w:val="00C42F26"/>
    <w:rsid w:val="00C44C42"/>
    <w:rsid w:val="00C45036"/>
    <w:rsid w:val="00C45059"/>
    <w:rsid w:val="00C52281"/>
    <w:rsid w:val="00C54511"/>
    <w:rsid w:val="00C70FFA"/>
    <w:rsid w:val="00C758CD"/>
    <w:rsid w:val="00C75CCE"/>
    <w:rsid w:val="00C8368B"/>
    <w:rsid w:val="00C84991"/>
    <w:rsid w:val="00C85ED9"/>
    <w:rsid w:val="00C91259"/>
    <w:rsid w:val="00C9282B"/>
    <w:rsid w:val="00C9465D"/>
    <w:rsid w:val="00CA050F"/>
    <w:rsid w:val="00CA6094"/>
    <w:rsid w:val="00CB212B"/>
    <w:rsid w:val="00CB2312"/>
    <w:rsid w:val="00CB5EDA"/>
    <w:rsid w:val="00CB6F14"/>
    <w:rsid w:val="00CC2A13"/>
    <w:rsid w:val="00CD6EB3"/>
    <w:rsid w:val="00CE1E7F"/>
    <w:rsid w:val="00CE2BE1"/>
    <w:rsid w:val="00CE397B"/>
    <w:rsid w:val="00CE414C"/>
    <w:rsid w:val="00CE42F2"/>
    <w:rsid w:val="00CE433B"/>
    <w:rsid w:val="00CE47A7"/>
    <w:rsid w:val="00CE6C95"/>
    <w:rsid w:val="00CF1B03"/>
    <w:rsid w:val="00CF4BF9"/>
    <w:rsid w:val="00CF7B5A"/>
    <w:rsid w:val="00D00D17"/>
    <w:rsid w:val="00D074F4"/>
    <w:rsid w:val="00D07C35"/>
    <w:rsid w:val="00D150C8"/>
    <w:rsid w:val="00D15980"/>
    <w:rsid w:val="00D22EFF"/>
    <w:rsid w:val="00D23D9D"/>
    <w:rsid w:val="00D2436B"/>
    <w:rsid w:val="00D24B06"/>
    <w:rsid w:val="00D25B20"/>
    <w:rsid w:val="00D3414F"/>
    <w:rsid w:val="00D34217"/>
    <w:rsid w:val="00D371DA"/>
    <w:rsid w:val="00D44176"/>
    <w:rsid w:val="00D45A56"/>
    <w:rsid w:val="00D468F2"/>
    <w:rsid w:val="00D47C0F"/>
    <w:rsid w:val="00D52E8D"/>
    <w:rsid w:val="00D56AFD"/>
    <w:rsid w:val="00D57FB9"/>
    <w:rsid w:val="00D6134E"/>
    <w:rsid w:val="00D709E3"/>
    <w:rsid w:val="00D75A57"/>
    <w:rsid w:val="00D75E13"/>
    <w:rsid w:val="00D84768"/>
    <w:rsid w:val="00D862EA"/>
    <w:rsid w:val="00D86FD6"/>
    <w:rsid w:val="00D91D38"/>
    <w:rsid w:val="00D9379F"/>
    <w:rsid w:val="00DA325C"/>
    <w:rsid w:val="00DA35B9"/>
    <w:rsid w:val="00DA5D3B"/>
    <w:rsid w:val="00DA662D"/>
    <w:rsid w:val="00DB36C5"/>
    <w:rsid w:val="00DC1D9F"/>
    <w:rsid w:val="00DC2441"/>
    <w:rsid w:val="00DC3D42"/>
    <w:rsid w:val="00DC6064"/>
    <w:rsid w:val="00DC7296"/>
    <w:rsid w:val="00DD01DB"/>
    <w:rsid w:val="00DD0593"/>
    <w:rsid w:val="00DD3336"/>
    <w:rsid w:val="00DE234D"/>
    <w:rsid w:val="00DE452D"/>
    <w:rsid w:val="00DF1C6D"/>
    <w:rsid w:val="00DF2F41"/>
    <w:rsid w:val="00DF3423"/>
    <w:rsid w:val="00DF5AA8"/>
    <w:rsid w:val="00DF6EB6"/>
    <w:rsid w:val="00E00461"/>
    <w:rsid w:val="00E01C49"/>
    <w:rsid w:val="00E021BF"/>
    <w:rsid w:val="00E067C3"/>
    <w:rsid w:val="00E20557"/>
    <w:rsid w:val="00E21065"/>
    <w:rsid w:val="00E21509"/>
    <w:rsid w:val="00E21F7C"/>
    <w:rsid w:val="00E229F9"/>
    <w:rsid w:val="00E249D8"/>
    <w:rsid w:val="00E31A17"/>
    <w:rsid w:val="00E35A42"/>
    <w:rsid w:val="00E36CD8"/>
    <w:rsid w:val="00E37EBE"/>
    <w:rsid w:val="00E41F07"/>
    <w:rsid w:val="00E433B0"/>
    <w:rsid w:val="00E4490F"/>
    <w:rsid w:val="00E4535A"/>
    <w:rsid w:val="00E51082"/>
    <w:rsid w:val="00E535B3"/>
    <w:rsid w:val="00E55985"/>
    <w:rsid w:val="00E56B2D"/>
    <w:rsid w:val="00E61362"/>
    <w:rsid w:val="00E6356F"/>
    <w:rsid w:val="00E700FF"/>
    <w:rsid w:val="00E7122A"/>
    <w:rsid w:val="00E71AA1"/>
    <w:rsid w:val="00E730CA"/>
    <w:rsid w:val="00E7402F"/>
    <w:rsid w:val="00E75313"/>
    <w:rsid w:val="00E81766"/>
    <w:rsid w:val="00E879A0"/>
    <w:rsid w:val="00E9050C"/>
    <w:rsid w:val="00E90A1E"/>
    <w:rsid w:val="00E923F3"/>
    <w:rsid w:val="00EB13EF"/>
    <w:rsid w:val="00EB3D27"/>
    <w:rsid w:val="00EB7D29"/>
    <w:rsid w:val="00EC7F1F"/>
    <w:rsid w:val="00ED1F81"/>
    <w:rsid w:val="00ED32C2"/>
    <w:rsid w:val="00ED4127"/>
    <w:rsid w:val="00ED44EB"/>
    <w:rsid w:val="00ED4ABB"/>
    <w:rsid w:val="00ED6036"/>
    <w:rsid w:val="00ED6669"/>
    <w:rsid w:val="00ED6E14"/>
    <w:rsid w:val="00EE12BB"/>
    <w:rsid w:val="00EE3F51"/>
    <w:rsid w:val="00EE4970"/>
    <w:rsid w:val="00EE5458"/>
    <w:rsid w:val="00EE5460"/>
    <w:rsid w:val="00EE6566"/>
    <w:rsid w:val="00EE6A77"/>
    <w:rsid w:val="00EE7173"/>
    <w:rsid w:val="00EF28FE"/>
    <w:rsid w:val="00EF3A43"/>
    <w:rsid w:val="00EF4410"/>
    <w:rsid w:val="00F0742B"/>
    <w:rsid w:val="00F13FCF"/>
    <w:rsid w:val="00F1610D"/>
    <w:rsid w:val="00F17C49"/>
    <w:rsid w:val="00F220E3"/>
    <w:rsid w:val="00F22285"/>
    <w:rsid w:val="00F24E59"/>
    <w:rsid w:val="00F275AC"/>
    <w:rsid w:val="00F32C47"/>
    <w:rsid w:val="00F35AE0"/>
    <w:rsid w:val="00F427EA"/>
    <w:rsid w:val="00F42F77"/>
    <w:rsid w:val="00F60EA4"/>
    <w:rsid w:val="00F613D7"/>
    <w:rsid w:val="00F614E6"/>
    <w:rsid w:val="00F654CB"/>
    <w:rsid w:val="00F66243"/>
    <w:rsid w:val="00F70B34"/>
    <w:rsid w:val="00F716D3"/>
    <w:rsid w:val="00F738BA"/>
    <w:rsid w:val="00F77E3F"/>
    <w:rsid w:val="00F84470"/>
    <w:rsid w:val="00F91DCF"/>
    <w:rsid w:val="00F94C25"/>
    <w:rsid w:val="00FA018D"/>
    <w:rsid w:val="00FA6C81"/>
    <w:rsid w:val="00FB0D66"/>
    <w:rsid w:val="00FB14F2"/>
    <w:rsid w:val="00FB2024"/>
    <w:rsid w:val="00FB382B"/>
    <w:rsid w:val="00FB481A"/>
    <w:rsid w:val="00FB5146"/>
    <w:rsid w:val="00FB74E2"/>
    <w:rsid w:val="00FB794F"/>
    <w:rsid w:val="00FE2C1D"/>
    <w:rsid w:val="00FF2262"/>
    <w:rsid w:val="00FF29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36"/>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2"/>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uiPriority w:val="59"/>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C413-69AA-4E3F-8426-DF271147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4207</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Kumukakwashe Matambo</cp:lastModifiedBy>
  <cp:revision>5</cp:revision>
  <cp:lastPrinted>2022-04-29T06:46:00Z</cp:lastPrinted>
  <dcterms:created xsi:type="dcterms:W3CDTF">2022-04-03T06:00:00Z</dcterms:created>
  <dcterms:modified xsi:type="dcterms:W3CDTF">2022-04-29T06:46:00Z</dcterms:modified>
</cp:coreProperties>
</file>