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9736"/>
      </w:tblGrid>
      <w:tr w:rsidR="00701558" w14:paraId="4F6129B3" w14:textId="77777777" w:rsidTr="00701558">
        <w:tc>
          <w:tcPr>
            <w:tcW w:w="9736" w:type="dxa"/>
            <w:tcBorders>
              <w:top w:val="single" w:sz="4" w:space="0" w:color="auto"/>
              <w:left w:val="nil"/>
              <w:bottom w:val="single" w:sz="4" w:space="0" w:color="auto"/>
              <w:right w:val="nil"/>
            </w:tcBorders>
          </w:tcPr>
          <w:p w14:paraId="79DBC046" w14:textId="77777777" w:rsidR="00701558" w:rsidRPr="00F76271" w:rsidRDefault="00701558" w:rsidP="00701558">
            <w:pPr>
              <w:spacing w:before="120" w:after="120" w:line="276" w:lineRule="auto"/>
              <w:jc w:val="center"/>
              <w:rPr>
                <w:rFonts w:ascii="Arial" w:hAnsi="Arial" w:cs="Arial"/>
                <w:b/>
                <w:bCs/>
                <w:color w:val="CC0000"/>
                <w:lang w:val="en-GB"/>
              </w:rPr>
            </w:pPr>
            <w:r w:rsidRPr="00F76271">
              <w:rPr>
                <w:rFonts w:ascii="Arial" w:hAnsi="Arial" w:cs="Arial"/>
                <w:b/>
                <w:bCs/>
                <w:color w:val="CC0000"/>
                <w:lang w:val="en-GB"/>
              </w:rPr>
              <w:t>INDEPENDENT REGULATORY BOARD FOR AUDITORS</w:t>
            </w:r>
          </w:p>
          <w:p w14:paraId="23B41A49" w14:textId="7E6C3862" w:rsidR="00701558" w:rsidRDefault="00701558" w:rsidP="00701558">
            <w:pPr>
              <w:spacing w:line="276" w:lineRule="auto"/>
              <w:jc w:val="center"/>
              <w:rPr>
                <w:rFonts w:ascii="Arial" w:hAnsi="Arial" w:cs="Arial"/>
              </w:rPr>
            </w:pPr>
            <w:r w:rsidRPr="00F76271">
              <w:rPr>
                <w:rFonts w:ascii="Arial" w:hAnsi="Arial" w:cs="Arial"/>
                <w:b/>
                <w:bCs/>
                <w:color w:val="000000"/>
                <w:lang w:val="en-GB"/>
              </w:rPr>
              <w:t>COMMITTEE FOR AUDITING STANDARDS</w:t>
            </w:r>
          </w:p>
        </w:tc>
      </w:tr>
    </w:tbl>
    <w:p w14:paraId="0CA1BFCA" w14:textId="77777777" w:rsidR="00981C35" w:rsidRPr="00F76271" w:rsidRDefault="00981C35" w:rsidP="000D06F6">
      <w:pPr>
        <w:spacing w:line="276" w:lineRule="auto"/>
        <w:rPr>
          <w:rFonts w:ascii="Arial" w:hAnsi="Arial" w:cs="Arial"/>
        </w:rPr>
      </w:pPr>
    </w:p>
    <w:tbl>
      <w:tblPr>
        <w:tblStyle w:val="TableGrid"/>
        <w:tblW w:w="0" w:type="auto"/>
        <w:tblLook w:val="04A0" w:firstRow="1" w:lastRow="0" w:firstColumn="1" w:lastColumn="0" w:noHBand="0" w:noVBand="1"/>
      </w:tblPr>
      <w:tblGrid>
        <w:gridCol w:w="9736"/>
      </w:tblGrid>
      <w:tr w:rsidR="00701558" w:rsidRPr="002A2723" w14:paraId="464E32F8" w14:textId="77777777" w:rsidTr="00701558">
        <w:tc>
          <w:tcPr>
            <w:tcW w:w="9736" w:type="dxa"/>
            <w:tcBorders>
              <w:top w:val="nil"/>
              <w:left w:val="nil"/>
              <w:bottom w:val="nil"/>
              <w:right w:val="nil"/>
            </w:tcBorders>
          </w:tcPr>
          <w:p w14:paraId="547E2F65" w14:textId="77777777" w:rsidR="00701558" w:rsidRPr="002A2723" w:rsidRDefault="00701558" w:rsidP="00701558">
            <w:pPr>
              <w:spacing w:after="120" w:line="276" w:lineRule="auto"/>
              <w:jc w:val="center"/>
              <w:rPr>
                <w:rFonts w:ascii="Arial" w:hAnsi="Arial" w:cs="Arial"/>
                <w:b/>
                <w:bCs/>
                <w:color w:val="000000"/>
                <w:sz w:val="22"/>
                <w:szCs w:val="22"/>
              </w:rPr>
            </w:pPr>
            <w:r w:rsidRPr="002A2723">
              <w:rPr>
                <w:rFonts w:ascii="Arial" w:hAnsi="Arial" w:cs="Arial"/>
                <w:b/>
                <w:bCs/>
                <w:sz w:val="22"/>
                <w:szCs w:val="22"/>
              </w:rPr>
              <w:t xml:space="preserve">South African </w:t>
            </w:r>
            <w:r w:rsidRPr="002A2723">
              <w:rPr>
                <w:rFonts w:ascii="Arial" w:hAnsi="Arial" w:cs="Arial"/>
                <w:b/>
                <w:color w:val="000000"/>
                <w:sz w:val="22"/>
                <w:szCs w:val="22"/>
                <w:lang w:eastAsia="en-ZA"/>
              </w:rPr>
              <w:t xml:space="preserve">Assurance Engagements Practice Statement (SAAEPS) 1, </w:t>
            </w:r>
            <w:r w:rsidRPr="002A2723">
              <w:rPr>
                <w:rFonts w:ascii="Arial" w:hAnsi="Arial" w:cs="Arial"/>
                <w:b/>
                <w:i/>
                <w:color w:val="000000"/>
                <w:sz w:val="22"/>
                <w:szCs w:val="22"/>
                <w:lang w:eastAsia="en-ZA"/>
              </w:rPr>
              <w:t xml:space="preserve">Sustainability </w:t>
            </w:r>
            <w:r w:rsidRPr="002A2723">
              <w:rPr>
                <w:rFonts w:ascii="Arial" w:hAnsi="Arial" w:cs="Arial"/>
                <w:b/>
                <w:i/>
                <w:sz w:val="22"/>
                <w:szCs w:val="22"/>
              </w:rPr>
              <w:t>Assurance Engagements: Rational Purpose, Appropriateness of Underlying Subject Matter and Suitability of Criteria</w:t>
            </w:r>
          </w:p>
          <w:p w14:paraId="07ED19B9" w14:textId="77777777" w:rsidR="00701558" w:rsidRPr="002A2723" w:rsidRDefault="00701558" w:rsidP="00701558">
            <w:pPr>
              <w:spacing w:before="120" w:after="120" w:line="276" w:lineRule="auto"/>
              <w:jc w:val="center"/>
              <w:rPr>
                <w:rFonts w:ascii="Arial" w:hAnsi="Arial" w:cs="Arial"/>
                <w:sz w:val="22"/>
                <w:szCs w:val="22"/>
                <w:lang w:val="en-GB"/>
              </w:rPr>
            </w:pPr>
            <w:r w:rsidRPr="002A2723">
              <w:rPr>
                <w:rFonts w:ascii="Arial" w:hAnsi="Arial" w:cs="Arial"/>
                <w:sz w:val="22"/>
                <w:szCs w:val="22"/>
                <w:lang w:val="en-GB"/>
              </w:rPr>
              <w:t>Johannesburg / 5 September 2018</w:t>
            </w:r>
          </w:p>
          <w:p w14:paraId="2E00947E" w14:textId="77777777" w:rsidR="00701558" w:rsidRPr="002A2723" w:rsidRDefault="00701558" w:rsidP="00701558">
            <w:pPr>
              <w:spacing w:before="120" w:after="120" w:line="276" w:lineRule="auto"/>
              <w:jc w:val="center"/>
              <w:rPr>
                <w:rFonts w:ascii="Arial" w:hAnsi="Arial" w:cs="Arial"/>
                <w:sz w:val="22"/>
                <w:szCs w:val="22"/>
                <w:lang w:val="en-GB"/>
              </w:rPr>
            </w:pPr>
          </w:p>
          <w:p w14:paraId="674D67C8" w14:textId="31ECF3E3" w:rsidR="00701558" w:rsidRPr="002A2723" w:rsidRDefault="00701558" w:rsidP="00701558">
            <w:pPr>
              <w:spacing w:after="120" w:line="276" w:lineRule="auto"/>
              <w:jc w:val="both"/>
              <w:rPr>
                <w:rFonts w:ascii="Arial" w:hAnsi="Arial" w:cs="Arial"/>
                <w:sz w:val="22"/>
                <w:szCs w:val="22"/>
              </w:rPr>
            </w:pPr>
            <w:r w:rsidRPr="002A2723">
              <w:rPr>
                <w:rFonts w:ascii="Arial" w:hAnsi="Arial" w:cs="Arial"/>
                <w:sz w:val="22"/>
                <w:szCs w:val="22"/>
              </w:rPr>
              <w:t>The Independent Regulatory Board for Auditors</w:t>
            </w:r>
            <w:r w:rsidR="002A2723">
              <w:rPr>
                <w:rFonts w:ascii="Arial" w:hAnsi="Arial" w:cs="Arial"/>
                <w:sz w:val="22"/>
                <w:szCs w:val="22"/>
              </w:rPr>
              <w:t>'</w:t>
            </w:r>
            <w:r w:rsidRPr="002A2723">
              <w:rPr>
                <w:rFonts w:ascii="Arial" w:hAnsi="Arial" w:cs="Arial"/>
                <w:sz w:val="22"/>
                <w:szCs w:val="22"/>
              </w:rPr>
              <w:t xml:space="preserve"> (IRBA) Committee for Auditing Standards (CFAS) approved the issuing of the </w:t>
            </w:r>
            <w:r w:rsidRPr="002A2723">
              <w:rPr>
                <w:rFonts w:ascii="Arial" w:hAnsi="Arial" w:cs="Arial"/>
                <w:bCs/>
                <w:sz w:val="22"/>
                <w:szCs w:val="22"/>
              </w:rPr>
              <w:t xml:space="preserve">South African </w:t>
            </w:r>
            <w:r w:rsidRPr="002A2723">
              <w:rPr>
                <w:rFonts w:ascii="Arial" w:hAnsi="Arial" w:cs="Arial"/>
                <w:color w:val="000000"/>
                <w:sz w:val="22"/>
                <w:szCs w:val="22"/>
                <w:lang w:eastAsia="en-ZA"/>
              </w:rPr>
              <w:t xml:space="preserve">Assurance Engagements Practice Statement (SAAEPS) 1, </w:t>
            </w:r>
            <w:r w:rsidRPr="002A2723">
              <w:rPr>
                <w:rFonts w:ascii="Arial" w:hAnsi="Arial" w:cs="Arial"/>
                <w:i/>
                <w:color w:val="000000"/>
                <w:sz w:val="22"/>
                <w:szCs w:val="22"/>
                <w:lang w:eastAsia="en-ZA"/>
              </w:rPr>
              <w:t xml:space="preserve">Sustainability </w:t>
            </w:r>
            <w:r w:rsidRPr="002A2723">
              <w:rPr>
                <w:rFonts w:ascii="Arial" w:hAnsi="Arial" w:cs="Arial"/>
                <w:i/>
                <w:sz w:val="22"/>
                <w:szCs w:val="22"/>
              </w:rPr>
              <w:t xml:space="preserve">Assurance Engagements: Rational Purpose, Appropriateness of Underlying Subject Matter and Suitability of Criteria </w:t>
            </w:r>
            <w:r w:rsidRPr="002A2723">
              <w:rPr>
                <w:rFonts w:ascii="Arial" w:hAnsi="Arial" w:cs="Arial"/>
                <w:sz w:val="22"/>
                <w:szCs w:val="22"/>
              </w:rPr>
              <w:t>(SAAEPS 1), in August 2018 for use by practitioners.</w:t>
            </w:r>
          </w:p>
          <w:p w14:paraId="1F9364D6" w14:textId="77777777" w:rsidR="00701558" w:rsidRPr="002A2723" w:rsidRDefault="00701558" w:rsidP="00701558">
            <w:pPr>
              <w:pStyle w:val="Default"/>
              <w:spacing w:after="120" w:line="276" w:lineRule="auto"/>
              <w:jc w:val="both"/>
              <w:rPr>
                <w:rFonts w:ascii="Arial" w:eastAsia="Times New Roman" w:hAnsi="Arial" w:cs="Arial"/>
                <w:sz w:val="22"/>
                <w:szCs w:val="22"/>
                <w:lang w:eastAsia="en-ZA"/>
              </w:rPr>
            </w:pPr>
            <w:r w:rsidRPr="002A2723">
              <w:rPr>
                <w:rFonts w:ascii="Arial" w:hAnsi="Arial" w:cs="Arial"/>
                <w:sz w:val="22"/>
                <w:szCs w:val="22"/>
              </w:rPr>
              <w:t xml:space="preserve">SAAEPS 1 is aimed at providing practical assistance to practitioners on certain preconditions that need to be present when requested to accept a sustainability assurance engagement in accordance with the requirements of </w:t>
            </w:r>
            <w:r w:rsidRPr="002A2723">
              <w:rPr>
                <w:rFonts w:ascii="Arial" w:eastAsia="Times New Roman" w:hAnsi="Arial" w:cs="Arial"/>
                <w:sz w:val="22"/>
                <w:szCs w:val="22"/>
                <w:lang w:eastAsia="en-ZA"/>
              </w:rPr>
              <w:t xml:space="preserve">the International Standards on Assurance Engagements (ISAE) 3000 (Revised), </w:t>
            </w:r>
            <w:r w:rsidRPr="002A2723">
              <w:rPr>
                <w:rFonts w:ascii="Arial" w:eastAsia="Times New Roman" w:hAnsi="Arial" w:cs="Arial"/>
                <w:i/>
                <w:sz w:val="22"/>
                <w:szCs w:val="22"/>
                <w:lang w:eastAsia="en-ZA"/>
              </w:rPr>
              <w:t xml:space="preserve">Assurance Engagements Other than Audits or Reviews of Historical Financial Information. </w:t>
            </w:r>
            <w:r w:rsidRPr="002A2723">
              <w:rPr>
                <w:rFonts w:ascii="Arial" w:eastAsia="Times New Roman" w:hAnsi="Arial" w:cs="Arial"/>
                <w:sz w:val="22"/>
                <w:szCs w:val="22"/>
                <w:lang w:eastAsia="en-ZA"/>
              </w:rPr>
              <w:t>The characteristics dealt with in SAAEPS 1 are whether the sustainability assurance engagement exhibits:</w:t>
            </w:r>
          </w:p>
          <w:p w14:paraId="74901EE9" w14:textId="31858DEF" w:rsidR="00701558" w:rsidRPr="002A2723" w:rsidRDefault="00701558" w:rsidP="00701558">
            <w:pPr>
              <w:pStyle w:val="Default"/>
              <w:numPr>
                <w:ilvl w:val="0"/>
                <w:numId w:val="2"/>
              </w:numPr>
              <w:spacing w:after="120" w:line="276" w:lineRule="auto"/>
              <w:jc w:val="both"/>
              <w:rPr>
                <w:rFonts w:ascii="Arial" w:eastAsia="Times New Roman" w:hAnsi="Arial" w:cs="Arial"/>
                <w:sz w:val="22"/>
                <w:szCs w:val="22"/>
                <w:lang w:eastAsia="en-ZA"/>
              </w:rPr>
            </w:pPr>
            <w:r w:rsidRPr="002A2723">
              <w:rPr>
                <w:rFonts w:ascii="Arial" w:hAnsi="Arial" w:cs="Arial"/>
                <w:sz w:val="22"/>
                <w:szCs w:val="22"/>
              </w:rPr>
              <w:t>A rational purpose;</w:t>
            </w:r>
          </w:p>
          <w:p w14:paraId="57FEC130" w14:textId="5E6477B6" w:rsidR="00701558" w:rsidRPr="002A2723" w:rsidRDefault="00701558" w:rsidP="00701558">
            <w:pPr>
              <w:pStyle w:val="Default"/>
              <w:numPr>
                <w:ilvl w:val="0"/>
                <w:numId w:val="2"/>
              </w:numPr>
              <w:spacing w:after="120" w:line="276" w:lineRule="auto"/>
              <w:jc w:val="both"/>
              <w:rPr>
                <w:rFonts w:ascii="Arial" w:eastAsia="Times New Roman" w:hAnsi="Arial" w:cs="Arial"/>
                <w:sz w:val="22"/>
                <w:szCs w:val="22"/>
                <w:lang w:eastAsia="en-ZA"/>
              </w:rPr>
            </w:pPr>
            <w:r w:rsidRPr="002A2723">
              <w:rPr>
                <w:rFonts w:ascii="Arial" w:hAnsi="Arial" w:cs="Arial"/>
                <w:sz w:val="22"/>
                <w:szCs w:val="22"/>
              </w:rPr>
              <w:t>The underlying subject matter is appropriate;</w:t>
            </w:r>
            <w:r w:rsidR="002A2723">
              <w:rPr>
                <w:rFonts w:ascii="Arial" w:hAnsi="Arial" w:cs="Arial"/>
                <w:sz w:val="22"/>
                <w:szCs w:val="22"/>
              </w:rPr>
              <w:t xml:space="preserve"> and</w:t>
            </w:r>
          </w:p>
          <w:p w14:paraId="634621AE" w14:textId="008B2A20" w:rsidR="00701558" w:rsidRPr="002A2723" w:rsidRDefault="00701558" w:rsidP="00701558">
            <w:pPr>
              <w:pStyle w:val="Default"/>
              <w:numPr>
                <w:ilvl w:val="0"/>
                <w:numId w:val="2"/>
              </w:numPr>
              <w:spacing w:after="120" w:line="276" w:lineRule="auto"/>
              <w:jc w:val="both"/>
              <w:rPr>
                <w:rFonts w:ascii="Arial" w:eastAsia="Times New Roman" w:hAnsi="Arial" w:cs="Arial"/>
                <w:sz w:val="22"/>
                <w:szCs w:val="22"/>
                <w:lang w:eastAsia="en-ZA"/>
              </w:rPr>
            </w:pPr>
            <w:r w:rsidRPr="002A2723">
              <w:rPr>
                <w:rFonts w:ascii="Arial" w:hAnsi="Arial" w:cs="Arial"/>
                <w:sz w:val="22"/>
                <w:szCs w:val="22"/>
              </w:rPr>
              <w:t>The criteria that the practitioner expects to be applied in the preparation of the subject matter information are suitable for the engagement circumstances</w:t>
            </w:r>
            <w:r w:rsidR="002A2723">
              <w:rPr>
                <w:rFonts w:ascii="Arial" w:hAnsi="Arial" w:cs="Arial"/>
                <w:sz w:val="22"/>
                <w:szCs w:val="22"/>
              </w:rPr>
              <w:t>.</w:t>
            </w:r>
          </w:p>
          <w:p w14:paraId="148708D9" w14:textId="77777777" w:rsidR="00701558" w:rsidRPr="002A2723" w:rsidRDefault="00701558" w:rsidP="00701558">
            <w:pPr>
              <w:pStyle w:val="Default"/>
              <w:spacing w:after="120" w:line="276" w:lineRule="auto"/>
              <w:jc w:val="both"/>
              <w:rPr>
                <w:rFonts w:ascii="Arial" w:eastAsia="Times New Roman" w:hAnsi="Arial" w:cs="Arial"/>
                <w:sz w:val="22"/>
                <w:szCs w:val="22"/>
                <w:lang w:eastAsia="en-ZA"/>
              </w:rPr>
            </w:pPr>
            <w:r w:rsidRPr="002A2723">
              <w:rPr>
                <w:rFonts w:ascii="Arial" w:hAnsi="Arial" w:cs="Arial"/>
                <w:sz w:val="22"/>
                <w:szCs w:val="22"/>
              </w:rPr>
              <w:t xml:space="preserve">The preparation of appropriate engagement documentation is </w:t>
            </w:r>
            <w:proofErr w:type="spellStart"/>
            <w:r w:rsidRPr="002A2723">
              <w:rPr>
                <w:rFonts w:ascii="Arial" w:hAnsi="Arial" w:cs="Arial"/>
                <w:sz w:val="22"/>
                <w:szCs w:val="22"/>
              </w:rPr>
              <w:t>emphasised</w:t>
            </w:r>
            <w:proofErr w:type="spellEnd"/>
            <w:r w:rsidRPr="002A2723">
              <w:rPr>
                <w:rFonts w:ascii="Arial" w:hAnsi="Arial" w:cs="Arial"/>
                <w:sz w:val="22"/>
                <w:szCs w:val="22"/>
              </w:rPr>
              <w:t>.</w:t>
            </w:r>
          </w:p>
          <w:p w14:paraId="1B6B313E" w14:textId="77777777" w:rsidR="00701558" w:rsidRPr="002A2723" w:rsidRDefault="00701558" w:rsidP="00701558">
            <w:pPr>
              <w:pStyle w:val="Default"/>
              <w:spacing w:after="240" w:line="276" w:lineRule="auto"/>
              <w:jc w:val="both"/>
              <w:rPr>
                <w:rFonts w:ascii="Arial" w:hAnsi="Arial" w:cs="Arial"/>
                <w:sz w:val="22"/>
                <w:szCs w:val="22"/>
              </w:rPr>
            </w:pPr>
            <w:r w:rsidRPr="002A2723">
              <w:rPr>
                <w:rFonts w:ascii="Arial" w:hAnsi="Arial" w:cs="Arial"/>
                <w:sz w:val="22"/>
                <w:szCs w:val="22"/>
              </w:rPr>
              <w:t>The guidance is supplemented by a series of questions that the practitioner may ask. After receiving feedback from the reporting entity, the practitioner may consider the responses collectively to determine whether the sustainability assurance engagement exhibits the characteristics set out in the objective paragraph of SAAEPS 1.</w:t>
            </w:r>
          </w:p>
          <w:p w14:paraId="7A4CEB24" w14:textId="77777777" w:rsidR="00701558" w:rsidRPr="002A2723" w:rsidRDefault="00701558" w:rsidP="00701558">
            <w:pPr>
              <w:spacing w:after="120" w:line="276" w:lineRule="auto"/>
              <w:jc w:val="both"/>
              <w:rPr>
                <w:rFonts w:ascii="Arial" w:hAnsi="Arial" w:cs="Arial"/>
                <w:b/>
                <w:color w:val="000000"/>
                <w:sz w:val="22"/>
                <w:szCs w:val="22"/>
                <w:lang w:eastAsia="en-ZA"/>
              </w:rPr>
            </w:pPr>
            <w:r w:rsidRPr="002A2723">
              <w:rPr>
                <w:rFonts w:ascii="Arial" w:hAnsi="Arial" w:cs="Arial"/>
                <w:b/>
                <w:color w:val="000000"/>
                <w:sz w:val="22"/>
                <w:szCs w:val="22"/>
                <w:lang w:eastAsia="en-ZA"/>
              </w:rPr>
              <w:t>Effective date</w:t>
            </w:r>
          </w:p>
          <w:p w14:paraId="73E5B930" w14:textId="0F654C08" w:rsidR="00701558" w:rsidRPr="002A2723" w:rsidRDefault="00701558" w:rsidP="00701558">
            <w:pPr>
              <w:spacing w:after="120" w:line="276" w:lineRule="auto"/>
              <w:jc w:val="both"/>
              <w:rPr>
                <w:rFonts w:ascii="Arial" w:hAnsi="Arial" w:cs="Arial"/>
                <w:sz w:val="22"/>
                <w:szCs w:val="22"/>
              </w:rPr>
            </w:pPr>
            <w:r w:rsidRPr="002A2723">
              <w:rPr>
                <w:rFonts w:ascii="Arial" w:hAnsi="Arial" w:cs="Arial"/>
                <w:sz w:val="22"/>
                <w:szCs w:val="22"/>
              </w:rPr>
              <w:t xml:space="preserve">SAAEPS 1 is </w:t>
            </w:r>
            <w:r w:rsidRPr="002A2723">
              <w:rPr>
                <w:rFonts w:ascii="Arial" w:hAnsi="Arial" w:cs="Arial"/>
                <w:color w:val="000000"/>
                <w:sz w:val="22"/>
                <w:szCs w:val="22"/>
                <w:lang w:eastAsia="en-ZA"/>
              </w:rPr>
              <w:t xml:space="preserve">effective for the </w:t>
            </w:r>
            <w:r w:rsidRPr="002A2723">
              <w:rPr>
                <w:rFonts w:ascii="Arial" w:hAnsi="Arial" w:cs="Arial"/>
                <w:i/>
                <w:color w:val="000000"/>
                <w:sz w:val="22"/>
                <w:szCs w:val="22"/>
                <w:lang w:eastAsia="en-ZA"/>
              </w:rPr>
              <w:t>Acceptance and Continuance</w:t>
            </w:r>
            <w:r w:rsidR="002A2723">
              <w:rPr>
                <w:rFonts w:ascii="Arial" w:hAnsi="Arial" w:cs="Arial"/>
                <w:i/>
                <w:color w:val="000000"/>
                <w:sz w:val="22"/>
                <w:szCs w:val="22"/>
                <w:lang w:eastAsia="en-ZA"/>
              </w:rPr>
              <w:t xml:space="preserve"> - </w:t>
            </w:r>
            <w:bookmarkStart w:id="0" w:name="_GoBack"/>
            <w:bookmarkEnd w:id="0"/>
            <w:r w:rsidRPr="002A2723">
              <w:rPr>
                <w:rFonts w:ascii="Arial" w:hAnsi="Arial" w:cs="Arial"/>
                <w:i/>
                <w:color w:val="000000"/>
                <w:sz w:val="22"/>
                <w:szCs w:val="22"/>
                <w:lang w:eastAsia="en-ZA"/>
              </w:rPr>
              <w:t>Preconditions for the Assurance Engagement</w:t>
            </w:r>
            <w:r w:rsidRPr="002A2723">
              <w:rPr>
                <w:rFonts w:ascii="Arial" w:hAnsi="Arial" w:cs="Arial"/>
                <w:color w:val="000000"/>
                <w:sz w:val="22"/>
                <w:szCs w:val="22"/>
                <w:lang w:eastAsia="en-ZA"/>
              </w:rPr>
              <w:t xml:space="preserve"> phase of the sustainability assurance engagement for reporting periods beginning on or after 15 December 2020</w:t>
            </w:r>
            <w:r w:rsidR="002A2723">
              <w:rPr>
                <w:rFonts w:ascii="Arial" w:hAnsi="Arial" w:cs="Arial"/>
                <w:sz w:val="22"/>
                <w:szCs w:val="22"/>
              </w:rPr>
              <w:t>. Early adoption is permitted.</w:t>
            </w:r>
          </w:p>
          <w:p w14:paraId="4EFE630B" w14:textId="77777777" w:rsidR="00701558" w:rsidRPr="002A2723" w:rsidRDefault="00701558" w:rsidP="00701558">
            <w:pPr>
              <w:spacing w:after="120" w:line="276" w:lineRule="auto"/>
              <w:jc w:val="both"/>
              <w:rPr>
                <w:rFonts w:ascii="Arial" w:hAnsi="Arial" w:cs="Arial"/>
                <w:sz w:val="22"/>
                <w:szCs w:val="22"/>
                <w:lang w:val="en-GB"/>
              </w:rPr>
            </w:pPr>
            <w:r w:rsidRPr="002A2723">
              <w:rPr>
                <w:rFonts w:ascii="Arial" w:hAnsi="Arial" w:cs="Arial"/>
                <w:sz w:val="22"/>
                <w:szCs w:val="22"/>
              </w:rPr>
              <w:t xml:space="preserve">The effective date of SAAEPS 1 has been delayed by two years to allow time for practitioners to prepare for and implement the guidance, receive training and provide feedback to the IRBA on any implementation lessons. The delayed effective date also allows time for preparers of sustainability reports to receive training </w:t>
            </w:r>
            <w:r w:rsidRPr="002A2723">
              <w:rPr>
                <w:rFonts w:ascii="Arial" w:hAnsi="Arial" w:cs="Arial"/>
                <w:sz w:val="22"/>
                <w:szCs w:val="22"/>
                <w:lang w:val="en-GB"/>
              </w:rPr>
              <w:t>on the content of SAAEPS 1, as it relates to them.</w:t>
            </w:r>
          </w:p>
          <w:p w14:paraId="102A7989" w14:textId="77777777" w:rsidR="00701558" w:rsidRPr="002A2723" w:rsidRDefault="00701558" w:rsidP="00701558">
            <w:pPr>
              <w:spacing w:after="120" w:line="276" w:lineRule="auto"/>
              <w:jc w:val="both"/>
              <w:rPr>
                <w:rFonts w:ascii="Arial" w:hAnsi="Arial" w:cs="Arial"/>
                <w:sz w:val="22"/>
                <w:szCs w:val="22"/>
                <w:lang w:val="en-GB"/>
              </w:rPr>
            </w:pPr>
            <w:r w:rsidRPr="002A2723">
              <w:rPr>
                <w:rFonts w:ascii="Arial" w:hAnsi="Arial" w:cs="Arial"/>
                <w:sz w:val="22"/>
                <w:szCs w:val="22"/>
                <w:lang w:val="en-GB"/>
              </w:rPr>
              <w:t xml:space="preserve">Should you have any comments on implementing SAAEPS 1, please contact </w:t>
            </w:r>
            <w:r w:rsidRPr="002A2723">
              <w:rPr>
                <w:rFonts w:ascii="Arial" w:hAnsi="Arial" w:cs="Arial"/>
                <w:sz w:val="22"/>
                <w:szCs w:val="22"/>
              </w:rPr>
              <w:t xml:space="preserve">the Standards Department by email at </w:t>
            </w:r>
            <w:hyperlink r:id="rId5" w:history="1">
              <w:r w:rsidRPr="002A2723">
                <w:rPr>
                  <w:rFonts w:ascii="Arial" w:hAnsi="Arial" w:cs="Arial"/>
                  <w:color w:val="3300CC"/>
                  <w:sz w:val="22"/>
                  <w:szCs w:val="22"/>
                  <w:u w:val="single"/>
                </w:rPr>
                <w:t>standards@irba.co.za</w:t>
              </w:r>
            </w:hyperlink>
            <w:r w:rsidRPr="002A2723">
              <w:rPr>
                <w:rFonts w:ascii="Arial" w:hAnsi="Arial" w:cs="Arial"/>
                <w:sz w:val="22"/>
                <w:szCs w:val="22"/>
              </w:rPr>
              <w:t>. Please provide your feedback by 15 December 2019.</w:t>
            </w:r>
          </w:p>
          <w:p w14:paraId="48853CC2" w14:textId="46DB35EE" w:rsidR="00701558" w:rsidRPr="002A2723" w:rsidRDefault="00701558" w:rsidP="00701558">
            <w:pPr>
              <w:pStyle w:val="NormalWeb"/>
              <w:keepNext/>
              <w:shd w:val="clear" w:color="auto" w:fill="FFFFFF"/>
              <w:spacing w:before="0" w:beforeAutospacing="0" w:after="120" w:afterAutospacing="0" w:line="276" w:lineRule="auto"/>
              <w:ind w:left="60"/>
              <w:jc w:val="both"/>
              <w:textAlignment w:val="top"/>
              <w:rPr>
                <w:rFonts w:ascii="Arial" w:hAnsi="Arial" w:cs="Arial"/>
                <w:sz w:val="22"/>
                <w:szCs w:val="22"/>
              </w:rPr>
            </w:pPr>
            <w:r w:rsidRPr="002A2723">
              <w:rPr>
                <w:rFonts w:ascii="Arial" w:hAnsi="Arial" w:cs="Arial"/>
                <w:sz w:val="22"/>
                <w:szCs w:val="22"/>
              </w:rPr>
              <w:lastRenderedPageBreak/>
              <w:t xml:space="preserve">SAAEPS 1 is available in both PDF and Word formats and may be downloaded from the IRBA website at </w:t>
            </w:r>
            <w:hyperlink r:id="rId6" w:history="1">
              <w:r w:rsidRPr="002A2723">
                <w:rPr>
                  <w:rStyle w:val="Hyperlink"/>
                  <w:rFonts w:ascii="Arial" w:hAnsi="Arial" w:cs="Arial"/>
                  <w:sz w:val="22"/>
                  <w:szCs w:val="22"/>
                </w:rPr>
                <w:t>www.irba.co.za</w:t>
              </w:r>
            </w:hyperlink>
            <w:r w:rsidRPr="002A2723">
              <w:rPr>
                <w:rFonts w:ascii="Arial" w:hAnsi="Arial" w:cs="Arial"/>
                <w:sz w:val="22"/>
                <w:szCs w:val="22"/>
              </w:rPr>
              <w:t xml:space="preserve">. Should you have any further queries, please do not hesitate to contact the Standards Department by email at </w:t>
            </w:r>
            <w:hyperlink r:id="rId7" w:history="1">
              <w:r w:rsidRPr="002A2723">
                <w:rPr>
                  <w:rFonts w:ascii="Arial" w:hAnsi="Arial" w:cs="Arial"/>
                  <w:color w:val="3300CC"/>
                  <w:sz w:val="22"/>
                  <w:szCs w:val="22"/>
                  <w:u w:val="single"/>
                </w:rPr>
                <w:t>standards@irba.co.za</w:t>
              </w:r>
            </w:hyperlink>
            <w:r w:rsidRPr="002A2723">
              <w:rPr>
                <w:rFonts w:ascii="Arial" w:hAnsi="Arial" w:cs="Arial"/>
                <w:sz w:val="22"/>
                <w:szCs w:val="22"/>
              </w:rPr>
              <w:t>.</w:t>
            </w:r>
          </w:p>
          <w:p w14:paraId="3A78BCF6" w14:textId="77777777" w:rsidR="00701558" w:rsidRPr="002A2723" w:rsidRDefault="00701558" w:rsidP="00701558">
            <w:pPr>
              <w:pStyle w:val="NormalWeb"/>
              <w:spacing w:before="0" w:beforeAutospacing="0" w:after="120" w:afterAutospacing="0" w:line="276" w:lineRule="auto"/>
              <w:jc w:val="both"/>
              <w:rPr>
                <w:rFonts w:ascii="Arial" w:hAnsi="Arial" w:cs="Arial"/>
                <w:sz w:val="22"/>
                <w:szCs w:val="22"/>
              </w:rPr>
            </w:pPr>
          </w:p>
          <w:p w14:paraId="44F60514" w14:textId="77777777" w:rsidR="00701558" w:rsidRPr="002A2723" w:rsidRDefault="00701558" w:rsidP="00701558">
            <w:pPr>
              <w:spacing w:after="120" w:line="276" w:lineRule="auto"/>
              <w:jc w:val="both"/>
              <w:textAlignment w:val="top"/>
              <w:rPr>
                <w:rFonts w:ascii="Arial" w:hAnsi="Arial" w:cs="Arial"/>
                <w:b/>
                <w:sz w:val="22"/>
                <w:szCs w:val="22"/>
                <w:lang w:val="en-GB"/>
              </w:rPr>
            </w:pPr>
          </w:p>
          <w:p w14:paraId="2D2DB6B2" w14:textId="77777777" w:rsidR="00701558" w:rsidRPr="002A2723" w:rsidRDefault="00701558" w:rsidP="00701558">
            <w:pPr>
              <w:spacing w:after="120" w:line="276" w:lineRule="auto"/>
              <w:jc w:val="both"/>
              <w:textAlignment w:val="top"/>
              <w:rPr>
                <w:rFonts w:ascii="Arial" w:hAnsi="Arial" w:cs="Arial"/>
                <w:b/>
                <w:sz w:val="22"/>
                <w:szCs w:val="22"/>
                <w:lang w:val="en-GB"/>
              </w:rPr>
            </w:pPr>
          </w:p>
          <w:p w14:paraId="4DC689C1" w14:textId="77777777" w:rsidR="00701558" w:rsidRPr="002A2723" w:rsidRDefault="00701558" w:rsidP="00701558">
            <w:pPr>
              <w:spacing w:after="120" w:line="276" w:lineRule="auto"/>
              <w:jc w:val="both"/>
              <w:textAlignment w:val="top"/>
              <w:rPr>
                <w:rFonts w:ascii="Arial" w:hAnsi="Arial" w:cs="Arial"/>
                <w:b/>
                <w:sz w:val="22"/>
                <w:szCs w:val="22"/>
                <w:lang w:val="en-GB"/>
              </w:rPr>
            </w:pPr>
            <w:r w:rsidRPr="002A2723">
              <w:rPr>
                <w:rFonts w:ascii="Arial" w:hAnsi="Arial" w:cs="Arial"/>
                <w:b/>
                <w:sz w:val="22"/>
                <w:szCs w:val="22"/>
                <w:lang w:val="en-GB"/>
              </w:rPr>
              <w:t>Imran Vanker</w:t>
            </w:r>
          </w:p>
          <w:p w14:paraId="549F88B4" w14:textId="77777777" w:rsidR="00701558" w:rsidRPr="002A2723" w:rsidRDefault="00701558" w:rsidP="00701558">
            <w:pPr>
              <w:spacing w:after="120" w:line="276" w:lineRule="auto"/>
              <w:jc w:val="both"/>
              <w:rPr>
                <w:rFonts w:ascii="Arial" w:hAnsi="Arial" w:cs="Arial"/>
                <w:b/>
                <w:sz w:val="22"/>
                <w:szCs w:val="22"/>
                <w:lang w:val="en-GB"/>
              </w:rPr>
            </w:pPr>
            <w:r w:rsidRPr="002A2723">
              <w:rPr>
                <w:rFonts w:ascii="Arial" w:hAnsi="Arial" w:cs="Arial"/>
                <w:b/>
                <w:sz w:val="22"/>
                <w:szCs w:val="22"/>
                <w:lang w:val="en-GB"/>
              </w:rPr>
              <w:t>Director: Standards</w:t>
            </w:r>
          </w:p>
          <w:p w14:paraId="147A61BC" w14:textId="77777777" w:rsidR="00701558" w:rsidRPr="002A2723" w:rsidRDefault="00701558" w:rsidP="000D06F6">
            <w:pPr>
              <w:spacing w:line="276" w:lineRule="auto"/>
              <w:rPr>
                <w:rFonts w:ascii="Arial" w:hAnsi="Arial" w:cs="Arial"/>
              </w:rPr>
            </w:pPr>
          </w:p>
          <w:p w14:paraId="0A40178F" w14:textId="77777777" w:rsidR="00701558" w:rsidRPr="002A2723" w:rsidRDefault="00701558" w:rsidP="00701558">
            <w:pPr>
              <w:spacing w:after="120" w:line="276" w:lineRule="auto"/>
              <w:jc w:val="both"/>
              <w:rPr>
                <w:rFonts w:ascii="Arial" w:hAnsi="Arial" w:cs="Arial"/>
                <w:b/>
                <w:i/>
                <w:noProof/>
                <w:sz w:val="20"/>
                <w:szCs w:val="20"/>
                <w:lang w:val="en-GB"/>
              </w:rPr>
            </w:pPr>
            <w:r w:rsidRPr="002A2723">
              <w:rPr>
                <w:rFonts w:ascii="Arial" w:hAnsi="Arial" w:cs="Arial"/>
                <w:b/>
                <w:i/>
                <w:noProof/>
                <w:sz w:val="20"/>
                <w:szCs w:val="20"/>
                <w:lang w:val="en-GB"/>
              </w:rPr>
              <w:t>About the IRBA</w:t>
            </w:r>
          </w:p>
          <w:p w14:paraId="57D476BB" w14:textId="77777777" w:rsidR="00701558" w:rsidRPr="002A2723" w:rsidRDefault="00701558" w:rsidP="00701558">
            <w:pPr>
              <w:spacing w:after="120" w:line="276" w:lineRule="auto"/>
              <w:jc w:val="both"/>
              <w:rPr>
                <w:rFonts w:ascii="Arial" w:hAnsi="Arial" w:cs="Arial"/>
                <w:sz w:val="20"/>
                <w:szCs w:val="20"/>
              </w:rPr>
            </w:pPr>
            <w:r w:rsidRPr="002A2723">
              <w:rPr>
                <w:rFonts w:ascii="Arial" w:hAnsi="Arial" w:cs="Arial"/>
                <w:i/>
                <w:iCs/>
                <w:sz w:val="20"/>
                <w:szCs w:val="20"/>
                <w:lang w:val="en-GB"/>
              </w:rPr>
              <w:t>The objective of the IRBA is to endeavour to protect the financial interests of the South African public and international investors in South Africa through the effective and appropriate regulation of audits conducted by registered auditors, in accordance with internationally recognised standards and processes.</w:t>
            </w:r>
          </w:p>
          <w:p w14:paraId="61F9C6D8" w14:textId="5C3D95D0" w:rsidR="00701558" w:rsidRPr="002A2723" w:rsidRDefault="00701558" w:rsidP="00701558">
            <w:pPr>
              <w:spacing w:line="276" w:lineRule="auto"/>
              <w:jc w:val="both"/>
              <w:rPr>
                <w:rFonts w:ascii="Arial" w:hAnsi="Arial" w:cs="Arial"/>
              </w:rPr>
            </w:pPr>
            <w:r w:rsidRPr="002A2723">
              <w:rPr>
                <w:rFonts w:ascii="Arial" w:hAnsi="Arial" w:cs="Arial"/>
                <w:i/>
                <w:iCs/>
                <w:sz w:val="20"/>
                <w:szCs w:val="20"/>
                <w:lang w:val="en-GB"/>
              </w:rPr>
              <w:t>The statutory responsibilities of the CFAS are to assist the IRBA to develop, maintain, adopt, issue or prescribe auditing pronouncements; to consider relevant international changes by monitoring developments by other auditing standard-setting bodies and sharing information where requested; and to promote and ensure the relevance of auditing pronouncements.</w:t>
            </w:r>
          </w:p>
        </w:tc>
      </w:tr>
    </w:tbl>
    <w:p w14:paraId="5088AB09" w14:textId="573DCEA4" w:rsidR="001F3005" w:rsidRPr="002A2723" w:rsidRDefault="001F3005" w:rsidP="00701558">
      <w:pPr>
        <w:spacing w:after="120" w:line="276" w:lineRule="auto"/>
        <w:jc w:val="both"/>
        <w:rPr>
          <w:rFonts w:ascii="Arial" w:hAnsi="Arial" w:cs="Arial"/>
          <w:sz w:val="22"/>
          <w:szCs w:val="22"/>
        </w:rPr>
      </w:pPr>
    </w:p>
    <w:sectPr w:rsidR="001F3005" w:rsidRPr="002A2723" w:rsidSect="00D9728A">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34182"/>
    <w:multiLevelType w:val="hybridMultilevel"/>
    <w:tmpl w:val="421CA156"/>
    <w:lvl w:ilvl="0" w:tplc="1C090001">
      <w:start w:val="1"/>
      <w:numFmt w:val="bullet"/>
      <w:lvlText w:val=""/>
      <w:lvlJc w:val="left"/>
      <w:pPr>
        <w:ind w:left="420" w:hanging="360"/>
      </w:pPr>
      <w:rPr>
        <w:rFonts w:ascii="Symbol" w:hAnsi="Symbol" w:hint="default"/>
      </w:rPr>
    </w:lvl>
    <w:lvl w:ilvl="1" w:tplc="1C090003" w:tentative="1">
      <w:start w:val="1"/>
      <w:numFmt w:val="bullet"/>
      <w:lvlText w:val="o"/>
      <w:lvlJc w:val="left"/>
      <w:pPr>
        <w:ind w:left="1140" w:hanging="360"/>
      </w:pPr>
      <w:rPr>
        <w:rFonts w:ascii="Courier New" w:hAnsi="Courier New" w:cs="Courier New" w:hint="default"/>
      </w:rPr>
    </w:lvl>
    <w:lvl w:ilvl="2" w:tplc="1C090005" w:tentative="1">
      <w:start w:val="1"/>
      <w:numFmt w:val="bullet"/>
      <w:lvlText w:val=""/>
      <w:lvlJc w:val="left"/>
      <w:pPr>
        <w:ind w:left="1860" w:hanging="360"/>
      </w:pPr>
      <w:rPr>
        <w:rFonts w:ascii="Wingdings" w:hAnsi="Wingdings" w:hint="default"/>
      </w:rPr>
    </w:lvl>
    <w:lvl w:ilvl="3" w:tplc="1C090001" w:tentative="1">
      <w:start w:val="1"/>
      <w:numFmt w:val="bullet"/>
      <w:lvlText w:val=""/>
      <w:lvlJc w:val="left"/>
      <w:pPr>
        <w:ind w:left="2580" w:hanging="360"/>
      </w:pPr>
      <w:rPr>
        <w:rFonts w:ascii="Symbol" w:hAnsi="Symbol" w:hint="default"/>
      </w:rPr>
    </w:lvl>
    <w:lvl w:ilvl="4" w:tplc="1C090003" w:tentative="1">
      <w:start w:val="1"/>
      <w:numFmt w:val="bullet"/>
      <w:lvlText w:val="o"/>
      <w:lvlJc w:val="left"/>
      <w:pPr>
        <w:ind w:left="3300" w:hanging="360"/>
      </w:pPr>
      <w:rPr>
        <w:rFonts w:ascii="Courier New" w:hAnsi="Courier New" w:cs="Courier New" w:hint="default"/>
      </w:rPr>
    </w:lvl>
    <w:lvl w:ilvl="5" w:tplc="1C090005" w:tentative="1">
      <w:start w:val="1"/>
      <w:numFmt w:val="bullet"/>
      <w:lvlText w:val=""/>
      <w:lvlJc w:val="left"/>
      <w:pPr>
        <w:ind w:left="4020" w:hanging="360"/>
      </w:pPr>
      <w:rPr>
        <w:rFonts w:ascii="Wingdings" w:hAnsi="Wingdings" w:hint="default"/>
      </w:rPr>
    </w:lvl>
    <w:lvl w:ilvl="6" w:tplc="1C090001" w:tentative="1">
      <w:start w:val="1"/>
      <w:numFmt w:val="bullet"/>
      <w:lvlText w:val=""/>
      <w:lvlJc w:val="left"/>
      <w:pPr>
        <w:ind w:left="4740" w:hanging="360"/>
      </w:pPr>
      <w:rPr>
        <w:rFonts w:ascii="Symbol" w:hAnsi="Symbol" w:hint="default"/>
      </w:rPr>
    </w:lvl>
    <w:lvl w:ilvl="7" w:tplc="1C090003" w:tentative="1">
      <w:start w:val="1"/>
      <w:numFmt w:val="bullet"/>
      <w:lvlText w:val="o"/>
      <w:lvlJc w:val="left"/>
      <w:pPr>
        <w:ind w:left="5460" w:hanging="360"/>
      </w:pPr>
      <w:rPr>
        <w:rFonts w:ascii="Courier New" w:hAnsi="Courier New" w:cs="Courier New" w:hint="default"/>
      </w:rPr>
    </w:lvl>
    <w:lvl w:ilvl="8" w:tplc="1C090005" w:tentative="1">
      <w:start w:val="1"/>
      <w:numFmt w:val="bullet"/>
      <w:lvlText w:val=""/>
      <w:lvlJc w:val="left"/>
      <w:pPr>
        <w:ind w:left="6180" w:hanging="360"/>
      </w:pPr>
      <w:rPr>
        <w:rFonts w:ascii="Wingdings" w:hAnsi="Wingdings" w:hint="default"/>
      </w:rPr>
    </w:lvl>
  </w:abstractNum>
  <w:abstractNum w:abstractNumId="1" w15:restartNumberingAfterBreak="0">
    <w:nsid w:val="262930F5"/>
    <w:multiLevelType w:val="hybridMultilevel"/>
    <w:tmpl w:val="C926539A"/>
    <w:lvl w:ilvl="0" w:tplc="1C090001">
      <w:start w:val="1"/>
      <w:numFmt w:val="bullet"/>
      <w:lvlText w:val=""/>
      <w:lvlJc w:val="left"/>
      <w:pPr>
        <w:ind w:left="780" w:hanging="360"/>
      </w:pPr>
      <w:rPr>
        <w:rFonts w:ascii="Symbol" w:hAnsi="Symbol" w:hint="default"/>
      </w:rPr>
    </w:lvl>
    <w:lvl w:ilvl="1" w:tplc="1C090003" w:tentative="1">
      <w:start w:val="1"/>
      <w:numFmt w:val="bullet"/>
      <w:lvlText w:val="o"/>
      <w:lvlJc w:val="left"/>
      <w:pPr>
        <w:ind w:left="1500" w:hanging="360"/>
      </w:pPr>
      <w:rPr>
        <w:rFonts w:ascii="Courier New" w:hAnsi="Courier New" w:cs="Courier New" w:hint="default"/>
      </w:rPr>
    </w:lvl>
    <w:lvl w:ilvl="2" w:tplc="1C090005" w:tentative="1">
      <w:start w:val="1"/>
      <w:numFmt w:val="bullet"/>
      <w:lvlText w:val=""/>
      <w:lvlJc w:val="left"/>
      <w:pPr>
        <w:ind w:left="2220" w:hanging="360"/>
      </w:pPr>
      <w:rPr>
        <w:rFonts w:ascii="Wingdings" w:hAnsi="Wingdings" w:hint="default"/>
      </w:rPr>
    </w:lvl>
    <w:lvl w:ilvl="3" w:tplc="1C090001" w:tentative="1">
      <w:start w:val="1"/>
      <w:numFmt w:val="bullet"/>
      <w:lvlText w:val=""/>
      <w:lvlJc w:val="left"/>
      <w:pPr>
        <w:ind w:left="2940" w:hanging="360"/>
      </w:pPr>
      <w:rPr>
        <w:rFonts w:ascii="Symbol" w:hAnsi="Symbol" w:hint="default"/>
      </w:rPr>
    </w:lvl>
    <w:lvl w:ilvl="4" w:tplc="1C090003" w:tentative="1">
      <w:start w:val="1"/>
      <w:numFmt w:val="bullet"/>
      <w:lvlText w:val="o"/>
      <w:lvlJc w:val="left"/>
      <w:pPr>
        <w:ind w:left="3660" w:hanging="360"/>
      </w:pPr>
      <w:rPr>
        <w:rFonts w:ascii="Courier New" w:hAnsi="Courier New" w:cs="Courier New" w:hint="default"/>
      </w:rPr>
    </w:lvl>
    <w:lvl w:ilvl="5" w:tplc="1C090005" w:tentative="1">
      <w:start w:val="1"/>
      <w:numFmt w:val="bullet"/>
      <w:lvlText w:val=""/>
      <w:lvlJc w:val="left"/>
      <w:pPr>
        <w:ind w:left="4380" w:hanging="360"/>
      </w:pPr>
      <w:rPr>
        <w:rFonts w:ascii="Wingdings" w:hAnsi="Wingdings" w:hint="default"/>
      </w:rPr>
    </w:lvl>
    <w:lvl w:ilvl="6" w:tplc="1C090001" w:tentative="1">
      <w:start w:val="1"/>
      <w:numFmt w:val="bullet"/>
      <w:lvlText w:val=""/>
      <w:lvlJc w:val="left"/>
      <w:pPr>
        <w:ind w:left="5100" w:hanging="360"/>
      </w:pPr>
      <w:rPr>
        <w:rFonts w:ascii="Symbol" w:hAnsi="Symbol" w:hint="default"/>
      </w:rPr>
    </w:lvl>
    <w:lvl w:ilvl="7" w:tplc="1C090003" w:tentative="1">
      <w:start w:val="1"/>
      <w:numFmt w:val="bullet"/>
      <w:lvlText w:val="o"/>
      <w:lvlJc w:val="left"/>
      <w:pPr>
        <w:ind w:left="5820" w:hanging="360"/>
      </w:pPr>
      <w:rPr>
        <w:rFonts w:ascii="Courier New" w:hAnsi="Courier New" w:cs="Courier New" w:hint="default"/>
      </w:rPr>
    </w:lvl>
    <w:lvl w:ilvl="8" w:tplc="1C090005" w:tentative="1">
      <w:start w:val="1"/>
      <w:numFmt w:val="bullet"/>
      <w:lvlText w:val=""/>
      <w:lvlJc w:val="left"/>
      <w:pPr>
        <w:ind w:left="65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728A"/>
    <w:rsid w:val="000009AC"/>
    <w:rsid w:val="00076093"/>
    <w:rsid w:val="000A6EE2"/>
    <w:rsid w:val="000D06F6"/>
    <w:rsid w:val="000F3E3A"/>
    <w:rsid w:val="0013127F"/>
    <w:rsid w:val="00193D1D"/>
    <w:rsid w:val="001B74EF"/>
    <w:rsid w:val="001F3005"/>
    <w:rsid w:val="00245AB5"/>
    <w:rsid w:val="00262CB2"/>
    <w:rsid w:val="00275EE4"/>
    <w:rsid w:val="00287884"/>
    <w:rsid w:val="002A2723"/>
    <w:rsid w:val="002B7DBC"/>
    <w:rsid w:val="003071DC"/>
    <w:rsid w:val="00335D16"/>
    <w:rsid w:val="0038648A"/>
    <w:rsid w:val="003F288C"/>
    <w:rsid w:val="003F3563"/>
    <w:rsid w:val="0052638E"/>
    <w:rsid w:val="005D47FB"/>
    <w:rsid w:val="005E3155"/>
    <w:rsid w:val="005F09D1"/>
    <w:rsid w:val="00645C3E"/>
    <w:rsid w:val="006830DB"/>
    <w:rsid w:val="006A2A11"/>
    <w:rsid w:val="006D07DC"/>
    <w:rsid w:val="006E1D69"/>
    <w:rsid w:val="00701558"/>
    <w:rsid w:val="007036ED"/>
    <w:rsid w:val="007504C9"/>
    <w:rsid w:val="007625AA"/>
    <w:rsid w:val="007652B9"/>
    <w:rsid w:val="00794A42"/>
    <w:rsid w:val="007B12FF"/>
    <w:rsid w:val="0085728E"/>
    <w:rsid w:val="008B5E1B"/>
    <w:rsid w:val="009363B1"/>
    <w:rsid w:val="009413CF"/>
    <w:rsid w:val="009633AD"/>
    <w:rsid w:val="00981C35"/>
    <w:rsid w:val="009C2B48"/>
    <w:rsid w:val="009C5C9D"/>
    <w:rsid w:val="00A00269"/>
    <w:rsid w:val="00A11E68"/>
    <w:rsid w:val="00A26BDE"/>
    <w:rsid w:val="00A55FBF"/>
    <w:rsid w:val="00A7176F"/>
    <w:rsid w:val="00AB3D10"/>
    <w:rsid w:val="00B04345"/>
    <w:rsid w:val="00B369D1"/>
    <w:rsid w:val="00B54FE9"/>
    <w:rsid w:val="00B979D7"/>
    <w:rsid w:val="00BF0D0B"/>
    <w:rsid w:val="00BF2EEA"/>
    <w:rsid w:val="00C005D7"/>
    <w:rsid w:val="00C46AB5"/>
    <w:rsid w:val="00C80F51"/>
    <w:rsid w:val="00CA1973"/>
    <w:rsid w:val="00D308A9"/>
    <w:rsid w:val="00D466AE"/>
    <w:rsid w:val="00D9728A"/>
    <w:rsid w:val="00E052EF"/>
    <w:rsid w:val="00E21423"/>
    <w:rsid w:val="00E3680A"/>
    <w:rsid w:val="00E45D03"/>
    <w:rsid w:val="00EA6CF0"/>
    <w:rsid w:val="00EB0E50"/>
    <w:rsid w:val="00F54D9F"/>
    <w:rsid w:val="00F76271"/>
    <w:rsid w:val="00F96FA8"/>
    <w:rsid w:val="00FC42A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FB08B"/>
  <w15:docId w15:val="{3FDA35C0-A046-4454-A8A4-9D831A06B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2"/>
        <w:szCs w:val="22"/>
        <w:lang w:val="en-Z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9728A"/>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76271"/>
    <w:rPr>
      <w:rFonts w:cs="Times New Roman"/>
      <w:color w:val="BD392D"/>
      <w:u w:val="single"/>
      <w:effect w:val="none"/>
    </w:rPr>
  </w:style>
  <w:style w:type="paragraph" w:styleId="NormalWeb">
    <w:name w:val="Normal (Web)"/>
    <w:basedOn w:val="Normal"/>
    <w:uiPriority w:val="99"/>
    <w:rsid w:val="00F76271"/>
    <w:pPr>
      <w:spacing w:before="100" w:beforeAutospacing="1" w:after="100" w:afterAutospacing="1"/>
    </w:pPr>
  </w:style>
  <w:style w:type="paragraph" w:styleId="Footer">
    <w:name w:val="footer"/>
    <w:basedOn w:val="Normal"/>
    <w:link w:val="FooterChar"/>
    <w:uiPriority w:val="99"/>
    <w:unhideWhenUsed/>
    <w:rsid w:val="00193D1D"/>
    <w:pPr>
      <w:tabs>
        <w:tab w:val="center" w:pos="4680"/>
        <w:tab w:val="right" w:pos="9360"/>
      </w:tabs>
    </w:pPr>
    <w:rPr>
      <w:rFonts w:ascii="Arial" w:eastAsiaTheme="minorHAnsi" w:hAnsi="Arial" w:cs="Arial"/>
      <w:sz w:val="22"/>
      <w:szCs w:val="22"/>
      <w:lang w:val="en-ZA"/>
    </w:rPr>
  </w:style>
  <w:style w:type="character" w:customStyle="1" w:styleId="FooterChar">
    <w:name w:val="Footer Char"/>
    <w:basedOn w:val="DefaultParagraphFont"/>
    <w:link w:val="Footer"/>
    <w:uiPriority w:val="99"/>
    <w:rsid w:val="00193D1D"/>
  </w:style>
  <w:style w:type="paragraph" w:styleId="CommentText">
    <w:name w:val="annotation text"/>
    <w:basedOn w:val="Normal"/>
    <w:link w:val="CommentTextChar"/>
    <w:uiPriority w:val="99"/>
    <w:unhideWhenUsed/>
    <w:rsid w:val="00193D1D"/>
    <w:rPr>
      <w:rFonts w:eastAsia="Calibri"/>
      <w:sz w:val="20"/>
      <w:szCs w:val="20"/>
      <w:lang w:val="x-none" w:eastAsia="x-none"/>
    </w:rPr>
  </w:style>
  <w:style w:type="character" w:customStyle="1" w:styleId="CommentTextChar">
    <w:name w:val="Comment Text Char"/>
    <w:basedOn w:val="DefaultParagraphFont"/>
    <w:link w:val="CommentText"/>
    <w:uiPriority w:val="99"/>
    <w:rsid w:val="00193D1D"/>
    <w:rPr>
      <w:rFonts w:ascii="Times New Roman" w:eastAsia="Calibri" w:hAnsi="Times New Roman" w:cs="Times New Roman"/>
      <w:sz w:val="20"/>
      <w:szCs w:val="20"/>
      <w:lang w:val="x-none" w:eastAsia="x-none"/>
    </w:rPr>
  </w:style>
  <w:style w:type="character" w:styleId="CommentReference">
    <w:name w:val="annotation reference"/>
    <w:uiPriority w:val="99"/>
    <w:unhideWhenUsed/>
    <w:rsid w:val="00193D1D"/>
    <w:rPr>
      <w:sz w:val="16"/>
      <w:szCs w:val="16"/>
    </w:rPr>
  </w:style>
  <w:style w:type="paragraph" w:styleId="BalloonText">
    <w:name w:val="Balloon Text"/>
    <w:basedOn w:val="Normal"/>
    <w:link w:val="BalloonTextChar"/>
    <w:uiPriority w:val="99"/>
    <w:semiHidden/>
    <w:unhideWhenUsed/>
    <w:rsid w:val="00193D1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3D1D"/>
    <w:rPr>
      <w:rFonts w:ascii="Segoe UI" w:eastAsia="Times New Roman" w:hAnsi="Segoe UI" w:cs="Segoe UI"/>
      <w:sz w:val="18"/>
      <w:szCs w:val="18"/>
      <w:lang w:val="en-US"/>
    </w:rPr>
  </w:style>
  <w:style w:type="paragraph" w:customStyle="1" w:styleId="Default">
    <w:name w:val="Default"/>
    <w:uiPriority w:val="99"/>
    <w:rsid w:val="00E21423"/>
    <w:pPr>
      <w:autoSpaceDE w:val="0"/>
      <w:autoSpaceDN w:val="0"/>
      <w:adjustRightInd w:val="0"/>
      <w:spacing w:after="0" w:line="240" w:lineRule="auto"/>
    </w:pPr>
    <w:rPr>
      <w:color w:val="000000"/>
      <w:sz w:val="24"/>
      <w:szCs w:val="24"/>
      <w:lang w:val="en-US"/>
    </w:rPr>
  </w:style>
  <w:style w:type="character" w:styleId="FollowedHyperlink">
    <w:name w:val="FollowedHyperlink"/>
    <w:basedOn w:val="DefaultParagraphFont"/>
    <w:uiPriority w:val="99"/>
    <w:semiHidden/>
    <w:unhideWhenUsed/>
    <w:rsid w:val="00E21423"/>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AB3D10"/>
    <w:rPr>
      <w:rFonts w:eastAsia="Times New Roman"/>
      <w:b/>
      <w:bCs/>
      <w:lang w:val="en-US" w:eastAsia="en-US"/>
    </w:rPr>
  </w:style>
  <w:style w:type="character" w:customStyle="1" w:styleId="CommentSubjectChar">
    <w:name w:val="Comment Subject Char"/>
    <w:basedOn w:val="CommentTextChar"/>
    <w:link w:val="CommentSubject"/>
    <w:uiPriority w:val="99"/>
    <w:semiHidden/>
    <w:rsid w:val="00AB3D10"/>
    <w:rPr>
      <w:rFonts w:ascii="Times New Roman" w:eastAsia="Times New Roman" w:hAnsi="Times New Roman" w:cs="Times New Roman"/>
      <w:b/>
      <w:bCs/>
      <w:sz w:val="20"/>
      <w:szCs w:val="20"/>
      <w:lang w:val="en-US" w:eastAsia="x-none"/>
    </w:rPr>
  </w:style>
  <w:style w:type="character" w:customStyle="1" w:styleId="UnresolvedMention1">
    <w:name w:val="Unresolved Mention1"/>
    <w:basedOn w:val="DefaultParagraphFont"/>
    <w:uiPriority w:val="99"/>
    <w:semiHidden/>
    <w:unhideWhenUsed/>
    <w:rsid w:val="001F3005"/>
    <w:rPr>
      <w:color w:val="605E5C"/>
      <w:shd w:val="clear" w:color="auto" w:fill="E1DFDD"/>
    </w:rPr>
  </w:style>
  <w:style w:type="paragraph" w:styleId="ListParagraph">
    <w:name w:val="List Paragraph"/>
    <w:basedOn w:val="Normal"/>
    <w:uiPriority w:val="34"/>
    <w:qFormat/>
    <w:rsid w:val="007652B9"/>
    <w:pPr>
      <w:ind w:left="720"/>
    </w:pPr>
    <w:rPr>
      <w:rFonts w:ascii="Calibri" w:eastAsiaTheme="minorHAnsi" w:hAnsi="Calibri" w:cs="Calibri"/>
      <w:sz w:val="22"/>
      <w:szCs w:val="22"/>
      <w:lang w:val="en-ZA"/>
    </w:rPr>
  </w:style>
  <w:style w:type="table" w:styleId="TableGrid">
    <w:name w:val="Table Grid"/>
    <w:basedOn w:val="TableNormal"/>
    <w:uiPriority w:val="59"/>
    <w:rsid w:val="007652B9"/>
    <w:pPr>
      <w:spacing w:after="0" w:line="240" w:lineRule="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717569">
      <w:bodyDiv w:val="1"/>
      <w:marLeft w:val="0"/>
      <w:marRight w:val="0"/>
      <w:marTop w:val="0"/>
      <w:marBottom w:val="0"/>
      <w:divBdr>
        <w:top w:val="none" w:sz="0" w:space="0" w:color="auto"/>
        <w:left w:val="none" w:sz="0" w:space="0" w:color="auto"/>
        <w:bottom w:val="none" w:sz="0" w:space="0" w:color="auto"/>
        <w:right w:val="none" w:sz="0" w:space="0" w:color="auto"/>
      </w:divBdr>
      <w:divsChild>
        <w:div w:id="1332484184">
          <w:marLeft w:val="0"/>
          <w:marRight w:val="0"/>
          <w:marTop w:val="0"/>
          <w:marBottom w:val="0"/>
          <w:divBdr>
            <w:top w:val="none" w:sz="0" w:space="0" w:color="auto"/>
            <w:left w:val="none" w:sz="0" w:space="0" w:color="auto"/>
            <w:bottom w:val="none" w:sz="0" w:space="0" w:color="auto"/>
            <w:right w:val="none" w:sz="0" w:space="0" w:color="auto"/>
          </w:divBdr>
          <w:divsChild>
            <w:div w:id="1926113038">
              <w:marLeft w:val="0"/>
              <w:marRight w:val="0"/>
              <w:marTop w:val="0"/>
              <w:marBottom w:val="0"/>
              <w:divBdr>
                <w:top w:val="none" w:sz="0" w:space="0" w:color="auto"/>
                <w:left w:val="none" w:sz="0" w:space="0" w:color="auto"/>
                <w:bottom w:val="none" w:sz="0" w:space="0" w:color="auto"/>
                <w:right w:val="none" w:sz="0" w:space="0" w:color="auto"/>
              </w:divBdr>
              <w:divsChild>
                <w:div w:id="714164032">
                  <w:marLeft w:val="0"/>
                  <w:marRight w:val="0"/>
                  <w:marTop w:val="0"/>
                  <w:marBottom w:val="0"/>
                  <w:divBdr>
                    <w:top w:val="none" w:sz="0" w:space="0" w:color="auto"/>
                    <w:left w:val="none" w:sz="0" w:space="0" w:color="auto"/>
                    <w:bottom w:val="none" w:sz="0" w:space="0" w:color="auto"/>
                    <w:right w:val="none" w:sz="0" w:space="0" w:color="auto"/>
                  </w:divBdr>
                  <w:divsChild>
                    <w:div w:id="1421830312">
                      <w:marLeft w:val="0"/>
                      <w:marRight w:val="0"/>
                      <w:marTop w:val="0"/>
                      <w:marBottom w:val="0"/>
                      <w:divBdr>
                        <w:top w:val="none" w:sz="0" w:space="0" w:color="auto"/>
                        <w:left w:val="none" w:sz="0" w:space="0" w:color="auto"/>
                        <w:bottom w:val="none" w:sz="0" w:space="0" w:color="auto"/>
                        <w:right w:val="none" w:sz="0" w:space="0" w:color="auto"/>
                      </w:divBdr>
                      <w:divsChild>
                        <w:div w:id="1327047938">
                          <w:marLeft w:val="0"/>
                          <w:marRight w:val="0"/>
                          <w:marTop w:val="0"/>
                          <w:marBottom w:val="0"/>
                          <w:divBdr>
                            <w:top w:val="none" w:sz="0" w:space="0" w:color="auto"/>
                            <w:left w:val="none" w:sz="0" w:space="0" w:color="auto"/>
                            <w:bottom w:val="none" w:sz="0" w:space="0" w:color="auto"/>
                            <w:right w:val="none" w:sz="0" w:space="0" w:color="auto"/>
                          </w:divBdr>
                          <w:divsChild>
                            <w:div w:id="1488519780">
                              <w:marLeft w:val="0"/>
                              <w:marRight w:val="0"/>
                              <w:marTop w:val="0"/>
                              <w:marBottom w:val="0"/>
                              <w:divBdr>
                                <w:top w:val="none" w:sz="0" w:space="0" w:color="auto"/>
                                <w:left w:val="none" w:sz="0" w:space="0" w:color="auto"/>
                                <w:bottom w:val="none" w:sz="0" w:space="0" w:color="auto"/>
                                <w:right w:val="none" w:sz="0" w:space="0" w:color="auto"/>
                              </w:divBdr>
                              <w:divsChild>
                                <w:div w:id="1643538338">
                                  <w:marLeft w:val="0"/>
                                  <w:marRight w:val="0"/>
                                  <w:marTop w:val="0"/>
                                  <w:marBottom w:val="0"/>
                                  <w:divBdr>
                                    <w:top w:val="none" w:sz="0" w:space="0" w:color="auto"/>
                                    <w:left w:val="none" w:sz="0" w:space="0" w:color="auto"/>
                                    <w:bottom w:val="none" w:sz="0" w:space="0" w:color="auto"/>
                                    <w:right w:val="none" w:sz="0" w:space="0" w:color="auto"/>
                                  </w:divBdr>
                                  <w:divsChild>
                                    <w:div w:id="1679307272">
                                      <w:marLeft w:val="0"/>
                                      <w:marRight w:val="0"/>
                                      <w:marTop w:val="0"/>
                                      <w:marBottom w:val="0"/>
                                      <w:divBdr>
                                        <w:top w:val="none" w:sz="0" w:space="0" w:color="auto"/>
                                        <w:left w:val="none" w:sz="0" w:space="0" w:color="auto"/>
                                        <w:bottom w:val="none" w:sz="0" w:space="0" w:color="auto"/>
                                        <w:right w:val="none" w:sz="0" w:space="0" w:color="auto"/>
                                      </w:divBdr>
                                      <w:divsChild>
                                        <w:div w:id="1735812883">
                                          <w:marLeft w:val="0"/>
                                          <w:marRight w:val="0"/>
                                          <w:marTop w:val="0"/>
                                          <w:marBottom w:val="0"/>
                                          <w:divBdr>
                                            <w:top w:val="none" w:sz="0" w:space="0" w:color="auto"/>
                                            <w:left w:val="none" w:sz="0" w:space="0" w:color="auto"/>
                                            <w:bottom w:val="none" w:sz="0" w:space="0" w:color="auto"/>
                                            <w:right w:val="none" w:sz="0" w:space="0" w:color="auto"/>
                                          </w:divBdr>
                                          <w:divsChild>
                                            <w:div w:id="735933814">
                                              <w:marLeft w:val="0"/>
                                              <w:marRight w:val="0"/>
                                              <w:marTop w:val="0"/>
                                              <w:marBottom w:val="0"/>
                                              <w:divBdr>
                                                <w:top w:val="none" w:sz="0" w:space="0" w:color="auto"/>
                                                <w:left w:val="none" w:sz="0" w:space="0" w:color="auto"/>
                                                <w:bottom w:val="none" w:sz="0" w:space="0" w:color="auto"/>
                                                <w:right w:val="none" w:sz="0" w:space="0" w:color="auto"/>
                                              </w:divBdr>
                                              <w:divsChild>
                                                <w:div w:id="1130593787">
                                                  <w:marLeft w:val="0"/>
                                                  <w:marRight w:val="0"/>
                                                  <w:marTop w:val="0"/>
                                                  <w:marBottom w:val="0"/>
                                                  <w:divBdr>
                                                    <w:top w:val="none" w:sz="0" w:space="0" w:color="auto"/>
                                                    <w:left w:val="none" w:sz="0" w:space="0" w:color="auto"/>
                                                    <w:bottom w:val="none" w:sz="0" w:space="0" w:color="auto"/>
                                                    <w:right w:val="none" w:sz="0" w:space="0" w:color="auto"/>
                                                  </w:divBdr>
                                                  <w:divsChild>
                                                    <w:div w:id="939608431">
                                                      <w:marLeft w:val="0"/>
                                                      <w:marRight w:val="0"/>
                                                      <w:marTop w:val="0"/>
                                                      <w:marBottom w:val="0"/>
                                                      <w:divBdr>
                                                        <w:top w:val="none" w:sz="0" w:space="0" w:color="auto"/>
                                                        <w:left w:val="none" w:sz="0" w:space="0" w:color="auto"/>
                                                        <w:bottom w:val="none" w:sz="0" w:space="0" w:color="auto"/>
                                                        <w:right w:val="none" w:sz="0" w:space="0" w:color="auto"/>
                                                      </w:divBdr>
                                                      <w:divsChild>
                                                        <w:div w:id="373312525">
                                                          <w:marLeft w:val="0"/>
                                                          <w:marRight w:val="0"/>
                                                          <w:marTop w:val="0"/>
                                                          <w:marBottom w:val="0"/>
                                                          <w:divBdr>
                                                            <w:top w:val="none" w:sz="0" w:space="0" w:color="auto"/>
                                                            <w:left w:val="none" w:sz="0" w:space="0" w:color="auto"/>
                                                            <w:bottom w:val="none" w:sz="0" w:space="0" w:color="auto"/>
                                                            <w:right w:val="none" w:sz="0" w:space="0" w:color="auto"/>
                                                          </w:divBdr>
                                                          <w:divsChild>
                                                            <w:div w:id="393117579">
                                                              <w:marLeft w:val="0"/>
                                                              <w:marRight w:val="0"/>
                                                              <w:marTop w:val="0"/>
                                                              <w:marBottom w:val="0"/>
                                                              <w:divBdr>
                                                                <w:top w:val="none" w:sz="0" w:space="0" w:color="auto"/>
                                                                <w:left w:val="none" w:sz="0" w:space="0" w:color="auto"/>
                                                                <w:bottom w:val="none" w:sz="0" w:space="0" w:color="auto"/>
                                                                <w:right w:val="none" w:sz="0" w:space="0" w:color="auto"/>
                                                              </w:divBdr>
                                                              <w:divsChild>
                                                                <w:div w:id="1586836267">
                                                                  <w:marLeft w:val="0"/>
                                                                  <w:marRight w:val="0"/>
                                                                  <w:marTop w:val="0"/>
                                                                  <w:marBottom w:val="0"/>
                                                                  <w:divBdr>
                                                                    <w:top w:val="none" w:sz="0" w:space="0" w:color="auto"/>
                                                                    <w:left w:val="none" w:sz="0" w:space="0" w:color="auto"/>
                                                                    <w:bottom w:val="none" w:sz="0" w:space="0" w:color="auto"/>
                                                                    <w:right w:val="none" w:sz="0" w:space="0" w:color="auto"/>
                                                                  </w:divBdr>
                                                                  <w:divsChild>
                                                                    <w:div w:id="92106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50763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tandards@irba.co.z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rba.co.za/guidance-to-ras/technical-guidance-for-auditors/auditing-standards-and-guides/south-african-standards-and-practice-statements" TargetMode="External"/><Relationship Id="rId5" Type="http://schemas.openxmlformats.org/officeDocument/2006/relationships/hyperlink" Target="mailto:standards@irba.co.za"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571</Words>
  <Characters>3257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Henriette Fortuin</dc:creator>
  <cp:lastModifiedBy>Henriette Fortuin</cp:lastModifiedBy>
  <cp:revision>3</cp:revision>
  <dcterms:created xsi:type="dcterms:W3CDTF">2018-09-05T09:46:00Z</dcterms:created>
  <dcterms:modified xsi:type="dcterms:W3CDTF">2018-09-05T09:56:00Z</dcterms:modified>
</cp:coreProperties>
</file>