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0E5426" w14:paraId="6FE43F32" w14:textId="77777777" w:rsidTr="004C30A5">
        <w:tc>
          <w:tcPr>
            <w:tcW w:w="9746" w:type="dxa"/>
            <w:tcBorders>
              <w:top w:val="single" w:sz="4" w:space="0" w:color="auto"/>
              <w:left w:val="nil"/>
              <w:bottom w:val="single" w:sz="4" w:space="0" w:color="auto"/>
              <w:right w:val="nil"/>
            </w:tcBorders>
          </w:tcPr>
          <w:p w14:paraId="65160B11" w14:textId="77777777" w:rsidR="000E5426" w:rsidRPr="00F76271" w:rsidRDefault="000E5426" w:rsidP="000E5426">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49CD9BF1" w14:textId="19B38623" w:rsidR="000E5426" w:rsidRDefault="000E5426" w:rsidP="000E5426">
            <w:pPr>
              <w:jc w:val="center"/>
              <w:rPr>
                <w:rFonts w:ascii="Arial" w:hAnsi="Arial" w:cs="Arial"/>
              </w:rPr>
            </w:pPr>
            <w:r w:rsidRPr="00F76271">
              <w:rPr>
                <w:rFonts w:ascii="Arial" w:hAnsi="Arial" w:cs="Arial"/>
                <w:b/>
                <w:bCs/>
                <w:color w:val="000000"/>
                <w:lang w:val="en-GB"/>
              </w:rPr>
              <w:t>C</w:t>
            </w:r>
            <w:r>
              <w:rPr>
                <w:rFonts w:ascii="Arial" w:hAnsi="Arial" w:cs="Arial"/>
                <w:b/>
                <w:bCs/>
                <w:color w:val="000000"/>
                <w:lang w:val="en-GB"/>
              </w:rPr>
              <w:t>OMMITTEE FOR AUDITOR ETHICS</w:t>
            </w:r>
          </w:p>
        </w:tc>
      </w:tr>
    </w:tbl>
    <w:p w14:paraId="352A92BF" w14:textId="77777777" w:rsidR="00226366" w:rsidRPr="00F76271" w:rsidRDefault="00226366">
      <w:pPr>
        <w:rPr>
          <w:rFonts w:ascii="Arial" w:hAnsi="Arial" w:cs="Arial"/>
        </w:rPr>
      </w:pPr>
    </w:p>
    <w:tbl>
      <w:tblPr>
        <w:tblStyle w:val="TableGrid"/>
        <w:tblW w:w="0" w:type="auto"/>
        <w:tblLook w:val="04A0" w:firstRow="1" w:lastRow="0" w:firstColumn="1" w:lastColumn="0" w:noHBand="0" w:noVBand="1"/>
      </w:tblPr>
      <w:tblGrid>
        <w:gridCol w:w="9736"/>
      </w:tblGrid>
      <w:tr w:rsidR="0034483F" w14:paraId="6918F0B4" w14:textId="77777777" w:rsidTr="00226366">
        <w:trPr>
          <w:trHeight w:val="11772"/>
        </w:trPr>
        <w:tc>
          <w:tcPr>
            <w:tcW w:w="9736" w:type="dxa"/>
            <w:tcBorders>
              <w:top w:val="nil"/>
              <w:left w:val="nil"/>
              <w:bottom w:val="nil"/>
              <w:right w:val="nil"/>
            </w:tcBorders>
          </w:tcPr>
          <w:tbl>
            <w:tblPr>
              <w:tblStyle w:val="TableGrid"/>
              <w:tblW w:w="0" w:type="auto"/>
              <w:tblLook w:val="04A0" w:firstRow="1" w:lastRow="0" w:firstColumn="1" w:lastColumn="0" w:noHBand="0" w:noVBand="1"/>
            </w:tblPr>
            <w:tblGrid>
              <w:gridCol w:w="9505"/>
            </w:tblGrid>
            <w:tr w:rsidR="000E5426" w14:paraId="2072BDCB" w14:textId="77777777" w:rsidTr="004C30A5">
              <w:tc>
                <w:tcPr>
                  <w:tcW w:w="9505" w:type="dxa"/>
                  <w:tcBorders>
                    <w:top w:val="nil"/>
                    <w:left w:val="nil"/>
                    <w:bottom w:val="nil"/>
                    <w:right w:val="nil"/>
                  </w:tcBorders>
                </w:tcPr>
                <w:p w14:paraId="4279C50A" w14:textId="77777777" w:rsidR="000E5426" w:rsidRPr="00EF2DB6" w:rsidRDefault="000E5426" w:rsidP="000E5426">
                  <w:pPr>
                    <w:spacing w:after="120"/>
                    <w:jc w:val="center"/>
                    <w:rPr>
                      <w:rFonts w:ascii="Arial" w:hAnsi="Arial" w:cs="Arial"/>
                      <w:b/>
                      <w:sz w:val="22"/>
                      <w:szCs w:val="22"/>
                    </w:rPr>
                  </w:pPr>
                  <w:r>
                    <w:rPr>
                      <w:rFonts w:ascii="Arial" w:hAnsi="Arial" w:cs="Arial"/>
                      <w:b/>
                      <w:sz w:val="22"/>
                      <w:szCs w:val="22"/>
                    </w:rPr>
                    <w:t>IRBA Frequently Asked Questions on NOCLAR</w:t>
                  </w:r>
                </w:p>
                <w:p w14:paraId="5488D890" w14:textId="77777777" w:rsidR="000E5426" w:rsidRPr="00F76271" w:rsidRDefault="000E5426" w:rsidP="000E5426">
                  <w:pPr>
                    <w:spacing w:before="120" w:after="120"/>
                    <w:jc w:val="center"/>
                    <w:rPr>
                      <w:rFonts w:ascii="Arial" w:hAnsi="Arial" w:cs="Arial"/>
                      <w:sz w:val="22"/>
                      <w:szCs w:val="22"/>
                      <w:lang w:val="en-GB"/>
                    </w:rPr>
                  </w:pPr>
                  <w:r>
                    <w:rPr>
                      <w:rFonts w:ascii="Arial" w:hAnsi="Arial" w:cs="Arial"/>
                      <w:sz w:val="22"/>
                      <w:szCs w:val="22"/>
                      <w:lang w:val="en-GB"/>
                    </w:rPr>
                    <w:t>Johannesburg / 17 October 2017</w:t>
                  </w:r>
                </w:p>
                <w:p w14:paraId="20E8F48A" w14:textId="77777777" w:rsidR="000E5426" w:rsidRPr="00F76271" w:rsidRDefault="000E5426" w:rsidP="000E5426">
                  <w:pPr>
                    <w:spacing w:before="120" w:after="120"/>
                    <w:jc w:val="center"/>
                    <w:rPr>
                      <w:rFonts w:ascii="Arial" w:hAnsi="Arial" w:cs="Arial"/>
                      <w:sz w:val="22"/>
                      <w:szCs w:val="22"/>
                      <w:lang w:val="en-GB"/>
                    </w:rPr>
                  </w:pPr>
                </w:p>
                <w:p w14:paraId="23FA1F03" w14:textId="019903A9" w:rsidR="000E5426" w:rsidRPr="005260F5" w:rsidRDefault="000E5426" w:rsidP="000E5426">
                  <w:pPr>
                    <w:tabs>
                      <w:tab w:val="left" w:pos="3516"/>
                    </w:tabs>
                    <w:spacing w:before="120" w:after="120" w:line="312" w:lineRule="auto"/>
                    <w:jc w:val="both"/>
                    <w:rPr>
                      <w:rFonts w:ascii="Arial" w:hAnsi="Arial" w:cs="Arial"/>
                      <w:sz w:val="22"/>
                      <w:szCs w:val="22"/>
                    </w:rPr>
                  </w:pPr>
                  <w:r w:rsidRPr="005260F5">
                    <w:rPr>
                      <w:rFonts w:ascii="Arial" w:hAnsi="Arial" w:cs="Arial"/>
                      <w:sz w:val="22"/>
                      <w:szCs w:val="22"/>
                    </w:rPr>
                    <w:t xml:space="preserve">The Committee for Auditor Ethics (CFAE) has approved for issue the </w:t>
                  </w:r>
                  <w:r w:rsidRPr="005260F5">
                    <w:rPr>
                      <w:rFonts w:ascii="Arial" w:hAnsi="Arial" w:cs="Arial"/>
                      <w:i/>
                      <w:sz w:val="22"/>
                      <w:szCs w:val="22"/>
                    </w:rPr>
                    <w:t>IRBA Frequently Asked Questions on Non-Compliance with Laws and Regulations for registered auditors</w:t>
                  </w:r>
                  <w:r w:rsidRPr="005260F5">
                    <w:rPr>
                      <w:rFonts w:ascii="Arial" w:hAnsi="Arial" w:cs="Arial"/>
                      <w:sz w:val="22"/>
                      <w:szCs w:val="22"/>
                    </w:rPr>
                    <w:t xml:space="preserve"> (IRBA FAQs on NOCLAR</w:t>
                  </w:r>
                  <w:r w:rsidR="004C30A5">
                    <w:rPr>
                      <w:rFonts w:ascii="Arial" w:hAnsi="Arial" w:cs="Arial"/>
                      <w:sz w:val="22"/>
                      <w:szCs w:val="22"/>
                    </w:rPr>
                    <w:t>).</w:t>
                  </w:r>
                </w:p>
                <w:p w14:paraId="4D847780" w14:textId="77777777" w:rsidR="000E5426" w:rsidRPr="005260F5" w:rsidRDefault="000E5426" w:rsidP="000E5426">
                  <w:pPr>
                    <w:tabs>
                      <w:tab w:val="left" w:pos="3516"/>
                    </w:tabs>
                    <w:spacing w:before="120" w:after="120" w:line="312" w:lineRule="auto"/>
                    <w:jc w:val="both"/>
                    <w:rPr>
                      <w:rFonts w:ascii="Arial" w:hAnsi="Arial" w:cs="Arial"/>
                      <w:sz w:val="22"/>
                      <w:szCs w:val="22"/>
                      <w:lang w:val="en-ZA"/>
                    </w:rPr>
                  </w:pPr>
                  <w:r w:rsidRPr="005260F5">
                    <w:rPr>
                      <w:rFonts w:ascii="Arial" w:hAnsi="Arial" w:cs="Arial"/>
                      <w:sz w:val="22"/>
                      <w:szCs w:val="22"/>
                    </w:rPr>
                    <w:t>By developing the IRBA FAQs on NOCLAR, the IRBA has responded to questions raised on the recent amendments to the IRBA Code of Professional Conduct, including the link between NOCLAR obligations and other legislative reporting obligations applicable to registered auditors, such as reportable irregularities (RI) under Section 45 of the Auditing Profession Act. Registered auditors are reminded that an</w:t>
                  </w:r>
                  <w:r w:rsidRPr="005260F5">
                    <w:rPr>
                      <w:rFonts w:ascii="Arial" w:hAnsi="Arial" w:cs="Arial"/>
                      <w:sz w:val="22"/>
                      <w:szCs w:val="22"/>
                      <w:lang w:val="en-ZA"/>
                    </w:rPr>
                    <w:t xml:space="preserve"> RI imposes a </w:t>
                  </w:r>
                  <w:r w:rsidRPr="005260F5">
                    <w:rPr>
                      <w:rFonts w:ascii="Arial" w:hAnsi="Arial" w:cs="Arial"/>
                      <w:b/>
                      <w:sz w:val="22"/>
                      <w:szCs w:val="22"/>
                      <w:lang w:val="en-ZA"/>
                    </w:rPr>
                    <w:t>reporting obligation</w:t>
                  </w:r>
                  <w:r w:rsidRPr="005260F5">
                    <w:rPr>
                      <w:rFonts w:ascii="Arial" w:hAnsi="Arial" w:cs="Arial"/>
                      <w:sz w:val="22"/>
                      <w:szCs w:val="22"/>
                      <w:lang w:val="en-ZA"/>
                    </w:rPr>
                    <w:t xml:space="preserve"> (to the IRBA), while NOCLAR is a </w:t>
                  </w:r>
                  <w:r w:rsidRPr="005260F5">
                    <w:rPr>
                      <w:rFonts w:ascii="Arial" w:hAnsi="Arial" w:cs="Arial"/>
                      <w:b/>
                      <w:sz w:val="22"/>
                      <w:szCs w:val="22"/>
                      <w:lang w:val="en-ZA"/>
                    </w:rPr>
                    <w:t>response framework</w:t>
                  </w:r>
                  <w:r w:rsidRPr="005260F5">
                    <w:rPr>
                      <w:rFonts w:ascii="Arial" w:hAnsi="Arial" w:cs="Arial"/>
                      <w:sz w:val="22"/>
                      <w:szCs w:val="22"/>
                      <w:lang w:val="en-ZA"/>
                    </w:rPr>
                    <w:t xml:space="preserve"> that includes a discussion with management as well as a co</w:t>
                  </w:r>
                  <w:bookmarkStart w:id="0" w:name="_GoBack"/>
                  <w:bookmarkEnd w:id="0"/>
                  <w:r w:rsidRPr="005260F5">
                    <w:rPr>
                      <w:rFonts w:ascii="Arial" w:hAnsi="Arial" w:cs="Arial"/>
                      <w:sz w:val="22"/>
                      <w:szCs w:val="22"/>
                      <w:lang w:val="en-ZA"/>
                    </w:rPr>
                    <w:t>nsideration to disclose the matter to an appropriate authority.</w:t>
                  </w:r>
                </w:p>
                <w:p w14:paraId="6DE9594A" w14:textId="12FD5D06" w:rsidR="000E5426" w:rsidRPr="005260F5" w:rsidRDefault="000E5426" w:rsidP="000E5426">
                  <w:pPr>
                    <w:tabs>
                      <w:tab w:val="left" w:pos="3516"/>
                    </w:tabs>
                    <w:spacing w:before="120" w:after="120" w:line="312" w:lineRule="auto"/>
                    <w:jc w:val="both"/>
                    <w:rPr>
                      <w:rFonts w:ascii="Arial" w:hAnsi="Arial" w:cs="Arial"/>
                      <w:sz w:val="22"/>
                      <w:szCs w:val="22"/>
                      <w:lang w:val="en-ZA"/>
                    </w:rPr>
                  </w:pPr>
                  <w:r w:rsidRPr="005260F5">
                    <w:rPr>
                      <w:rFonts w:ascii="Arial" w:hAnsi="Arial" w:cs="Arial"/>
                      <w:sz w:val="22"/>
                      <w:szCs w:val="22"/>
                    </w:rPr>
                    <w:t xml:space="preserve">NOCLAR amendments are effective as of 15 July 2017. (Refer to the IRBA communique </w:t>
                  </w:r>
                  <w:hyperlink r:id="rId6" w:tgtFrame="_blank" w:history="1">
                    <w:r w:rsidRPr="005260F5">
                      <w:rPr>
                        <w:rStyle w:val="Hyperlink"/>
                        <w:rFonts w:ascii="Arial" w:hAnsi="Arial" w:cs="Arial"/>
                        <w:sz w:val="22"/>
                        <w:szCs w:val="22"/>
                      </w:rPr>
                      <w:t>Final Amendments to the IRBA Code of Professional Conduct for Registered Auditors Responding to Non-Compliance with Laws and Regulations</w:t>
                    </w:r>
                  </w:hyperlink>
                  <w:r w:rsidRPr="005260F5">
                    <w:rPr>
                      <w:rFonts w:ascii="Arial" w:hAnsi="Arial" w:cs="Arial"/>
                      <w:i/>
                      <w:sz w:val="22"/>
                      <w:szCs w:val="22"/>
                    </w:rPr>
                    <w:t xml:space="preserve"> </w:t>
                  </w:r>
                  <w:r w:rsidRPr="005260F5">
                    <w:rPr>
                      <w:rFonts w:ascii="Arial" w:hAnsi="Arial" w:cs="Arial"/>
                      <w:sz w:val="22"/>
                      <w:szCs w:val="22"/>
                    </w:rPr>
                    <w:t>issued on 1 December 2016.)</w:t>
                  </w:r>
                  <w:r w:rsidR="004C30A5">
                    <w:rPr>
                      <w:rFonts w:ascii="Arial" w:hAnsi="Arial" w:cs="Arial"/>
                      <w:sz w:val="22"/>
                      <w:szCs w:val="22"/>
                    </w:rPr>
                    <w:t>.</w:t>
                  </w:r>
                </w:p>
                <w:p w14:paraId="2C136C63" w14:textId="77777777" w:rsidR="000E5426" w:rsidRPr="005260F5" w:rsidRDefault="000E5426" w:rsidP="000E5426">
                  <w:pPr>
                    <w:tabs>
                      <w:tab w:val="left" w:pos="3516"/>
                    </w:tabs>
                    <w:spacing w:before="120" w:after="120" w:line="312" w:lineRule="auto"/>
                    <w:jc w:val="both"/>
                    <w:rPr>
                      <w:rFonts w:ascii="Arial" w:hAnsi="Arial" w:cs="Arial"/>
                      <w:sz w:val="22"/>
                      <w:szCs w:val="22"/>
                    </w:rPr>
                  </w:pPr>
                  <w:r w:rsidRPr="005260F5">
                    <w:rPr>
                      <w:rFonts w:ascii="Arial" w:hAnsi="Arial" w:cs="Arial"/>
                      <w:sz w:val="22"/>
                      <w:szCs w:val="22"/>
                    </w:rPr>
                    <w:t>The IRBA FAQs on NOCLAR do not constitute an authoritative pronouncement from the IRBA, nor does it amend or override the IRBA Code of Professional Conduct, International Standards on Auditing, South African Auditing Practice Statements or South African Guides (collectively called pronouncements). Further, it is not meant to be exhaustive. Reading it is not a substitute for reading the abovementioned pronouncements, as they are the authoritative texts.</w:t>
                  </w:r>
                </w:p>
                <w:p w14:paraId="0031D93A" w14:textId="77777777" w:rsidR="000E5426" w:rsidRPr="005260F5" w:rsidRDefault="000E5426" w:rsidP="000E5426">
                  <w:pPr>
                    <w:pStyle w:val="NormalWeb"/>
                    <w:spacing w:before="0" w:beforeAutospacing="0" w:after="120" w:afterAutospacing="0" w:line="312" w:lineRule="auto"/>
                    <w:jc w:val="both"/>
                    <w:rPr>
                      <w:rFonts w:ascii="Arial" w:hAnsi="Arial" w:cs="Arial"/>
                      <w:sz w:val="22"/>
                      <w:szCs w:val="22"/>
                    </w:rPr>
                  </w:pPr>
                  <w:r w:rsidRPr="005260F5">
                    <w:rPr>
                      <w:rFonts w:ascii="Arial" w:hAnsi="Arial" w:cs="Arial"/>
                      <w:sz w:val="22"/>
                      <w:szCs w:val="22"/>
                    </w:rPr>
                    <w:t xml:space="preserve">The IRBA FAQs on NOCLAR is available in PDF format and may be downloaded from the IRBA website at </w:t>
                  </w:r>
                  <w:hyperlink r:id="rId7" w:history="1">
                    <w:r w:rsidRPr="005260F5">
                      <w:rPr>
                        <w:rStyle w:val="Hyperlink"/>
                        <w:rFonts w:ascii="Arial" w:hAnsi="Arial" w:cs="Arial"/>
                        <w:sz w:val="22"/>
                        <w:szCs w:val="22"/>
                      </w:rPr>
                      <w:t>www.irba.co.za</w:t>
                    </w:r>
                  </w:hyperlink>
                  <w:r w:rsidRPr="005260F5">
                    <w:rPr>
                      <w:rFonts w:ascii="Arial" w:hAnsi="Arial" w:cs="Arial"/>
                      <w:sz w:val="22"/>
                      <w:szCs w:val="22"/>
                    </w:rPr>
                    <w:t xml:space="preserve">. Should you have any further queries, please do not hesitate to contact the Standards Department by email at </w:t>
                  </w:r>
                  <w:hyperlink r:id="rId8" w:history="1">
                    <w:r w:rsidRPr="005260F5">
                      <w:rPr>
                        <w:rFonts w:ascii="Arial" w:hAnsi="Arial" w:cs="Arial"/>
                        <w:color w:val="3300CC"/>
                        <w:sz w:val="22"/>
                        <w:szCs w:val="22"/>
                        <w:u w:val="single"/>
                      </w:rPr>
                      <w:t>standards@irba.co.za</w:t>
                    </w:r>
                  </w:hyperlink>
                  <w:r w:rsidRPr="005260F5">
                    <w:rPr>
                      <w:rFonts w:ascii="Arial" w:hAnsi="Arial" w:cs="Arial"/>
                      <w:sz w:val="22"/>
                      <w:szCs w:val="22"/>
                    </w:rPr>
                    <w:t>.</w:t>
                  </w:r>
                </w:p>
                <w:p w14:paraId="13672F95" w14:textId="77777777" w:rsidR="000E5426" w:rsidRPr="005260F5" w:rsidRDefault="000E5426" w:rsidP="000E5426">
                  <w:pPr>
                    <w:jc w:val="both"/>
                    <w:textAlignment w:val="top"/>
                    <w:rPr>
                      <w:rFonts w:ascii="Arial" w:hAnsi="Arial" w:cs="Arial"/>
                      <w:b/>
                      <w:sz w:val="22"/>
                      <w:szCs w:val="22"/>
                      <w:lang w:val="en-GB"/>
                    </w:rPr>
                  </w:pPr>
                </w:p>
                <w:p w14:paraId="789932BB" w14:textId="77777777" w:rsidR="000E5426" w:rsidRPr="00193D1D" w:rsidRDefault="000E5426" w:rsidP="000E5426">
                  <w:pPr>
                    <w:jc w:val="both"/>
                    <w:textAlignment w:val="top"/>
                    <w:rPr>
                      <w:rFonts w:ascii="Arial" w:hAnsi="Arial" w:cs="Arial"/>
                      <w:b/>
                      <w:sz w:val="22"/>
                      <w:szCs w:val="22"/>
                      <w:lang w:val="en-GB"/>
                    </w:rPr>
                  </w:pPr>
                </w:p>
                <w:p w14:paraId="283C22B5" w14:textId="77777777" w:rsidR="000E5426" w:rsidRPr="00193D1D" w:rsidRDefault="000E5426" w:rsidP="000E5426">
                  <w:pPr>
                    <w:jc w:val="both"/>
                    <w:textAlignment w:val="top"/>
                    <w:rPr>
                      <w:rFonts w:ascii="Arial" w:hAnsi="Arial" w:cs="Arial"/>
                      <w:b/>
                      <w:sz w:val="22"/>
                      <w:szCs w:val="22"/>
                      <w:lang w:val="en-GB"/>
                    </w:rPr>
                  </w:pPr>
                </w:p>
                <w:p w14:paraId="260C3FAA" w14:textId="77777777" w:rsidR="000E5426" w:rsidRPr="00F76271" w:rsidRDefault="000E5426" w:rsidP="000E5426">
                  <w:pPr>
                    <w:jc w:val="both"/>
                    <w:textAlignment w:val="top"/>
                    <w:rPr>
                      <w:rFonts w:ascii="Arial" w:hAnsi="Arial" w:cs="Arial"/>
                      <w:b/>
                      <w:sz w:val="22"/>
                      <w:szCs w:val="22"/>
                      <w:lang w:val="en-GB"/>
                    </w:rPr>
                  </w:pPr>
                </w:p>
                <w:p w14:paraId="3EF3224B" w14:textId="77777777" w:rsidR="000E5426" w:rsidRPr="00F76271" w:rsidRDefault="000E5426" w:rsidP="000E5426">
                  <w:pPr>
                    <w:spacing w:line="312" w:lineRule="auto"/>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1077604E" w14:textId="4EB647A2" w:rsidR="000E5426" w:rsidRDefault="000E5426" w:rsidP="000E5426">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41E6EDA4" w14:textId="5337739C" w:rsidR="000E5426" w:rsidRDefault="000E5426" w:rsidP="000E5426">
                  <w:pPr>
                    <w:spacing w:after="120"/>
                    <w:jc w:val="both"/>
                    <w:rPr>
                      <w:rFonts w:ascii="Arial" w:hAnsi="Arial" w:cs="Arial"/>
                      <w:b/>
                      <w:sz w:val="22"/>
                      <w:szCs w:val="22"/>
                      <w:lang w:val="en-GB"/>
                    </w:rPr>
                  </w:pPr>
                </w:p>
                <w:p w14:paraId="43FB1BD1" w14:textId="77777777" w:rsidR="000E5426" w:rsidRPr="003F3563" w:rsidRDefault="000E5426" w:rsidP="000E5426">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1366FDB1" w14:textId="77777777" w:rsidR="000E5426" w:rsidRPr="005B739B" w:rsidRDefault="000E5426" w:rsidP="000E5426">
                  <w:pPr>
                    <w:spacing w:after="60" w:line="276" w:lineRule="auto"/>
                    <w:ind w:right="232"/>
                    <w:jc w:val="both"/>
                    <w:rPr>
                      <w:rFonts w:ascii="Arial" w:hAnsi="Arial" w:cs="Arial"/>
                      <w:i/>
                      <w:noProof/>
                      <w:sz w:val="20"/>
                      <w:szCs w:val="20"/>
                      <w:lang w:val="en-GB"/>
                    </w:rPr>
                  </w:pPr>
                  <w:r w:rsidRPr="005B739B">
                    <w:rPr>
                      <w:rFonts w:ascii="Arial" w:hAnsi="Arial" w:cs="Arial"/>
                      <w:i/>
                      <w:noProof/>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14:paraId="115B0902" w14:textId="711F1DD4" w:rsidR="000E5426" w:rsidRPr="00F76271" w:rsidRDefault="000E5426" w:rsidP="000E5426">
                  <w:pPr>
                    <w:spacing w:after="120"/>
                    <w:jc w:val="both"/>
                    <w:rPr>
                      <w:rFonts w:ascii="Arial" w:hAnsi="Arial" w:cs="Arial"/>
                      <w:b/>
                      <w:sz w:val="22"/>
                      <w:szCs w:val="22"/>
                      <w:lang w:val="en-GB"/>
                    </w:rPr>
                  </w:pPr>
                  <w:r w:rsidRPr="005B739B">
                    <w:rPr>
                      <w:rFonts w:ascii="Arial" w:hAnsi="Arial" w:cs="Arial"/>
                      <w:i/>
                      <w:noProof/>
                      <w:sz w:val="20"/>
                      <w:szCs w:val="20"/>
                      <w:lang w:val="en-GB"/>
                    </w:rPr>
                    <w:t xml:space="preserve">The statutory responsibilities of the CFAE are to assist the IRBA to determine what constitutes improper conduct by registered auditors by developing rules and guidelines for professional ethics, including a code </w:t>
                  </w:r>
                  <w:r w:rsidRPr="005B739B">
                    <w:rPr>
                      <w:rFonts w:ascii="Arial" w:hAnsi="Arial" w:cs="Arial"/>
                      <w:i/>
                      <w:noProof/>
                      <w:sz w:val="20"/>
                      <w:szCs w:val="20"/>
                      <w:lang w:val="en-GB"/>
                    </w:rPr>
                    <w:lastRenderedPageBreak/>
                    <w:t>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14:paraId="15C0CC85" w14:textId="77777777" w:rsidR="000E5426" w:rsidRDefault="000E5426" w:rsidP="00EF2DB6">
                  <w:pPr>
                    <w:spacing w:after="120"/>
                    <w:jc w:val="center"/>
                    <w:rPr>
                      <w:rFonts w:ascii="Arial" w:hAnsi="Arial" w:cs="Arial"/>
                      <w:b/>
                      <w:sz w:val="22"/>
                      <w:szCs w:val="22"/>
                    </w:rPr>
                  </w:pPr>
                </w:p>
              </w:tc>
            </w:tr>
          </w:tbl>
          <w:p w14:paraId="1A4E7CCE" w14:textId="77777777" w:rsidR="000E5426" w:rsidRDefault="000E5426" w:rsidP="00EF2DB6">
            <w:pPr>
              <w:spacing w:after="120"/>
              <w:jc w:val="center"/>
              <w:rPr>
                <w:rFonts w:ascii="Arial" w:hAnsi="Arial" w:cs="Arial"/>
                <w:b/>
                <w:sz w:val="22"/>
                <w:szCs w:val="22"/>
              </w:rPr>
            </w:pPr>
          </w:p>
          <w:p w14:paraId="135EBFB7" w14:textId="77777777" w:rsidR="000E5426" w:rsidRDefault="000E5426" w:rsidP="00EF2DB6">
            <w:pPr>
              <w:spacing w:after="120"/>
              <w:jc w:val="center"/>
              <w:rPr>
                <w:rFonts w:ascii="Arial" w:hAnsi="Arial" w:cs="Arial"/>
                <w:b/>
                <w:sz w:val="22"/>
                <w:szCs w:val="22"/>
              </w:rPr>
            </w:pPr>
          </w:p>
          <w:p w14:paraId="1B80C0A6" w14:textId="77777777" w:rsidR="0034483F" w:rsidRPr="00F76271" w:rsidRDefault="0034483F" w:rsidP="0034483F">
            <w:pPr>
              <w:spacing w:after="120"/>
              <w:jc w:val="both"/>
              <w:rPr>
                <w:rFonts w:ascii="Arial" w:hAnsi="Arial" w:cs="Arial"/>
                <w:b/>
                <w:i/>
                <w:noProof/>
                <w:sz w:val="20"/>
                <w:szCs w:val="20"/>
                <w:lang w:val="en-GB"/>
              </w:rPr>
            </w:pPr>
          </w:p>
          <w:p w14:paraId="0E763D43" w14:textId="39F3406B" w:rsidR="0034483F" w:rsidRDefault="0034483F" w:rsidP="005B739B">
            <w:pPr>
              <w:spacing w:after="60" w:line="276" w:lineRule="auto"/>
              <w:ind w:right="232"/>
              <w:jc w:val="both"/>
              <w:rPr>
                <w:rFonts w:ascii="Arial" w:hAnsi="Arial" w:cs="Arial"/>
              </w:rPr>
            </w:pPr>
          </w:p>
        </w:tc>
      </w:tr>
    </w:tbl>
    <w:p w14:paraId="2FEFF96E" w14:textId="4EA7899D" w:rsidR="00F76271" w:rsidRPr="003F3563" w:rsidRDefault="00F76271" w:rsidP="005B739B">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422"/>
    <w:multiLevelType w:val="hybridMultilevel"/>
    <w:tmpl w:val="33BC3802"/>
    <w:lvl w:ilvl="0" w:tplc="2F400F88">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1AC701CD"/>
    <w:multiLevelType w:val="hybridMultilevel"/>
    <w:tmpl w:val="715E92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664D6944"/>
    <w:multiLevelType w:val="multilevel"/>
    <w:tmpl w:val="55C4BF4C"/>
    <w:lvl w:ilvl="0">
      <w:start w:val="1"/>
      <w:numFmt w:val="bullet"/>
      <w:lvlText w:val=""/>
      <w:lvlJc w:val="left"/>
      <w:pPr>
        <w:ind w:left="360" w:hanging="360"/>
      </w:pPr>
      <w:rPr>
        <w:rFonts w:ascii="Symbol" w:hAnsi="Symbol" w:hint="default"/>
        <w:b w:val="0"/>
        <w:i w:val="0"/>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03531"/>
    <w:rsid w:val="00054DBE"/>
    <w:rsid w:val="00061189"/>
    <w:rsid w:val="00070BB8"/>
    <w:rsid w:val="000E0C16"/>
    <w:rsid w:val="000E5426"/>
    <w:rsid w:val="00170AB1"/>
    <w:rsid w:val="00193D1D"/>
    <w:rsid w:val="00226366"/>
    <w:rsid w:val="0023016C"/>
    <w:rsid w:val="00280429"/>
    <w:rsid w:val="00287884"/>
    <w:rsid w:val="002D53FB"/>
    <w:rsid w:val="002F768D"/>
    <w:rsid w:val="0031200C"/>
    <w:rsid w:val="00312DD8"/>
    <w:rsid w:val="00334690"/>
    <w:rsid w:val="00337E21"/>
    <w:rsid w:val="0034483F"/>
    <w:rsid w:val="003758F1"/>
    <w:rsid w:val="003E42AF"/>
    <w:rsid w:val="003F3563"/>
    <w:rsid w:val="00406597"/>
    <w:rsid w:val="004359AE"/>
    <w:rsid w:val="004968A0"/>
    <w:rsid w:val="004C30A5"/>
    <w:rsid w:val="004D0CDB"/>
    <w:rsid w:val="005260F5"/>
    <w:rsid w:val="005925AB"/>
    <w:rsid w:val="005B739B"/>
    <w:rsid w:val="00632568"/>
    <w:rsid w:val="006428FF"/>
    <w:rsid w:val="00651400"/>
    <w:rsid w:val="006953AB"/>
    <w:rsid w:val="006A2A11"/>
    <w:rsid w:val="006B46D5"/>
    <w:rsid w:val="006F7F7C"/>
    <w:rsid w:val="007168AE"/>
    <w:rsid w:val="00755958"/>
    <w:rsid w:val="007625AA"/>
    <w:rsid w:val="00787BE9"/>
    <w:rsid w:val="00794A42"/>
    <w:rsid w:val="00795784"/>
    <w:rsid w:val="007A0B27"/>
    <w:rsid w:val="007D08D4"/>
    <w:rsid w:val="00884A87"/>
    <w:rsid w:val="00894FD4"/>
    <w:rsid w:val="009413CF"/>
    <w:rsid w:val="0095409A"/>
    <w:rsid w:val="00981C35"/>
    <w:rsid w:val="009A7683"/>
    <w:rsid w:val="009C5C9D"/>
    <w:rsid w:val="009C7FC0"/>
    <w:rsid w:val="009F042C"/>
    <w:rsid w:val="00A26BDE"/>
    <w:rsid w:val="00A42426"/>
    <w:rsid w:val="00A866EB"/>
    <w:rsid w:val="00AB2C3B"/>
    <w:rsid w:val="00B52C8A"/>
    <w:rsid w:val="00BE3263"/>
    <w:rsid w:val="00C1758B"/>
    <w:rsid w:val="00C7004D"/>
    <w:rsid w:val="00C80F51"/>
    <w:rsid w:val="00CC45C3"/>
    <w:rsid w:val="00CC68A8"/>
    <w:rsid w:val="00CE59B3"/>
    <w:rsid w:val="00CF5100"/>
    <w:rsid w:val="00D308A9"/>
    <w:rsid w:val="00D9728A"/>
    <w:rsid w:val="00DA5287"/>
    <w:rsid w:val="00DB79B0"/>
    <w:rsid w:val="00DC09FC"/>
    <w:rsid w:val="00DF45E5"/>
    <w:rsid w:val="00E5195E"/>
    <w:rsid w:val="00E5286E"/>
    <w:rsid w:val="00E67DA6"/>
    <w:rsid w:val="00E868A6"/>
    <w:rsid w:val="00EA5BFC"/>
    <w:rsid w:val="00EE5B83"/>
    <w:rsid w:val="00EF2DB6"/>
    <w:rsid w:val="00F03BD2"/>
    <w:rsid w:val="00F76271"/>
    <w:rsid w:val="00FB46A5"/>
    <w:rsid w:val="00FC42AC"/>
    <w:rsid w:val="00FC7326"/>
    <w:rsid w:val="00FF21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9043"/>
  <w15:docId w15:val="{32EB5BC3-81A4-441C-8C16-B0CD250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Header">
    <w:name w:val="header"/>
    <w:basedOn w:val="Normal"/>
    <w:link w:val="HeaderChar"/>
    <w:uiPriority w:val="99"/>
    <w:unhideWhenUsed/>
    <w:rsid w:val="0023016C"/>
    <w:pPr>
      <w:tabs>
        <w:tab w:val="center" w:pos="4513"/>
        <w:tab w:val="right" w:pos="9026"/>
      </w:tabs>
    </w:pPr>
    <w:rPr>
      <w:rFonts w:ascii="Arial" w:eastAsiaTheme="minorHAnsi" w:hAnsi="Arial" w:cs="Arial"/>
      <w:sz w:val="22"/>
      <w:szCs w:val="22"/>
      <w:lang w:val="en-ZA"/>
    </w:rPr>
  </w:style>
  <w:style w:type="character" w:customStyle="1" w:styleId="HeaderChar">
    <w:name w:val="Header Char"/>
    <w:basedOn w:val="DefaultParagraphFont"/>
    <w:link w:val="Header"/>
    <w:uiPriority w:val="99"/>
    <w:rsid w:val="0023016C"/>
  </w:style>
  <w:style w:type="paragraph" w:styleId="CommentSubject">
    <w:name w:val="annotation subject"/>
    <w:basedOn w:val="CommentText"/>
    <w:next w:val="CommentText"/>
    <w:link w:val="CommentSubjectChar"/>
    <w:uiPriority w:val="99"/>
    <w:semiHidden/>
    <w:unhideWhenUsed/>
    <w:rsid w:val="00B52C8A"/>
    <w:rPr>
      <w:rFonts w:eastAsia="Times New Roman"/>
      <w:b/>
      <w:bCs/>
      <w:lang w:val="en-US" w:eastAsia="en-US"/>
    </w:rPr>
  </w:style>
  <w:style w:type="character" w:customStyle="1" w:styleId="CommentSubjectChar">
    <w:name w:val="Comment Subject Char"/>
    <w:basedOn w:val="CommentTextChar"/>
    <w:link w:val="CommentSubject"/>
    <w:uiPriority w:val="99"/>
    <w:semiHidden/>
    <w:rsid w:val="00B52C8A"/>
    <w:rPr>
      <w:rFonts w:ascii="Times New Roman" w:eastAsia="Times New Roman" w:hAnsi="Times New Roman" w:cs="Times New Roman"/>
      <w:b/>
      <w:bCs/>
      <w:sz w:val="20"/>
      <w:szCs w:val="20"/>
      <w:lang w:val="en-US" w:eastAsia="x-none"/>
    </w:rPr>
  </w:style>
  <w:style w:type="paragraph" w:customStyle="1" w:styleId="Default">
    <w:name w:val="Default"/>
    <w:rsid w:val="00B52C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9F042C"/>
    <w:rPr>
      <w:color w:val="800080" w:themeColor="followedHyperlink"/>
      <w:u w:val="single"/>
    </w:rPr>
  </w:style>
  <w:style w:type="table" w:styleId="TableGrid">
    <w:name w:val="Table Grid"/>
    <w:basedOn w:val="TableNormal"/>
    <w:uiPriority w:val="59"/>
    <w:rsid w:val="0034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69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124056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https://www.irba.co.za/guidance-for-ras/technical-guidance-for-ras/ethics:-the-rules-and-the-code/noc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ba.co.za/guidance-for-ras/technical-guidance-for-ras/ethics:-the-rules-and-the-code/nocl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605D-415F-4E7F-83C0-3A8C587A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2017-09-05T11:27:00Z</cp:lastPrinted>
  <dcterms:created xsi:type="dcterms:W3CDTF">2017-10-17T14:49:00Z</dcterms:created>
  <dcterms:modified xsi:type="dcterms:W3CDTF">2017-10-17T14:53:00Z</dcterms:modified>
</cp:coreProperties>
</file>