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36"/>
      </w:tblGrid>
      <w:tr w:rsidR="00515AB7" w:rsidTr="00515AB7">
        <w:tc>
          <w:tcPr>
            <w:tcW w:w="9736" w:type="dxa"/>
            <w:tcBorders>
              <w:top w:val="single" w:sz="4" w:space="0" w:color="auto"/>
              <w:left w:val="nil"/>
              <w:bottom w:val="single" w:sz="4" w:space="0" w:color="auto"/>
              <w:right w:val="nil"/>
            </w:tcBorders>
          </w:tcPr>
          <w:p w:rsidR="00515AB7" w:rsidRPr="00F76271" w:rsidRDefault="00515AB7" w:rsidP="00515AB7">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515AB7" w:rsidRDefault="00515AB7" w:rsidP="00515AB7">
            <w:pPr>
              <w:jc w:val="center"/>
              <w:rPr>
                <w:rFonts w:ascii="Arial" w:hAnsi="Arial" w:cs="Arial"/>
                <w:b/>
                <w:bCs/>
                <w:color w:val="000000"/>
                <w:lang w:val="en-GB"/>
              </w:rPr>
            </w:pPr>
            <w:r w:rsidRPr="00F76271">
              <w:rPr>
                <w:rFonts w:ascii="Arial" w:hAnsi="Arial" w:cs="Arial"/>
                <w:b/>
                <w:bCs/>
                <w:color w:val="000000"/>
                <w:lang w:val="en-GB"/>
              </w:rPr>
              <w:t>COMMITTEE FOR AUDITING STANDARDS</w:t>
            </w:r>
          </w:p>
          <w:p w:rsidR="00515AB7" w:rsidRDefault="00515AB7" w:rsidP="00515AB7">
            <w:pPr>
              <w:jc w:val="center"/>
              <w:rPr>
                <w:rFonts w:ascii="Arial" w:hAnsi="Arial" w:cs="Arial"/>
              </w:rPr>
            </w:pPr>
          </w:p>
        </w:tc>
      </w:tr>
    </w:tbl>
    <w:p w:rsidR="00981C35" w:rsidRPr="00F76271" w:rsidRDefault="00981C35">
      <w:pPr>
        <w:rPr>
          <w:rFonts w:ascii="Arial" w:hAnsi="Arial" w:cs="Arial"/>
        </w:rPr>
      </w:pPr>
    </w:p>
    <w:tbl>
      <w:tblPr>
        <w:tblStyle w:val="TableGrid"/>
        <w:tblW w:w="0" w:type="auto"/>
        <w:tblLook w:val="04A0" w:firstRow="1" w:lastRow="0" w:firstColumn="1" w:lastColumn="0" w:noHBand="0" w:noVBand="1"/>
      </w:tblPr>
      <w:tblGrid>
        <w:gridCol w:w="9736"/>
      </w:tblGrid>
      <w:tr w:rsidR="00515AB7" w:rsidTr="00515AB7">
        <w:tc>
          <w:tcPr>
            <w:tcW w:w="9736" w:type="dxa"/>
            <w:tcBorders>
              <w:top w:val="nil"/>
              <w:left w:val="nil"/>
              <w:bottom w:val="nil"/>
              <w:right w:val="nil"/>
            </w:tcBorders>
          </w:tcPr>
          <w:p w:rsidR="00515AB7" w:rsidRDefault="00515AB7" w:rsidP="00515AB7">
            <w:pPr>
              <w:spacing w:after="120"/>
              <w:jc w:val="center"/>
              <w:rPr>
                <w:rFonts w:ascii="Arial" w:hAnsi="Arial" w:cs="Arial"/>
                <w:b/>
                <w:sz w:val="22"/>
                <w:szCs w:val="22"/>
              </w:rPr>
            </w:pPr>
            <w:r>
              <w:rPr>
                <w:rFonts w:ascii="Arial" w:hAnsi="Arial" w:cs="Arial"/>
                <w:b/>
                <w:sz w:val="22"/>
                <w:szCs w:val="22"/>
              </w:rPr>
              <w:t>Guide for Registered Auditors</w:t>
            </w:r>
          </w:p>
          <w:p w:rsidR="00515AB7" w:rsidRPr="00A20911" w:rsidRDefault="00515AB7" w:rsidP="00515AB7">
            <w:pPr>
              <w:spacing w:after="120"/>
              <w:jc w:val="center"/>
              <w:rPr>
                <w:rFonts w:ascii="Arial" w:hAnsi="Arial" w:cs="Arial"/>
                <w:b/>
                <w:bCs/>
                <w:i/>
                <w:color w:val="000000"/>
                <w:sz w:val="22"/>
                <w:szCs w:val="22"/>
              </w:rPr>
            </w:pPr>
            <w:r w:rsidRPr="00A20911">
              <w:rPr>
                <w:rFonts w:ascii="Arial" w:hAnsi="Arial" w:cs="Arial"/>
                <w:b/>
                <w:i/>
                <w:sz w:val="22"/>
                <w:szCs w:val="22"/>
              </w:rPr>
              <w:t>Reporting Responsibilities of the Reporting Accountant Relating to Property Entities in terms of the JSE Listings Requirements</w:t>
            </w:r>
          </w:p>
          <w:p w:rsidR="00515AB7" w:rsidRPr="00F76271" w:rsidRDefault="00515AB7" w:rsidP="00515AB7">
            <w:pPr>
              <w:spacing w:before="120" w:after="120"/>
              <w:jc w:val="center"/>
              <w:rPr>
                <w:rFonts w:ascii="Arial" w:hAnsi="Arial" w:cs="Arial"/>
                <w:sz w:val="22"/>
                <w:szCs w:val="22"/>
                <w:lang w:val="en-GB"/>
              </w:rPr>
            </w:pPr>
            <w:r>
              <w:rPr>
                <w:rFonts w:ascii="Arial" w:hAnsi="Arial" w:cs="Arial"/>
                <w:sz w:val="22"/>
                <w:szCs w:val="22"/>
                <w:lang w:val="en-GB"/>
              </w:rPr>
              <w:t>Johannesburg / 22 February</w:t>
            </w:r>
            <w:r w:rsidRPr="00F76271">
              <w:rPr>
                <w:rFonts w:ascii="Arial" w:hAnsi="Arial" w:cs="Arial"/>
                <w:sz w:val="22"/>
                <w:szCs w:val="22"/>
                <w:lang w:val="en-GB"/>
              </w:rPr>
              <w:t xml:space="preserve"> </w:t>
            </w:r>
            <w:r>
              <w:rPr>
                <w:rFonts w:ascii="Arial" w:hAnsi="Arial" w:cs="Arial"/>
                <w:sz w:val="22"/>
                <w:szCs w:val="22"/>
                <w:lang w:val="en-GB"/>
              </w:rPr>
              <w:t>2016</w:t>
            </w:r>
          </w:p>
          <w:p w:rsidR="00515AB7" w:rsidRPr="00F76271" w:rsidRDefault="00515AB7" w:rsidP="00515AB7">
            <w:pPr>
              <w:spacing w:before="120" w:after="120"/>
              <w:jc w:val="center"/>
              <w:rPr>
                <w:rFonts w:ascii="Arial" w:hAnsi="Arial" w:cs="Arial"/>
                <w:sz w:val="22"/>
                <w:szCs w:val="22"/>
                <w:lang w:val="en-GB"/>
              </w:rPr>
            </w:pPr>
          </w:p>
          <w:p w:rsidR="00515AB7" w:rsidRPr="00893CE7" w:rsidRDefault="00515AB7" w:rsidP="00515AB7">
            <w:pPr>
              <w:spacing w:after="120"/>
              <w:jc w:val="both"/>
              <w:rPr>
                <w:rFonts w:ascii="Arial" w:hAnsi="Arial" w:cs="Arial"/>
                <w:sz w:val="22"/>
                <w:szCs w:val="22"/>
                <w:lang w:val="en-ZA"/>
              </w:rPr>
            </w:pPr>
            <w:r>
              <w:rPr>
                <w:rFonts w:ascii="Arial" w:hAnsi="Arial" w:cs="Arial"/>
                <w:sz w:val="22"/>
                <w:szCs w:val="22"/>
              </w:rPr>
              <w:t xml:space="preserve">The </w:t>
            </w:r>
            <w:r w:rsidRPr="0091630E">
              <w:rPr>
                <w:rFonts w:ascii="Arial" w:hAnsi="Arial" w:cs="Arial"/>
                <w:sz w:val="22"/>
                <w:szCs w:val="22"/>
              </w:rPr>
              <w:t>Independent Regulatory Board for Auditors</w:t>
            </w:r>
            <w:r>
              <w:rPr>
                <w:rFonts w:ascii="Arial" w:hAnsi="Arial" w:cs="Arial"/>
                <w:sz w:val="22"/>
                <w:szCs w:val="22"/>
              </w:rPr>
              <w:t>ˈ</w:t>
            </w:r>
            <w:r w:rsidRPr="0091630E">
              <w:rPr>
                <w:rFonts w:ascii="Arial" w:hAnsi="Arial" w:cs="Arial"/>
                <w:sz w:val="22"/>
                <w:szCs w:val="22"/>
              </w:rPr>
              <w:t xml:space="preserve"> (IRBA) Committee for Auditing Standards (CFAS)</w:t>
            </w:r>
            <w:r w:rsidRPr="00893CE7">
              <w:rPr>
                <w:rFonts w:ascii="Arial" w:hAnsi="Arial" w:cs="Arial"/>
                <w:sz w:val="22"/>
                <w:szCs w:val="22"/>
              </w:rPr>
              <w:t xml:space="preserve"> approved the issue of the </w:t>
            </w:r>
            <w:r w:rsidRPr="00893CE7">
              <w:rPr>
                <w:rFonts w:ascii="Arial" w:hAnsi="Arial" w:cs="Arial"/>
                <w:i/>
                <w:sz w:val="22"/>
                <w:szCs w:val="22"/>
              </w:rPr>
              <w:t>Guide for Registered Auditors: Reporting Responsibilities of the Reporting Accountant Related to Property Entities in Terms of the JSE Listings Requirements</w:t>
            </w:r>
            <w:r w:rsidRPr="00893CE7">
              <w:rPr>
                <w:rFonts w:ascii="Arial" w:hAnsi="Arial" w:cs="Arial"/>
                <w:sz w:val="22"/>
                <w:szCs w:val="22"/>
              </w:rPr>
              <w:t xml:space="preserve"> in November 2015.</w:t>
            </w:r>
            <w:r>
              <w:rPr>
                <w:rFonts w:ascii="Arial" w:hAnsi="Arial" w:cs="Arial"/>
                <w:sz w:val="22"/>
                <w:szCs w:val="22"/>
              </w:rPr>
              <w:t xml:space="preserve"> </w:t>
            </w:r>
          </w:p>
          <w:p w:rsidR="00515AB7" w:rsidRPr="00893CE7" w:rsidRDefault="00515AB7" w:rsidP="00515AB7">
            <w:pPr>
              <w:autoSpaceDE w:val="0"/>
              <w:autoSpaceDN w:val="0"/>
              <w:adjustRightInd w:val="0"/>
              <w:spacing w:after="120"/>
              <w:jc w:val="both"/>
              <w:rPr>
                <w:rFonts w:ascii="Arial" w:hAnsi="Arial" w:cs="Arial"/>
                <w:color w:val="000000"/>
                <w:sz w:val="22"/>
                <w:szCs w:val="22"/>
              </w:rPr>
            </w:pPr>
            <w:r w:rsidRPr="00893CE7">
              <w:rPr>
                <w:rFonts w:ascii="Arial" w:hAnsi="Arial" w:cs="Arial"/>
                <w:sz w:val="22"/>
                <w:szCs w:val="22"/>
              </w:rPr>
              <w:t>The Guide provides guidance to JSE-accredited reporting accountants of JSE-listed entities that report on property</w:t>
            </w:r>
            <w:r>
              <w:rPr>
                <w:rFonts w:ascii="Arial" w:hAnsi="Arial" w:cs="Arial"/>
                <w:sz w:val="22"/>
                <w:szCs w:val="22"/>
              </w:rPr>
              <w:t>-</w:t>
            </w:r>
            <w:r w:rsidRPr="00893CE7">
              <w:rPr>
                <w:rFonts w:ascii="Arial" w:hAnsi="Arial" w:cs="Arial"/>
                <w:sz w:val="22"/>
                <w:szCs w:val="22"/>
              </w:rPr>
              <w:t>related transactions, in accordance with the JSE Limited Listings Requirements (</w:t>
            </w:r>
            <w:r>
              <w:rPr>
                <w:rFonts w:ascii="Arial" w:hAnsi="Arial" w:cs="Arial"/>
                <w:sz w:val="22"/>
                <w:szCs w:val="22"/>
              </w:rPr>
              <w:t>LR</w:t>
            </w:r>
            <w:r w:rsidRPr="00893CE7">
              <w:rPr>
                <w:rFonts w:ascii="Arial" w:hAnsi="Arial" w:cs="Arial"/>
                <w:sz w:val="22"/>
                <w:szCs w:val="22"/>
              </w:rPr>
              <w:t xml:space="preserve">). </w:t>
            </w:r>
            <w:r>
              <w:rPr>
                <w:rFonts w:ascii="Arial" w:hAnsi="Arial" w:cs="Arial"/>
                <w:sz w:val="22"/>
                <w:szCs w:val="22"/>
              </w:rPr>
              <w:t xml:space="preserve">Its </w:t>
            </w:r>
            <w:r w:rsidRPr="00893CE7">
              <w:rPr>
                <w:rFonts w:ascii="Arial" w:hAnsi="Arial" w:cs="Arial"/>
                <w:sz w:val="22"/>
                <w:szCs w:val="22"/>
              </w:rPr>
              <w:t>purpose is to provide guidance to a JSE-accredited reporting accountant in the implementation of:</w:t>
            </w:r>
          </w:p>
          <w:p w:rsidR="00515AB7" w:rsidRPr="00893CE7" w:rsidRDefault="00515AB7" w:rsidP="00515AB7">
            <w:pPr>
              <w:pStyle w:val="ListParagraph"/>
              <w:numPr>
                <w:ilvl w:val="0"/>
                <w:numId w:val="4"/>
              </w:numPr>
              <w:spacing w:line="240" w:lineRule="auto"/>
              <w:ind w:left="567" w:hanging="425"/>
              <w:rPr>
                <w:rFonts w:cs="Arial"/>
                <w:color w:val="000000"/>
                <w:szCs w:val="22"/>
              </w:rPr>
            </w:pPr>
            <w:r w:rsidRPr="00893CE7">
              <w:rPr>
                <w:rFonts w:cs="Arial"/>
                <w:szCs w:val="22"/>
              </w:rPr>
              <w:t xml:space="preserve">The International Standard on Assurance Engagements (ISAE) 3400, </w:t>
            </w:r>
            <w:r w:rsidRPr="00893CE7">
              <w:rPr>
                <w:rFonts w:cs="Arial"/>
                <w:i/>
                <w:szCs w:val="22"/>
              </w:rPr>
              <w:t>The Examination of Prospective Financial Information</w:t>
            </w:r>
            <w:r w:rsidRPr="00893CE7">
              <w:rPr>
                <w:rFonts w:cs="Arial"/>
                <w:szCs w:val="22"/>
              </w:rPr>
              <w:t>, when engaged to report on an entity</w:t>
            </w:r>
            <w:r>
              <w:rPr>
                <w:rFonts w:cs="Arial"/>
                <w:szCs w:val="22"/>
              </w:rPr>
              <w:t>ˈ</w:t>
            </w:r>
            <w:bookmarkStart w:id="0" w:name="_GoBack"/>
            <w:bookmarkEnd w:id="0"/>
            <w:r w:rsidRPr="00893CE7">
              <w:rPr>
                <w:rFonts w:cs="Arial"/>
                <w:szCs w:val="22"/>
              </w:rPr>
              <w:t>s forecast statement of profit or loss and other comprehensive income as well as the vacancy and lease expiry profile of the property portfolio as a whole (forecast information). This information is prepared in terms of paragraphs 13.12-13.14 and 13.18(d) and (e) of the LR and reported on in terms of paragraph 13.15 of the LR; and/or</w:t>
            </w:r>
          </w:p>
          <w:p w:rsidR="00515AB7" w:rsidRPr="008A56E9" w:rsidRDefault="00515AB7" w:rsidP="00515AB7">
            <w:pPr>
              <w:pStyle w:val="ListParagraph"/>
              <w:numPr>
                <w:ilvl w:val="0"/>
                <w:numId w:val="4"/>
              </w:numPr>
              <w:spacing w:line="240" w:lineRule="auto"/>
              <w:ind w:left="567" w:hanging="425"/>
              <w:rPr>
                <w:rFonts w:cs="Arial"/>
                <w:szCs w:val="22"/>
              </w:rPr>
            </w:pPr>
            <w:r>
              <w:rPr>
                <w:rFonts w:cs="Arial"/>
                <w:szCs w:val="22"/>
              </w:rPr>
              <w:t xml:space="preserve">The </w:t>
            </w:r>
            <w:r w:rsidRPr="00893CE7">
              <w:rPr>
                <w:rFonts w:cs="Arial"/>
                <w:szCs w:val="22"/>
              </w:rPr>
              <w:t xml:space="preserve">International Standard on Review Engagements (ISRE) 2400 (Revised), </w:t>
            </w:r>
            <w:r w:rsidRPr="00893CE7">
              <w:rPr>
                <w:rFonts w:cs="Arial"/>
                <w:i/>
                <w:szCs w:val="22"/>
              </w:rPr>
              <w:t>Engagements to Review Historical Financial Statements</w:t>
            </w:r>
            <w:r w:rsidRPr="00893CE7">
              <w:rPr>
                <w:rFonts w:cs="Arial"/>
                <w:szCs w:val="22"/>
              </w:rPr>
              <w:t>,</w:t>
            </w:r>
            <w:r w:rsidRPr="00893CE7">
              <w:rPr>
                <w:rFonts w:cs="Arial"/>
                <w:i/>
                <w:szCs w:val="22"/>
              </w:rPr>
              <w:t xml:space="preserve"> </w:t>
            </w:r>
            <w:r w:rsidRPr="00893CE7">
              <w:rPr>
                <w:rFonts w:cs="Arial"/>
                <w:szCs w:val="22"/>
              </w:rPr>
              <w:t xml:space="preserve">or </w:t>
            </w:r>
            <w:r>
              <w:rPr>
                <w:rFonts w:cs="Arial"/>
                <w:szCs w:val="22"/>
              </w:rPr>
              <w:t xml:space="preserve">the </w:t>
            </w:r>
            <w:r w:rsidRPr="00893CE7">
              <w:rPr>
                <w:rFonts w:cs="Arial"/>
                <w:szCs w:val="22"/>
              </w:rPr>
              <w:t xml:space="preserve">ISRE 2410, </w:t>
            </w:r>
            <w:r w:rsidRPr="00893CE7">
              <w:rPr>
                <w:rFonts w:cs="Arial"/>
                <w:i/>
                <w:iCs/>
                <w:szCs w:val="22"/>
                <w:lang w:val="en-US"/>
              </w:rPr>
              <w:t>Review of Interim Financial Information Performed by the Independent Auditor of the Entity</w:t>
            </w:r>
            <w:r w:rsidRPr="00893CE7">
              <w:rPr>
                <w:rFonts w:cs="Arial"/>
                <w:iCs/>
                <w:szCs w:val="22"/>
                <w:lang w:val="en-US"/>
              </w:rPr>
              <w:t>,</w:t>
            </w:r>
            <w:r w:rsidRPr="00893CE7">
              <w:rPr>
                <w:rFonts w:cs="Arial"/>
                <w:i/>
                <w:iCs/>
                <w:szCs w:val="22"/>
                <w:lang w:val="en-US"/>
              </w:rPr>
              <w:t xml:space="preserve"> </w:t>
            </w:r>
            <w:r w:rsidRPr="00893CE7">
              <w:rPr>
                <w:rFonts w:cs="Arial"/>
                <w:szCs w:val="22"/>
              </w:rPr>
              <w:t>when engaged to report on the assets and/or liabilities acquired by the applicant issuer in terms of the transaction reflected in the</w:t>
            </w:r>
            <w:r>
              <w:rPr>
                <w:rFonts w:cs="Arial"/>
                <w:szCs w:val="22"/>
              </w:rPr>
              <w:t xml:space="preserve"> adjustment column of an entityˈ</w:t>
            </w:r>
            <w:r w:rsidRPr="00893CE7">
              <w:rPr>
                <w:rFonts w:cs="Arial"/>
                <w:szCs w:val="22"/>
              </w:rPr>
              <w:t>s pro forma statement of financial position. This information is prepared in terms of paragraph 13.16 of the LR and reported on in terms of paragraph 13.16(e) of the LR.</w:t>
            </w:r>
          </w:p>
          <w:p w:rsidR="00515AB7" w:rsidRPr="00DB0362" w:rsidRDefault="00515AB7" w:rsidP="00515AB7">
            <w:pPr>
              <w:pStyle w:val="NormalWeb"/>
              <w:spacing w:before="0" w:beforeAutospacing="0" w:after="120" w:afterAutospacing="0"/>
              <w:jc w:val="both"/>
              <w:rPr>
                <w:rFonts w:ascii="Arial" w:hAnsi="Arial" w:cs="Arial"/>
                <w:b/>
                <w:sz w:val="22"/>
                <w:szCs w:val="22"/>
              </w:rPr>
            </w:pPr>
            <w:r w:rsidRPr="00DB0362">
              <w:rPr>
                <w:rFonts w:ascii="Arial" w:hAnsi="Arial" w:cs="Arial"/>
                <w:b/>
                <w:sz w:val="22"/>
                <w:szCs w:val="22"/>
              </w:rPr>
              <w:t>JSE Limited Listings Requirements</w:t>
            </w:r>
          </w:p>
          <w:p w:rsidR="00515AB7" w:rsidRPr="00DB0362" w:rsidRDefault="00515AB7" w:rsidP="00515AB7">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The resultant amendments to the LR were published in the Government Gazette No. 39711 on </w:t>
            </w:r>
            <w:r w:rsidRPr="00531709">
              <w:rPr>
                <w:rFonts w:ascii="Arial" w:hAnsi="Arial" w:cs="Arial"/>
                <w:sz w:val="22"/>
                <w:szCs w:val="22"/>
              </w:rPr>
              <w:t>19 February 2016</w:t>
            </w:r>
            <w:r>
              <w:rPr>
                <w:rFonts w:ascii="Arial" w:hAnsi="Arial" w:cs="Arial"/>
                <w:sz w:val="22"/>
                <w:szCs w:val="22"/>
              </w:rPr>
              <w:t xml:space="preserve"> and the amendments come into operation on 21 March 2016.</w:t>
            </w:r>
          </w:p>
          <w:p w:rsidR="00515AB7" w:rsidRPr="00893CE7" w:rsidRDefault="00515AB7" w:rsidP="00515AB7">
            <w:pPr>
              <w:pStyle w:val="NormalWeb"/>
              <w:spacing w:before="0" w:beforeAutospacing="0" w:after="120" w:afterAutospacing="0"/>
              <w:jc w:val="both"/>
              <w:rPr>
                <w:rFonts w:ascii="Arial" w:hAnsi="Arial" w:cs="Arial"/>
                <w:b/>
                <w:sz w:val="22"/>
                <w:szCs w:val="22"/>
              </w:rPr>
            </w:pPr>
            <w:r>
              <w:rPr>
                <w:rFonts w:ascii="Arial" w:hAnsi="Arial" w:cs="Arial"/>
                <w:b/>
                <w:sz w:val="22"/>
                <w:szCs w:val="22"/>
              </w:rPr>
              <w:t>E</w:t>
            </w:r>
            <w:r w:rsidRPr="00893CE7">
              <w:rPr>
                <w:rFonts w:ascii="Arial" w:hAnsi="Arial" w:cs="Arial"/>
                <w:b/>
                <w:sz w:val="22"/>
                <w:szCs w:val="22"/>
              </w:rPr>
              <w:t>ffective date</w:t>
            </w:r>
          </w:p>
          <w:p w:rsidR="00515AB7" w:rsidRPr="00490B25" w:rsidRDefault="00515AB7" w:rsidP="00515AB7">
            <w:pPr>
              <w:pStyle w:val="NormalWeb"/>
              <w:spacing w:before="0" w:beforeAutospacing="0" w:after="120" w:afterAutospacing="0"/>
              <w:jc w:val="both"/>
              <w:rPr>
                <w:rFonts w:ascii="Arial" w:hAnsi="Arial" w:cs="Arial"/>
                <w:sz w:val="22"/>
                <w:szCs w:val="22"/>
              </w:rPr>
            </w:pPr>
            <w:r w:rsidRPr="00490B25">
              <w:rPr>
                <w:rFonts w:ascii="Arial" w:hAnsi="Arial" w:cs="Arial"/>
                <w:sz w:val="22"/>
                <w:szCs w:val="22"/>
              </w:rPr>
              <w:t>Th</w:t>
            </w:r>
            <w:r>
              <w:rPr>
                <w:rFonts w:ascii="Arial" w:hAnsi="Arial" w:cs="Arial"/>
                <w:sz w:val="22"/>
                <w:szCs w:val="22"/>
              </w:rPr>
              <w:t>e</w:t>
            </w:r>
            <w:r w:rsidRPr="00490B25">
              <w:rPr>
                <w:rFonts w:ascii="Arial" w:hAnsi="Arial" w:cs="Arial"/>
                <w:sz w:val="22"/>
                <w:szCs w:val="22"/>
              </w:rPr>
              <w:t xml:space="preserve"> Guide is effective for engagements commencing on or after 1 </w:t>
            </w:r>
            <w:r>
              <w:rPr>
                <w:rFonts w:ascii="Arial" w:hAnsi="Arial" w:cs="Arial"/>
                <w:sz w:val="22"/>
                <w:szCs w:val="22"/>
              </w:rPr>
              <w:t>March</w:t>
            </w:r>
            <w:r w:rsidRPr="00490B25">
              <w:rPr>
                <w:rFonts w:ascii="Arial" w:hAnsi="Arial" w:cs="Arial"/>
                <w:sz w:val="22"/>
                <w:szCs w:val="22"/>
              </w:rPr>
              <w:t xml:space="preserve"> 2016.</w:t>
            </w:r>
          </w:p>
          <w:p w:rsidR="00515AB7" w:rsidRPr="00893CE7" w:rsidRDefault="00515AB7" w:rsidP="00515AB7">
            <w:pPr>
              <w:pStyle w:val="NormalWeb"/>
              <w:spacing w:before="0" w:beforeAutospacing="0" w:after="120" w:afterAutospacing="0"/>
              <w:jc w:val="both"/>
              <w:rPr>
                <w:rFonts w:ascii="Arial" w:hAnsi="Arial" w:cs="Arial"/>
                <w:sz w:val="22"/>
                <w:szCs w:val="22"/>
              </w:rPr>
            </w:pPr>
          </w:p>
          <w:p w:rsidR="00515AB7" w:rsidRPr="00893CE7" w:rsidRDefault="00515AB7" w:rsidP="00515AB7">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It </w:t>
            </w:r>
            <w:r w:rsidRPr="00893CE7">
              <w:rPr>
                <w:rFonts w:ascii="Arial" w:hAnsi="Arial" w:cs="Arial"/>
                <w:sz w:val="22"/>
                <w:szCs w:val="22"/>
              </w:rPr>
              <w:t xml:space="preserve">is available in both PDF and Word formats and may be downloaded from the IRBA website at </w:t>
            </w:r>
            <w:hyperlink r:id="rId7" w:history="1">
              <w:r w:rsidRPr="00893CE7">
                <w:rPr>
                  <w:rStyle w:val="Hyperlink"/>
                  <w:rFonts w:ascii="Arial" w:hAnsi="Arial" w:cs="Arial"/>
                  <w:sz w:val="22"/>
                  <w:szCs w:val="22"/>
                </w:rPr>
                <w:t>www.irba.co.za</w:t>
              </w:r>
            </w:hyperlink>
            <w:r w:rsidRPr="00893CE7">
              <w:rPr>
                <w:rFonts w:ascii="Arial" w:hAnsi="Arial" w:cs="Arial"/>
                <w:sz w:val="22"/>
                <w:szCs w:val="22"/>
              </w:rPr>
              <w:t>. Should you have any further queries</w:t>
            </w:r>
            <w:r>
              <w:rPr>
                <w:rFonts w:ascii="Arial" w:hAnsi="Arial" w:cs="Arial"/>
                <w:sz w:val="22"/>
                <w:szCs w:val="22"/>
              </w:rPr>
              <w:t>,</w:t>
            </w:r>
            <w:r w:rsidRPr="00893CE7">
              <w:rPr>
                <w:rFonts w:ascii="Arial" w:hAnsi="Arial" w:cs="Arial"/>
                <w:sz w:val="22"/>
                <w:szCs w:val="22"/>
              </w:rPr>
              <w:t xml:space="preserve"> please do not hesitate to contact the Standards Department by email</w:t>
            </w:r>
            <w:r>
              <w:rPr>
                <w:rFonts w:ascii="Arial" w:hAnsi="Arial" w:cs="Arial"/>
                <w:sz w:val="22"/>
                <w:szCs w:val="22"/>
              </w:rPr>
              <w:t xml:space="preserve"> at</w:t>
            </w:r>
            <w:r w:rsidRPr="00893CE7">
              <w:rPr>
                <w:rFonts w:ascii="Arial" w:hAnsi="Arial" w:cs="Arial"/>
                <w:sz w:val="22"/>
                <w:szCs w:val="22"/>
              </w:rPr>
              <w:t xml:space="preserve"> </w:t>
            </w:r>
            <w:hyperlink r:id="rId8" w:history="1">
              <w:r w:rsidRPr="00893CE7">
                <w:rPr>
                  <w:rFonts w:ascii="Arial" w:hAnsi="Arial" w:cs="Arial"/>
                  <w:color w:val="3300CC"/>
                  <w:sz w:val="22"/>
                  <w:szCs w:val="22"/>
                  <w:u w:val="single"/>
                </w:rPr>
                <w:t>standards@irba.co.za</w:t>
              </w:r>
            </w:hyperlink>
            <w:r w:rsidRPr="00893CE7">
              <w:rPr>
                <w:rFonts w:ascii="Arial" w:hAnsi="Arial" w:cs="Arial"/>
                <w:sz w:val="22"/>
                <w:szCs w:val="22"/>
              </w:rPr>
              <w:t>.</w:t>
            </w:r>
          </w:p>
          <w:p w:rsidR="00515AB7" w:rsidRPr="00893CE7" w:rsidRDefault="00515AB7" w:rsidP="00515AB7">
            <w:pPr>
              <w:spacing w:after="120"/>
              <w:jc w:val="both"/>
              <w:textAlignment w:val="top"/>
              <w:rPr>
                <w:rFonts w:ascii="Arial" w:hAnsi="Arial" w:cs="Arial"/>
                <w:b/>
                <w:sz w:val="22"/>
                <w:szCs w:val="22"/>
                <w:lang w:val="en-GB"/>
              </w:rPr>
            </w:pPr>
          </w:p>
          <w:p w:rsidR="00515AB7" w:rsidRPr="00F76271" w:rsidRDefault="00515AB7" w:rsidP="00515AB7">
            <w:pPr>
              <w:jc w:val="both"/>
              <w:textAlignment w:val="top"/>
              <w:rPr>
                <w:rFonts w:ascii="Arial" w:hAnsi="Arial" w:cs="Arial"/>
                <w:b/>
                <w:sz w:val="22"/>
                <w:szCs w:val="22"/>
                <w:lang w:val="en-GB"/>
              </w:rPr>
            </w:pPr>
          </w:p>
          <w:p w:rsidR="00515AB7" w:rsidRDefault="00515AB7" w:rsidP="00515AB7">
            <w:pPr>
              <w:jc w:val="both"/>
              <w:textAlignment w:val="top"/>
              <w:rPr>
                <w:rFonts w:ascii="Arial" w:hAnsi="Arial" w:cs="Arial"/>
                <w:b/>
                <w:sz w:val="22"/>
                <w:szCs w:val="22"/>
                <w:lang w:val="en-GB"/>
              </w:rPr>
            </w:pPr>
          </w:p>
          <w:p w:rsidR="00515AB7" w:rsidRPr="00F76271" w:rsidRDefault="00515AB7" w:rsidP="00515AB7">
            <w:pPr>
              <w:jc w:val="both"/>
              <w:textAlignment w:val="top"/>
              <w:rPr>
                <w:rFonts w:ascii="Arial" w:hAnsi="Arial" w:cs="Arial"/>
                <w:b/>
                <w:sz w:val="22"/>
                <w:szCs w:val="22"/>
                <w:lang w:val="en-GB"/>
              </w:rPr>
            </w:pPr>
          </w:p>
          <w:p w:rsidR="00515AB7" w:rsidRPr="00F76271" w:rsidRDefault="00515AB7" w:rsidP="00515AB7">
            <w:pPr>
              <w:jc w:val="both"/>
              <w:textAlignment w:val="top"/>
              <w:rPr>
                <w:rFonts w:ascii="Arial" w:hAnsi="Arial" w:cs="Arial"/>
                <w:b/>
                <w:sz w:val="22"/>
                <w:szCs w:val="22"/>
                <w:lang w:val="en-GB"/>
              </w:rPr>
            </w:pPr>
          </w:p>
          <w:p w:rsidR="00515AB7" w:rsidRPr="00F76271" w:rsidRDefault="00515AB7" w:rsidP="00515AB7">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515AB7" w:rsidRPr="00F76271" w:rsidRDefault="00515AB7" w:rsidP="00515AB7">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515AB7" w:rsidRPr="00F76271" w:rsidRDefault="00515AB7" w:rsidP="00515AB7">
            <w:pPr>
              <w:spacing w:after="120"/>
              <w:jc w:val="both"/>
              <w:rPr>
                <w:rFonts w:ascii="Arial" w:hAnsi="Arial" w:cs="Arial"/>
                <w:b/>
                <w:i/>
                <w:noProof/>
                <w:sz w:val="20"/>
                <w:szCs w:val="20"/>
                <w:lang w:val="en-GB"/>
              </w:rPr>
            </w:pPr>
          </w:p>
          <w:p w:rsidR="00515AB7" w:rsidRPr="003F3563" w:rsidRDefault="00515AB7" w:rsidP="00515AB7">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515AB7" w:rsidRPr="003F3563" w:rsidRDefault="00515AB7" w:rsidP="00515AB7">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515AB7" w:rsidRPr="003F3563" w:rsidRDefault="00515AB7" w:rsidP="00515AB7">
            <w:pPr>
              <w:spacing w:after="120"/>
              <w:jc w:val="both"/>
              <w:rPr>
                <w:rFonts w:ascii="Arial" w:hAnsi="Arial" w:cs="Arial"/>
                <w:sz w:val="20"/>
                <w:szCs w:val="20"/>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rsidR="00515AB7" w:rsidRDefault="00515AB7">
            <w:pPr>
              <w:rPr>
                <w:rFonts w:ascii="Arial" w:hAnsi="Arial" w:cs="Arial"/>
              </w:rPr>
            </w:pPr>
          </w:p>
        </w:tc>
      </w:tr>
    </w:tbl>
    <w:p w:rsidR="00F76271" w:rsidRPr="00F76271" w:rsidRDefault="00F76271">
      <w:pPr>
        <w:rPr>
          <w:rFonts w:ascii="Arial" w:hAnsi="Arial" w:cs="Arial"/>
        </w:rPr>
      </w:pPr>
    </w:p>
    <w:p w:rsidR="00F76271" w:rsidRPr="00F76271" w:rsidRDefault="00F76271">
      <w:pPr>
        <w:rPr>
          <w:rFonts w:ascii="Arial" w:hAnsi="Arial" w:cs="Arial"/>
        </w:rPr>
      </w:pPr>
    </w:p>
    <w:sectPr w:rsidR="00F76271" w:rsidRPr="00F76271" w:rsidSect="00D9728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E32" w:rsidRDefault="00DA6E32" w:rsidP="00893CE7">
      <w:r>
        <w:separator/>
      </w:r>
    </w:p>
  </w:endnote>
  <w:endnote w:type="continuationSeparator" w:id="0">
    <w:p w:rsidR="00DA6E32" w:rsidRDefault="00DA6E32" w:rsidP="0089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E32" w:rsidRDefault="00DA6E32" w:rsidP="00893CE7">
      <w:r>
        <w:separator/>
      </w:r>
    </w:p>
  </w:footnote>
  <w:footnote w:type="continuationSeparator" w:id="0">
    <w:p w:rsidR="00DA6E32" w:rsidRDefault="00DA6E32" w:rsidP="00893C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1ECD608A"/>
    <w:multiLevelType w:val="multilevel"/>
    <w:tmpl w:val="7BF049D8"/>
    <w:lvl w:ilvl="0">
      <w:start w:val="1"/>
      <w:numFmt w:val="decimal"/>
      <w:lvlText w:val="%1."/>
      <w:lvlJc w:val="left"/>
      <w:pPr>
        <w:ind w:left="567" w:hanging="567"/>
      </w:pPr>
      <w:rPr>
        <w:rFonts w:ascii="Arial" w:hAnsi="Arial" w:hint="default"/>
        <w:b w:val="0"/>
        <w:i w:val="0"/>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70BE79D5"/>
    <w:multiLevelType w:val="hybridMultilevel"/>
    <w:tmpl w:val="8AF20636"/>
    <w:lvl w:ilvl="0" w:tplc="1C090001">
      <w:start w:val="1"/>
      <w:numFmt w:val="bullet"/>
      <w:lvlText w:val=""/>
      <w:lvlJc w:val="left"/>
      <w:pPr>
        <w:ind w:left="1287" w:hanging="360"/>
      </w:pPr>
      <w:rPr>
        <w:rFonts w:ascii="Symbol" w:hAnsi="Symbol" w:hint="default"/>
      </w:rPr>
    </w:lvl>
    <w:lvl w:ilvl="1" w:tplc="1C090003">
      <w:start w:val="1"/>
      <w:numFmt w:val="bullet"/>
      <w:lvlText w:val="o"/>
      <w:lvlJc w:val="left"/>
      <w:pPr>
        <w:ind w:left="2007" w:hanging="360"/>
      </w:pPr>
      <w:rPr>
        <w:rFonts w:ascii="Courier New" w:hAnsi="Courier New" w:cs="Courier New" w:hint="default"/>
      </w:rPr>
    </w:lvl>
    <w:lvl w:ilvl="2" w:tplc="1C090005" w:tentative="1">
      <w:start w:val="1"/>
      <w:numFmt w:val="bullet"/>
      <w:lvlText w:val=""/>
      <w:lvlJc w:val="left"/>
      <w:pPr>
        <w:ind w:left="2727" w:hanging="360"/>
      </w:pPr>
      <w:rPr>
        <w:rFonts w:ascii="Wingdings" w:hAnsi="Wingdings" w:hint="default"/>
      </w:rPr>
    </w:lvl>
    <w:lvl w:ilvl="3" w:tplc="1C090001" w:tentative="1">
      <w:start w:val="1"/>
      <w:numFmt w:val="bullet"/>
      <w:lvlText w:val=""/>
      <w:lvlJc w:val="left"/>
      <w:pPr>
        <w:ind w:left="3447" w:hanging="360"/>
      </w:pPr>
      <w:rPr>
        <w:rFonts w:ascii="Symbol" w:hAnsi="Symbol" w:hint="default"/>
      </w:rPr>
    </w:lvl>
    <w:lvl w:ilvl="4" w:tplc="1C090003" w:tentative="1">
      <w:start w:val="1"/>
      <w:numFmt w:val="bullet"/>
      <w:lvlText w:val="o"/>
      <w:lvlJc w:val="left"/>
      <w:pPr>
        <w:ind w:left="4167" w:hanging="360"/>
      </w:pPr>
      <w:rPr>
        <w:rFonts w:ascii="Courier New" w:hAnsi="Courier New" w:cs="Courier New" w:hint="default"/>
      </w:rPr>
    </w:lvl>
    <w:lvl w:ilvl="5" w:tplc="1C090005" w:tentative="1">
      <w:start w:val="1"/>
      <w:numFmt w:val="bullet"/>
      <w:lvlText w:val=""/>
      <w:lvlJc w:val="left"/>
      <w:pPr>
        <w:ind w:left="4887" w:hanging="360"/>
      </w:pPr>
      <w:rPr>
        <w:rFonts w:ascii="Wingdings" w:hAnsi="Wingdings" w:hint="default"/>
      </w:rPr>
    </w:lvl>
    <w:lvl w:ilvl="6" w:tplc="1C090001" w:tentative="1">
      <w:start w:val="1"/>
      <w:numFmt w:val="bullet"/>
      <w:lvlText w:val=""/>
      <w:lvlJc w:val="left"/>
      <w:pPr>
        <w:ind w:left="5607" w:hanging="360"/>
      </w:pPr>
      <w:rPr>
        <w:rFonts w:ascii="Symbol" w:hAnsi="Symbol" w:hint="default"/>
      </w:rPr>
    </w:lvl>
    <w:lvl w:ilvl="7" w:tplc="1C090003" w:tentative="1">
      <w:start w:val="1"/>
      <w:numFmt w:val="bullet"/>
      <w:lvlText w:val="o"/>
      <w:lvlJc w:val="left"/>
      <w:pPr>
        <w:ind w:left="6327" w:hanging="360"/>
      </w:pPr>
      <w:rPr>
        <w:rFonts w:ascii="Courier New" w:hAnsi="Courier New" w:cs="Courier New" w:hint="default"/>
      </w:rPr>
    </w:lvl>
    <w:lvl w:ilvl="8" w:tplc="1C09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7123B"/>
    <w:rsid w:val="0010065D"/>
    <w:rsid w:val="001C19D9"/>
    <w:rsid w:val="002105FE"/>
    <w:rsid w:val="00287884"/>
    <w:rsid w:val="00395307"/>
    <w:rsid w:val="003F3563"/>
    <w:rsid w:val="00431878"/>
    <w:rsid w:val="00490B25"/>
    <w:rsid w:val="00515AB7"/>
    <w:rsid w:val="00525D6D"/>
    <w:rsid w:val="00531709"/>
    <w:rsid w:val="006A2A11"/>
    <w:rsid w:val="007253B2"/>
    <w:rsid w:val="007625AA"/>
    <w:rsid w:val="00794A42"/>
    <w:rsid w:val="00794D54"/>
    <w:rsid w:val="007A1319"/>
    <w:rsid w:val="007D1DD1"/>
    <w:rsid w:val="00893CE7"/>
    <w:rsid w:val="008A56E9"/>
    <w:rsid w:val="009413CF"/>
    <w:rsid w:val="00981C35"/>
    <w:rsid w:val="00A20911"/>
    <w:rsid w:val="00A20C9B"/>
    <w:rsid w:val="00CA4F73"/>
    <w:rsid w:val="00D308A9"/>
    <w:rsid w:val="00D9728A"/>
    <w:rsid w:val="00DA6E32"/>
    <w:rsid w:val="00DB0362"/>
    <w:rsid w:val="00EA6362"/>
    <w:rsid w:val="00F474B6"/>
    <w:rsid w:val="00F76271"/>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A9FBA0-9C3E-41DA-B81C-14486C0FC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FollowedHyperlink">
    <w:name w:val="FollowedHyperlink"/>
    <w:basedOn w:val="DefaultParagraphFont"/>
    <w:uiPriority w:val="99"/>
    <w:semiHidden/>
    <w:unhideWhenUsed/>
    <w:rsid w:val="007253B2"/>
    <w:rPr>
      <w:color w:val="800080" w:themeColor="followedHyperlink"/>
      <w:u w:val="single"/>
    </w:rPr>
  </w:style>
  <w:style w:type="paragraph" w:styleId="ListParagraph">
    <w:name w:val="List Paragraph"/>
    <w:basedOn w:val="Normal"/>
    <w:link w:val="ListParagraphChar"/>
    <w:uiPriority w:val="34"/>
    <w:qFormat/>
    <w:rsid w:val="00893CE7"/>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893CE7"/>
    <w:rPr>
      <w:b/>
      <w:bCs/>
    </w:rPr>
  </w:style>
  <w:style w:type="character" w:styleId="Emphasis">
    <w:name w:val="Emphasis"/>
    <w:basedOn w:val="DefaultParagraphFont"/>
    <w:uiPriority w:val="20"/>
    <w:qFormat/>
    <w:rsid w:val="00893CE7"/>
    <w:rPr>
      <w:i/>
      <w:iCs/>
    </w:rPr>
  </w:style>
  <w:style w:type="character" w:customStyle="1" w:styleId="ListParagraphChar">
    <w:name w:val="List Paragraph Char"/>
    <w:basedOn w:val="DefaultParagraphFont"/>
    <w:link w:val="ListParagraph"/>
    <w:uiPriority w:val="34"/>
    <w:rsid w:val="00893CE7"/>
    <w:rPr>
      <w:rFonts w:eastAsia="Times New Roman" w:cs="Times New Roman"/>
      <w:szCs w:val="24"/>
      <w:lang w:eastAsia="en-ZA"/>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rsid w:val="00893CE7"/>
    <w:pPr>
      <w:spacing w:after="120"/>
      <w:jc w:val="both"/>
    </w:pPr>
    <w:rPr>
      <w:rFonts w:ascii="Arial" w:hAnsi="Arial"/>
      <w:sz w:val="22"/>
      <w:szCs w:val="20"/>
      <w:lang w:val="en-ZA"/>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893CE7"/>
    <w:rPr>
      <w:rFonts w:eastAsia="Times New Roman" w:cs="Times New Roman"/>
      <w:szCs w:val="20"/>
    </w:rPr>
  </w:style>
  <w:style w:type="character" w:styleId="FootnoteReference">
    <w:name w:val="footnote reference"/>
    <w:uiPriority w:val="99"/>
    <w:rsid w:val="00893CE7"/>
    <w:rPr>
      <w:vertAlign w:val="superscript"/>
    </w:rPr>
  </w:style>
  <w:style w:type="paragraph" w:styleId="BalloonText">
    <w:name w:val="Balloon Text"/>
    <w:basedOn w:val="Normal"/>
    <w:link w:val="BalloonTextChar"/>
    <w:uiPriority w:val="99"/>
    <w:semiHidden/>
    <w:unhideWhenUsed/>
    <w:rsid w:val="00EA6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62"/>
    <w:rPr>
      <w:rFonts w:ascii="Segoe UI" w:eastAsia="Times New Roman" w:hAnsi="Segoe UI" w:cs="Segoe UI"/>
      <w:sz w:val="18"/>
      <w:szCs w:val="18"/>
      <w:lang w:val="en-US"/>
    </w:rPr>
  </w:style>
  <w:style w:type="table" w:styleId="TableGrid">
    <w:name w:val="Table Grid"/>
    <w:basedOn w:val="TableNormal"/>
    <w:uiPriority w:val="59"/>
    <w:rsid w:val="00515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rba.co.za/index.php/auditing-standards-functions-55/92?task=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2828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cp:lastPrinted>2016-02-18T13:45:00Z</cp:lastPrinted>
  <dcterms:created xsi:type="dcterms:W3CDTF">2016-02-19T13:49:00Z</dcterms:created>
  <dcterms:modified xsi:type="dcterms:W3CDTF">2016-02-19T13:49:00Z</dcterms:modified>
</cp:coreProperties>
</file>