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88C" w:rsidRDefault="00AB088C" w:rsidP="00AB088C">
      <w:pPr>
        <w:rPr>
          <w:rFonts w:ascii="Arial" w:hAnsi="Arial" w:cs="Arial"/>
          <w:b/>
        </w:rPr>
      </w:pPr>
    </w:p>
    <w:p w:rsidR="00AB088C" w:rsidRDefault="00AB088C" w:rsidP="00AB088C">
      <w:pPr>
        <w:spacing w:after="0" w:line="240" w:lineRule="auto"/>
        <w:rPr>
          <w:rFonts w:ascii="Arial" w:hAnsi="Arial" w:cs="Arial"/>
          <w:b/>
        </w:rPr>
      </w:pPr>
    </w:p>
    <w:p w:rsidR="00AB088C" w:rsidRDefault="00AB088C" w:rsidP="00AB088C">
      <w:pPr>
        <w:spacing w:after="0" w:line="240" w:lineRule="auto"/>
        <w:rPr>
          <w:rFonts w:ascii="Arial" w:hAnsi="Arial" w:cs="Arial"/>
          <w:b/>
        </w:rPr>
      </w:pPr>
    </w:p>
    <w:p w:rsidR="00AB088C" w:rsidRDefault="00AB088C" w:rsidP="00AB088C">
      <w:pPr>
        <w:spacing w:after="0" w:line="240" w:lineRule="auto"/>
        <w:rPr>
          <w:rFonts w:ascii="Arial" w:hAnsi="Arial" w:cs="Arial"/>
          <w:b/>
        </w:rPr>
      </w:pPr>
    </w:p>
    <w:p w:rsidR="00AB088C" w:rsidRDefault="001417B6" w:rsidP="00AB088C">
      <w:pPr>
        <w:spacing w:after="0"/>
        <w:rPr>
          <w:rFonts w:ascii="Arial" w:hAnsi="Arial" w:cs="Arial"/>
        </w:rPr>
      </w:pPr>
      <w:r>
        <w:rPr>
          <w:rFonts w:ascii="Arial" w:hAnsi="Arial" w:cs="Arial"/>
        </w:rPr>
        <w:t>Mr Imran Vanker</w:t>
      </w:r>
    </w:p>
    <w:p w:rsidR="00AB088C" w:rsidRDefault="001417B6" w:rsidP="00AB088C">
      <w:pPr>
        <w:spacing w:after="0"/>
        <w:rPr>
          <w:rFonts w:ascii="Arial" w:hAnsi="Arial" w:cs="Arial"/>
        </w:rPr>
      </w:pPr>
      <w:r>
        <w:rPr>
          <w:rFonts w:ascii="Arial" w:hAnsi="Arial" w:cs="Arial"/>
        </w:rPr>
        <w:t>IRBA Director of Standards</w:t>
      </w:r>
    </w:p>
    <w:p w:rsidR="00AB088C" w:rsidRDefault="00916AAB" w:rsidP="00AB088C">
      <w:pPr>
        <w:spacing w:after="0"/>
        <w:rPr>
          <w:rFonts w:ascii="Arial" w:hAnsi="Arial" w:cs="Arial"/>
        </w:rPr>
      </w:pPr>
      <w:r>
        <w:rPr>
          <w:rFonts w:ascii="Arial" w:hAnsi="Arial" w:cs="Arial"/>
        </w:rPr>
        <w:t>standards</w:t>
      </w:r>
      <w:r w:rsidR="007516BD">
        <w:rPr>
          <w:rFonts w:ascii="Arial" w:hAnsi="Arial" w:cs="Arial"/>
        </w:rPr>
        <w:t>@irba.co.za</w:t>
      </w:r>
    </w:p>
    <w:p w:rsidR="00AB088C" w:rsidRDefault="00AB088C" w:rsidP="00AB088C">
      <w:pPr>
        <w:spacing w:after="0"/>
        <w:rPr>
          <w:rFonts w:ascii="Arial" w:hAnsi="Arial" w:cs="Arial"/>
        </w:rPr>
      </w:pPr>
    </w:p>
    <w:p w:rsidR="00AB088C" w:rsidRDefault="00916AAB" w:rsidP="00AB088C">
      <w:pPr>
        <w:spacing w:after="0"/>
        <w:rPr>
          <w:rFonts w:ascii="Arial" w:hAnsi="Arial" w:cs="Arial"/>
        </w:rPr>
      </w:pPr>
      <w:r>
        <w:rPr>
          <w:rFonts w:ascii="Arial" w:hAnsi="Arial" w:cs="Arial"/>
        </w:rPr>
        <w:t>5 October</w:t>
      </w:r>
      <w:r w:rsidR="007516BD">
        <w:rPr>
          <w:rFonts w:ascii="Arial" w:hAnsi="Arial" w:cs="Arial"/>
        </w:rPr>
        <w:t xml:space="preserve"> 2016</w:t>
      </w:r>
    </w:p>
    <w:p w:rsidR="00AB088C" w:rsidRDefault="00AB088C" w:rsidP="00AB088C">
      <w:pPr>
        <w:spacing w:after="0"/>
        <w:rPr>
          <w:rFonts w:ascii="Arial" w:hAnsi="Arial" w:cs="Arial"/>
        </w:rPr>
      </w:pPr>
    </w:p>
    <w:p w:rsidR="00AB088C" w:rsidRDefault="00916AAB" w:rsidP="00AB088C">
      <w:pPr>
        <w:spacing w:after="0"/>
        <w:rPr>
          <w:rFonts w:ascii="Arial" w:hAnsi="Arial" w:cs="Arial"/>
        </w:rPr>
      </w:pPr>
      <w:r>
        <w:rPr>
          <w:rFonts w:ascii="Arial" w:hAnsi="Arial" w:cs="Arial"/>
        </w:rPr>
        <w:t>Dear Mr Vanker</w:t>
      </w:r>
    </w:p>
    <w:p w:rsidR="00AB088C" w:rsidRDefault="00AB088C" w:rsidP="00AB088C">
      <w:pPr>
        <w:spacing w:after="0"/>
        <w:rPr>
          <w:rFonts w:ascii="Arial" w:hAnsi="Arial" w:cs="Arial"/>
        </w:rPr>
      </w:pPr>
    </w:p>
    <w:p w:rsidR="00AB088C" w:rsidRPr="00F00FD7" w:rsidRDefault="00916AAB" w:rsidP="00AB088C">
      <w:pPr>
        <w:spacing w:after="0"/>
        <w:rPr>
          <w:rFonts w:ascii="Arial" w:hAnsi="Arial" w:cs="Arial"/>
          <w:b/>
        </w:rPr>
      </w:pPr>
      <w:r>
        <w:rPr>
          <w:rFonts w:ascii="Arial" w:hAnsi="Arial" w:cs="Arial"/>
          <w:b/>
        </w:rPr>
        <w:t>PROPOSED GUIDE FOR REGISTERED AUDITORS</w:t>
      </w:r>
      <w:r w:rsidR="007516BD">
        <w:rPr>
          <w:rFonts w:ascii="Arial" w:hAnsi="Arial" w:cs="Arial"/>
          <w:b/>
        </w:rPr>
        <w:t xml:space="preserve">: </w:t>
      </w:r>
      <w:r>
        <w:rPr>
          <w:rFonts w:ascii="Arial" w:hAnsi="Arial" w:cs="Arial"/>
          <w:b/>
        </w:rPr>
        <w:t>CONSIDERATIONS FOR AN AUDITOR OR A REVIEWER OF A COMPANY WHICH IS FACTUALLY INSOLVENT</w:t>
      </w:r>
    </w:p>
    <w:p w:rsidR="00AB088C" w:rsidRDefault="00AB088C" w:rsidP="00AB088C">
      <w:pPr>
        <w:spacing w:after="0"/>
        <w:rPr>
          <w:rFonts w:ascii="Arial" w:hAnsi="Arial" w:cs="Arial"/>
        </w:rPr>
      </w:pPr>
    </w:p>
    <w:p w:rsidR="00AB088C" w:rsidRPr="00DB579A" w:rsidRDefault="00AB088C" w:rsidP="00AB088C">
      <w:pPr>
        <w:pStyle w:val="p4"/>
        <w:tabs>
          <w:tab w:val="left" w:pos="204"/>
        </w:tabs>
        <w:spacing w:after="120"/>
        <w:rPr>
          <w:rFonts w:ascii="Arial" w:hAnsi="Arial" w:cs="Arial"/>
          <w:sz w:val="22"/>
          <w:szCs w:val="22"/>
          <w:lang w:val="en-ZA"/>
        </w:rPr>
      </w:pPr>
      <w:r>
        <w:rPr>
          <w:rFonts w:ascii="Arial" w:hAnsi="Arial" w:cs="Arial"/>
          <w:sz w:val="22"/>
          <w:szCs w:val="22"/>
          <w:lang w:val="en-ZA"/>
        </w:rPr>
        <w:t>The Auditor-</w:t>
      </w:r>
      <w:r w:rsidRPr="00DB579A">
        <w:rPr>
          <w:rFonts w:ascii="Arial" w:hAnsi="Arial" w:cs="Arial"/>
          <w:sz w:val="22"/>
          <w:szCs w:val="22"/>
          <w:lang w:val="en-ZA"/>
        </w:rPr>
        <w:t xml:space="preserve">General of South Africa </w:t>
      </w:r>
      <w:r>
        <w:rPr>
          <w:rFonts w:ascii="Arial" w:hAnsi="Arial" w:cs="Arial"/>
          <w:sz w:val="22"/>
          <w:szCs w:val="22"/>
          <w:lang w:val="en-ZA"/>
        </w:rPr>
        <w:t xml:space="preserve">would </w:t>
      </w:r>
      <w:r w:rsidR="00D83123">
        <w:rPr>
          <w:rFonts w:ascii="Arial" w:hAnsi="Arial" w:cs="Arial"/>
          <w:sz w:val="22"/>
          <w:szCs w:val="22"/>
          <w:lang w:val="en-ZA"/>
        </w:rPr>
        <w:t>like to take this opportunity to</w:t>
      </w:r>
      <w:r>
        <w:rPr>
          <w:rFonts w:ascii="Arial" w:hAnsi="Arial" w:cs="Arial"/>
          <w:sz w:val="22"/>
          <w:szCs w:val="22"/>
          <w:lang w:val="en-ZA"/>
        </w:rPr>
        <w:t xml:space="preserve"> submit comment on the </w:t>
      </w:r>
      <w:r w:rsidR="00916AAB">
        <w:rPr>
          <w:rFonts w:ascii="Arial" w:hAnsi="Arial" w:cs="Arial"/>
          <w:sz w:val="22"/>
          <w:szCs w:val="22"/>
          <w:lang w:val="en-ZA"/>
        </w:rPr>
        <w:t>proposed guide</w:t>
      </w:r>
      <w:r w:rsidRPr="00DB579A">
        <w:rPr>
          <w:rFonts w:ascii="Arial" w:hAnsi="Arial" w:cs="Arial"/>
          <w:sz w:val="22"/>
          <w:szCs w:val="22"/>
          <w:lang w:val="en-ZA"/>
        </w:rPr>
        <w:t xml:space="preserve"> referred to above. </w:t>
      </w:r>
    </w:p>
    <w:p w:rsidR="00AB088C" w:rsidRPr="00DB579A" w:rsidRDefault="00AB088C" w:rsidP="00AB088C">
      <w:pPr>
        <w:pStyle w:val="p4"/>
        <w:tabs>
          <w:tab w:val="left" w:pos="204"/>
        </w:tabs>
        <w:spacing w:after="120"/>
        <w:rPr>
          <w:rFonts w:ascii="Arial" w:hAnsi="Arial" w:cs="Arial"/>
          <w:sz w:val="22"/>
          <w:szCs w:val="22"/>
          <w:lang w:val="en-ZA"/>
        </w:rPr>
      </w:pPr>
      <w:r>
        <w:rPr>
          <w:rFonts w:ascii="Arial" w:hAnsi="Arial" w:cs="Arial"/>
          <w:sz w:val="22"/>
          <w:szCs w:val="22"/>
          <w:lang w:val="en-ZA"/>
        </w:rPr>
        <w:t>We attach</w:t>
      </w:r>
      <w:r w:rsidRPr="00DB579A">
        <w:rPr>
          <w:rFonts w:ascii="Arial" w:hAnsi="Arial" w:cs="Arial"/>
          <w:sz w:val="22"/>
          <w:szCs w:val="22"/>
          <w:lang w:val="en-ZA"/>
        </w:rPr>
        <w:t>, annexed to this letter, o</w:t>
      </w:r>
      <w:r w:rsidR="00916AAB">
        <w:rPr>
          <w:rFonts w:ascii="Arial" w:hAnsi="Arial" w:cs="Arial"/>
          <w:sz w:val="22"/>
          <w:szCs w:val="22"/>
          <w:lang w:val="en-ZA"/>
        </w:rPr>
        <w:t>ur responses</w:t>
      </w:r>
      <w:r>
        <w:rPr>
          <w:rFonts w:ascii="Arial" w:hAnsi="Arial" w:cs="Arial"/>
          <w:sz w:val="22"/>
          <w:szCs w:val="22"/>
          <w:lang w:val="en-ZA"/>
        </w:rPr>
        <w:t xml:space="preserve"> for your consideration</w:t>
      </w:r>
      <w:r w:rsidRPr="00DB579A">
        <w:rPr>
          <w:rFonts w:ascii="Arial" w:hAnsi="Arial" w:cs="Arial"/>
          <w:sz w:val="22"/>
          <w:szCs w:val="22"/>
          <w:lang w:val="en-ZA"/>
        </w:rPr>
        <w:t>.</w:t>
      </w:r>
      <w:r w:rsidR="0003702E">
        <w:rPr>
          <w:rFonts w:ascii="Arial" w:hAnsi="Arial" w:cs="Arial"/>
          <w:sz w:val="22"/>
          <w:szCs w:val="22"/>
          <w:lang w:val="en-ZA"/>
        </w:rPr>
        <w:t xml:space="preserve"> In general we request that the </w:t>
      </w:r>
      <w:r w:rsidR="00D0478B">
        <w:rPr>
          <w:rFonts w:ascii="Arial" w:hAnsi="Arial" w:cs="Arial"/>
          <w:sz w:val="22"/>
          <w:szCs w:val="22"/>
          <w:lang w:val="en-ZA"/>
        </w:rPr>
        <w:t>proposed guide take into consideration that there are many companies operating in the public sector and that as necessary the wording or guidance be amended accordingly.</w:t>
      </w:r>
      <w:bookmarkStart w:id="0" w:name="_GoBack"/>
      <w:bookmarkEnd w:id="0"/>
    </w:p>
    <w:p w:rsidR="00AB088C" w:rsidRPr="00DB579A" w:rsidRDefault="00AB088C" w:rsidP="00AB088C">
      <w:pPr>
        <w:pStyle w:val="BodyTextIndent"/>
        <w:ind w:left="0" w:firstLine="0"/>
        <w:rPr>
          <w:rFonts w:cs="Arial"/>
          <w:sz w:val="22"/>
          <w:szCs w:val="22"/>
          <w:lang w:val="en-ZA"/>
        </w:rPr>
      </w:pPr>
    </w:p>
    <w:p w:rsidR="00AB088C" w:rsidRPr="00DB579A" w:rsidRDefault="00AB088C" w:rsidP="00AB088C">
      <w:pPr>
        <w:pStyle w:val="BodyTextIndent"/>
        <w:ind w:left="0" w:firstLine="0"/>
        <w:rPr>
          <w:rFonts w:cs="Arial"/>
          <w:sz w:val="22"/>
          <w:szCs w:val="22"/>
          <w:lang w:val="en-ZA"/>
        </w:rPr>
      </w:pPr>
    </w:p>
    <w:p w:rsidR="00AB088C" w:rsidRPr="00DB579A" w:rsidRDefault="00AB088C" w:rsidP="00AB088C">
      <w:pPr>
        <w:pStyle w:val="BodyTextIndent"/>
        <w:ind w:left="0" w:firstLine="0"/>
        <w:rPr>
          <w:rFonts w:cs="Arial"/>
          <w:sz w:val="22"/>
          <w:szCs w:val="22"/>
          <w:lang w:val="en-ZA"/>
        </w:rPr>
      </w:pPr>
      <w:r w:rsidRPr="00DB579A">
        <w:rPr>
          <w:rFonts w:cs="Arial"/>
          <w:sz w:val="22"/>
          <w:szCs w:val="22"/>
          <w:lang w:val="en-ZA"/>
        </w:rPr>
        <w:t>Yours sincerely</w:t>
      </w:r>
    </w:p>
    <w:p w:rsidR="00AB088C" w:rsidRPr="00DB579A" w:rsidRDefault="00AB088C" w:rsidP="00AB088C">
      <w:pPr>
        <w:pStyle w:val="BodyTextIndent"/>
        <w:ind w:left="0" w:firstLine="0"/>
        <w:rPr>
          <w:rFonts w:cs="Arial"/>
          <w:sz w:val="22"/>
          <w:szCs w:val="22"/>
          <w:lang w:val="en-ZA"/>
        </w:rPr>
      </w:pPr>
    </w:p>
    <w:p w:rsidR="00AB088C" w:rsidRPr="00DB579A" w:rsidRDefault="00AB088C" w:rsidP="00AB088C">
      <w:pPr>
        <w:pStyle w:val="BodyTextIndent"/>
        <w:ind w:left="0" w:firstLine="0"/>
        <w:rPr>
          <w:rFonts w:cs="Arial"/>
          <w:sz w:val="22"/>
          <w:szCs w:val="22"/>
          <w:lang w:val="en-ZA"/>
        </w:rPr>
      </w:pPr>
    </w:p>
    <w:p w:rsidR="00AB088C" w:rsidRPr="00DB579A" w:rsidRDefault="00AB088C" w:rsidP="00AB088C">
      <w:pPr>
        <w:pStyle w:val="BodyTextIndent"/>
        <w:ind w:left="0" w:firstLine="0"/>
        <w:rPr>
          <w:rFonts w:cs="Arial"/>
          <w:sz w:val="22"/>
          <w:szCs w:val="22"/>
          <w:lang w:val="en-ZA"/>
        </w:rPr>
      </w:pPr>
    </w:p>
    <w:p w:rsidR="00AB088C" w:rsidRPr="00DB579A" w:rsidRDefault="00916AAB" w:rsidP="00AB088C">
      <w:pPr>
        <w:pStyle w:val="BodyTextIndent"/>
        <w:ind w:left="0" w:firstLine="0"/>
        <w:rPr>
          <w:rFonts w:cs="Arial"/>
          <w:sz w:val="22"/>
          <w:szCs w:val="22"/>
          <w:lang w:val="en-ZA"/>
        </w:rPr>
      </w:pPr>
      <w:r>
        <w:rPr>
          <w:rFonts w:cs="Arial"/>
          <w:sz w:val="22"/>
          <w:szCs w:val="22"/>
          <w:lang w:val="en-ZA"/>
        </w:rPr>
        <w:t>Shelmadene Petzer</w:t>
      </w:r>
    </w:p>
    <w:p w:rsidR="00AB088C" w:rsidRPr="00DB579A" w:rsidRDefault="00916AAB" w:rsidP="00AB088C">
      <w:pPr>
        <w:pStyle w:val="BodyTextIndent"/>
        <w:ind w:left="0" w:firstLine="0"/>
        <w:rPr>
          <w:rFonts w:cs="Arial"/>
          <w:sz w:val="22"/>
          <w:szCs w:val="22"/>
          <w:lang w:val="en-ZA"/>
        </w:rPr>
      </w:pPr>
      <w:r>
        <w:rPr>
          <w:rFonts w:cs="Arial"/>
          <w:sz w:val="22"/>
          <w:szCs w:val="22"/>
          <w:lang w:val="en-ZA"/>
        </w:rPr>
        <w:t>Deputy Business Executive</w:t>
      </w:r>
    </w:p>
    <w:p w:rsidR="00AB088C" w:rsidRPr="00DB579A" w:rsidRDefault="00AB088C" w:rsidP="00AB088C">
      <w:pPr>
        <w:pStyle w:val="BodyTextIndent"/>
        <w:ind w:left="0" w:firstLine="0"/>
        <w:rPr>
          <w:rFonts w:cs="Arial"/>
          <w:sz w:val="22"/>
          <w:szCs w:val="22"/>
          <w:lang w:val="en-ZA"/>
        </w:rPr>
      </w:pPr>
    </w:p>
    <w:p w:rsidR="00AB088C" w:rsidRPr="00DB579A" w:rsidRDefault="00916AAB" w:rsidP="00AB088C">
      <w:pPr>
        <w:tabs>
          <w:tab w:val="left" w:pos="993"/>
        </w:tabs>
        <w:rPr>
          <w:rFonts w:cs="Arial"/>
          <w:caps/>
          <w:sz w:val="16"/>
          <w:szCs w:val="16"/>
        </w:rPr>
      </w:pPr>
      <w:r>
        <w:rPr>
          <w:rFonts w:cs="Arial"/>
          <w:sz w:val="16"/>
          <w:szCs w:val="16"/>
        </w:rPr>
        <w:t>Enquiries:</w:t>
      </w:r>
      <w:r>
        <w:rPr>
          <w:rFonts w:cs="Arial"/>
          <w:sz w:val="16"/>
          <w:szCs w:val="16"/>
        </w:rPr>
        <w:tab/>
        <w:t xml:space="preserve">Thinus </w:t>
      </w:r>
      <w:proofErr w:type="spellStart"/>
      <w:r>
        <w:rPr>
          <w:rFonts w:cs="Arial"/>
          <w:sz w:val="16"/>
          <w:szCs w:val="16"/>
        </w:rPr>
        <w:t>Peyper</w:t>
      </w:r>
      <w:proofErr w:type="spellEnd"/>
    </w:p>
    <w:p w:rsidR="00AB088C" w:rsidRPr="00DB579A" w:rsidRDefault="007516BD" w:rsidP="00AB088C">
      <w:pPr>
        <w:tabs>
          <w:tab w:val="left" w:pos="993"/>
        </w:tabs>
        <w:rPr>
          <w:rFonts w:cs="Arial"/>
          <w:caps/>
          <w:sz w:val="16"/>
          <w:szCs w:val="16"/>
        </w:rPr>
      </w:pPr>
      <w:r>
        <w:rPr>
          <w:rFonts w:cs="Arial"/>
          <w:sz w:val="16"/>
          <w:szCs w:val="16"/>
        </w:rPr>
        <w:t>Telephone:</w:t>
      </w:r>
      <w:r>
        <w:rPr>
          <w:rFonts w:cs="Arial"/>
          <w:sz w:val="16"/>
          <w:szCs w:val="16"/>
        </w:rPr>
        <w:tab/>
        <w:t>+2712 42</w:t>
      </w:r>
      <w:r w:rsidR="00916AAB">
        <w:rPr>
          <w:rFonts w:cs="Arial"/>
          <w:sz w:val="16"/>
          <w:szCs w:val="16"/>
        </w:rPr>
        <w:t>6</w:t>
      </w:r>
      <w:r>
        <w:rPr>
          <w:rFonts w:cs="Arial"/>
          <w:sz w:val="16"/>
          <w:szCs w:val="16"/>
        </w:rPr>
        <w:t xml:space="preserve"> 8</w:t>
      </w:r>
      <w:r w:rsidR="00916AAB">
        <w:rPr>
          <w:rFonts w:cs="Arial"/>
          <w:sz w:val="16"/>
          <w:szCs w:val="16"/>
        </w:rPr>
        <w:t>076</w:t>
      </w:r>
    </w:p>
    <w:p w:rsidR="007516BD" w:rsidRDefault="00AB088C" w:rsidP="00AB088C">
      <w:pPr>
        <w:tabs>
          <w:tab w:val="left" w:pos="993"/>
        </w:tabs>
        <w:rPr>
          <w:rFonts w:cs="Arial"/>
          <w:sz w:val="16"/>
          <w:szCs w:val="16"/>
        </w:rPr>
      </w:pPr>
      <w:r w:rsidRPr="00DB579A">
        <w:rPr>
          <w:rFonts w:cs="Arial"/>
          <w:sz w:val="16"/>
          <w:szCs w:val="16"/>
        </w:rPr>
        <w:t>Email:</w:t>
      </w:r>
      <w:r w:rsidRPr="00DB579A">
        <w:rPr>
          <w:rFonts w:cs="Arial"/>
          <w:sz w:val="16"/>
          <w:szCs w:val="16"/>
        </w:rPr>
        <w:tab/>
      </w:r>
      <w:r w:rsidR="00916AAB">
        <w:rPr>
          <w:rFonts w:cs="Arial"/>
          <w:sz w:val="16"/>
          <w:szCs w:val="16"/>
        </w:rPr>
        <w:t>thinusp@agsa.co.za</w:t>
      </w:r>
    </w:p>
    <w:p w:rsidR="00AB088C" w:rsidRPr="002A0AE5" w:rsidRDefault="00AB088C" w:rsidP="00AB088C">
      <w:pPr>
        <w:pStyle w:val="ListParagraph"/>
        <w:ind w:left="426"/>
        <w:rPr>
          <w:rFonts w:ascii="Arial" w:hAnsi="Arial" w:cs="Arial"/>
        </w:rPr>
      </w:pPr>
    </w:p>
    <w:p w:rsidR="00AB088C" w:rsidRDefault="00AB088C" w:rsidP="00AB088C">
      <w:pPr>
        <w:rPr>
          <w:rStyle w:val="A2"/>
          <w:rFonts w:ascii="Arial" w:hAnsi="Arial" w:cs="Arial"/>
        </w:rPr>
        <w:sectPr w:rsidR="00AB088C" w:rsidSect="00F00FD7">
          <w:headerReference w:type="default" r:id="rId9"/>
          <w:footerReference w:type="default" r:id="rId10"/>
          <w:pgSz w:w="11906" w:h="16838"/>
          <w:pgMar w:top="1440" w:right="1080" w:bottom="1440" w:left="851" w:header="708" w:footer="708" w:gutter="0"/>
          <w:cols w:space="708"/>
          <w:docGrid w:linePitch="360"/>
        </w:sectPr>
      </w:pPr>
    </w:p>
    <w:p w:rsidR="00AB088C" w:rsidRDefault="00AB088C" w:rsidP="00AB088C">
      <w:pPr>
        <w:jc w:val="right"/>
        <w:rPr>
          <w:rFonts w:ascii="Arial" w:hAnsi="Arial" w:cs="Arial"/>
          <w:b/>
        </w:rPr>
      </w:pPr>
      <w:r>
        <w:rPr>
          <w:rFonts w:ascii="Arial" w:hAnsi="Arial" w:cs="Arial"/>
          <w:b/>
        </w:rPr>
        <w:lastRenderedPageBreak/>
        <w:t>ANNEXURE</w:t>
      </w:r>
    </w:p>
    <w:p w:rsidR="00B57557" w:rsidRPr="007E65A7" w:rsidRDefault="00220D78" w:rsidP="00B57557">
      <w:pPr>
        <w:pStyle w:val="Default"/>
        <w:rPr>
          <w:b/>
          <w:color w:val="auto"/>
          <w:sz w:val="22"/>
          <w:szCs w:val="22"/>
        </w:rPr>
      </w:pPr>
      <w:r>
        <w:rPr>
          <w:b/>
          <w:color w:val="auto"/>
          <w:sz w:val="22"/>
          <w:szCs w:val="22"/>
        </w:rPr>
        <w:t>GENERAL COMMENTS</w:t>
      </w:r>
    </w:p>
    <w:p w:rsidR="002332EE" w:rsidRPr="007E65A7" w:rsidRDefault="002332EE" w:rsidP="00B57557">
      <w:pPr>
        <w:pStyle w:val="Default"/>
        <w:rPr>
          <w:b/>
          <w:color w:val="auto"/>
          <w:sz w:val="22"/>
          <w:szCs w:val="22"/>
        </w:rPr>
      </w:pPr>
    </w:p>
    <w:p w:rsidR="003332F4" w:rsidRDefault="00747082" w:rsidP="003332F4">
      <w:pPr>
        <w:pStyle w:val="ListParagraph"/>
        <w:numPr>
          <w:ilvl w:val="0"/>
          <w:numId w:val="6"/>
        </w:numPr>
        <w:spacing w:after="120" w:line="240" w:lineRule="auto"/>
        <w:ind w:left="357" w:hanging="357"/>
        <w:contextualSpacing w:val="0"/>
        <w:rPr>
          <w:rFonts w:ascii="Arial" w:hAnsi="Arial" w:cs="Arial"/>
        </w:rPr>
      </w:pPr>
      <w:r>
        <w:rPr>
          <w:rFonts w:ascii="Arial" w:hAnsi="Arial" w:cs="Arial"/>
        </w:rPr>
        <w:t>The guide</w:t>
      </w:r>
      <w:r w:rsidR="003332F4">
        <w:rPr>
          <w:rFonts w:ascii="Arial" w:hAnsi="Arial" w:cs="Arial"/>
        </w:rPr>
        <w:t xml:space="preserve"> states that it</w:t>
      </w:r>
      <w:r>
        <w:rPr>
          <w:rFonts w:ascii="Arial" w:hAnsi="Arial" w:cs="Arial"/>
        </w:rPr>
        <w:t xml:space="preserve"> is applicable when a company is factually insolvent</w:t>
      </w:r>
      <w:r w:rsidR="007516BD" w:rsidRPr="00916AAB">
        <w:rPr>
          <w:rFonts w:ascii="Arial" w:hAnsi="Arial" w:cs="Arial"/>
        </w:rPr>
        <w:t>.</w:t>
      </w:r>
      <w:r>
        <w:rPr>
          <w:rFonts w:ascii="Arial" w:hAnsi="Arial" w:cs="Arial"/>
        </w:rPr>
        <w:t xml:space="preserve"> </w:t>
      </w:r>
      <w:r w:rsidR="004532A4" w:rsidRPr="003332F4">
        <w:rPr>
          <w:rFonts w:ascii="Arial" w:hAnsi="Arial" w:cs="Arial"/>
        </w:rPr>
        <w:t>The guide is not easy to follow</w:t>
      </w:r>
      <w:r w:rsidR="003332F4">
        <w:rPr>
          <w:rFonts w:ascii="Arial" w:hAnsi="Arial" w:cs="Arial"/>
        </w:rPr>
        <w:t xml:space="preserve"> and</w:t>
      </w:r>
      <w:r w:rsidR="004532A4" w:rsidRPr="003332F4">
        <w:rPr>
          <w:rFonts w:ascii="Arial" w:hAnsi="Arial" w:cs="Arial"/>
        </w:rPr>
        <w:t xml:space="preserve"> </w:t>
      </w:r>
      <w:r w:rsidR="003332F4">
        <w:rPr>
          <w:rFonts w:ascii="Arial" w:hAnsi="Arial" w:cs="Arial"/>
        </w:rPr>
        <w:t>w</w:t>
      </w:r>
      <w:r w:rsidRPr="003332F4">
        <w:rPr>
          <w:rFonts w:ascii="Arial" w:hAnsi="Arial" w:cs="Arial"/>
        </w:rPr>
        <w:t xml:space="preserve">e would have expected </w:t>
      </w:r>
      <w:r w:rsidR="003332F4">
        <w:rPr>
          <w:rFonts w:ascii="Arial" w:hAnsi="Arial" w:cs="Arial"/>
        </w:rPr>
        <w:t>it</w:t>
      </w:r>
      <w:r w:rsidRPr="003332F4">
        <w:rPr>
          <w:rFonts w:ascii="Arial" w:hAnsi="Arial" w:cs="Arial"/>
        </w:rPr>
        <w:t xml:space="preserve"> to</w:t>
      </w:r>
      <w:r w:rsidR="003332F4">
        <w:rPr>
          <w:rFonts w:ascii="Arial" w:hAnsi="Arial" w:cs="Arial"/>
        </w:rPr>
        <w:t xml:space="preserve"> start with</w:t>
      </w:r>
      <w:r w:rsidR="00B54035">
        <w:rPr>
          <w:rFonts w:ascii="Arial" w:hAnsi="Arial" w:cs="Arial"/>
        </w:rPr>
        <w:t>,</w:t>
      </w:r>
      <w:r w:rsidR="003332F4">
        <w:rPr>
          <w:rFonts w:ascii="Arial" w:hAnsi="Arial" w:cs="Arial"/>
        </w:rPr>
        <w:t xml:space="preserve"> and</w:t>
      </w:r>
      <w:r w:rsidRPr="003332F4">
        <w:rPr>
          <w:rFonts w:ascii="Arial" w:hAnsi="Arial" w:cs="Arial"/>
        </w:rPr>
        <w:t xml:space="preserve"> focus on</w:t>
      </w:r>
      <w:r w:rsidR="00B54035">
        <w:rPr>
          <w:rFonts w:ascii="Arial" w:hAnsi="Arial" w:cs="Arial"/>
        </w:rPr>
        <w:t>,</w:t>
      </w:r>
      <w:r w:rsidR="003332F4">
        <w:rPr>
          <w:rFonts w:ascii="Arial" w:hAnsi="Arial" w:cs="Arial"/>
        </w:rPr>
        <w:t xml:space="preserve"> the meaning of section</w:t>
      </w:r>
      <w:r w:rsidR="003D5458">
        <w:rPr>
          <w:rFonts w:ascii="Arial" w:hAnsi="Arial" w:cs="Arial"/>
        </w:rPr>
        <w:t>s</w:t>
      </w:r>
      <w:r w:rsidR="003332F4">
        <w:rPr>
          <w:rFonts w:ascii="Arial" w:hAnsi="Arial" w:cs="Arial"/>
        </w:rPr>
        <w:t xml:space="preserve"> 22</w:t>
      </w:r>
      <w:r w:rsidR="003D5458">
        <w:rPr>
          <w:rFonts w:ascii="Arial" w:hAnsi="Arial" w:cs="Arial"/>
        </w:rPr>
        <w:t xml:space="preserve"> and 128</w:t>
      </w:r>
      <w:r w:rsidR="003332F4">
        <w:rPr>
          <w:rFonts w:ascii="Arial" w:hAnsi="Arial" w:cs="Arial"/>
        </w:rPr>
        <w:t xml:space="preserve"> of the Companies Act, i.e. what it means for a company to carry on with its business recklessly, with gross negligence or with intent to defraud </w:t>
      </w:r>
      <w:r w:rsidR="003D5458">
        <w:rPr>
          <w:rFonts w:ascii="Arial" w:hAnsi="Arial" w:cs="Arial"/>
        </w:rPr>
        <w:t>as well as</w:t>
      </w:r>
      <w:r w:rsidR="003332F4">
        <w:rPr>
          <w:rFonts w:ascii="Arial" w:hAnsi="Arial" w:cs="Arial"/>
        </w:rPr>
        <w:t xml:space="preserve"> what it means to be in financial distress</w:t>
      </w:r>
      <w:r w:rsidR="003D5458">
        <w:rPr>
          <w:rFonts w:ascii="Arial" w:hAnsi="Arial" w:cs="Arial"/>
        </w:rPr>
        <w:t>.</w:t>
      </w:r>
      <w:r w:rsidR="003332F4">
        <w:rPr>
          <w:rFonts w:ascii="Arial" w:hAnsi="Arial" w:cs="Arial"/>
        </w:rPr>
        <w:t xml:space="preserve"> </w:t>
      </w:r>
      <w:r w:rsidR="003D5458">
        <w:rPr>
          <w:rFonts w:ascii="Arial" w:hAnsi="Arial" w:cs="Arial"/>
        </w:rPr>
        <w:t>It should then</w:t>
      </w:r>
      <w:r w:rsidR="003332F4">
        <w:rPr>
          <w:rFonts w:ascii="Arial" w:hAnsi="Arial" w:cs="Arial"/>
        </w:rPr>
        <w:t xml:space="preserve"> describe</w:t>
      </w:r>
      <w:r w:rsidR="001337A3">
        <w:rPr>
          <w:rFonts w:ascii="Arial" w:hAnsi="Arial" w:cs="Arial"/>
        </w:rPr>
        <w:t xml:space="preserve"> the auditor’s responsibilities</w:t>
      </w:r>
      <w:r w:rsidR="003D5458">
        <w:rPr>
          <w:rFonts w:ascii="Arial" w:hAnsi="Arial" w:cs="Arial"/>
        </w:rPr>
        <w:t xml:space="preserve"> in terms of these sections and provide more information on</w:t>
      </w:r>
      <w:r w:rsidR="00B54035">
        <w:rPr>
          <w:rFonts w:ascii="Arial" w:hAnsi="Arial" w:cs="Arial"/>
        </w:rPr>
        <w:t xml:space="preserve"> chapter 6 </w:t>
      </w:r>
      <w:r w:rsidR="003D5458">
        <w:rPr>
          <w:rFonts w:ascii="Arial" w:hAnsi="Arial" w:cs="Arial"/>
        </w:rPr>
        <w:t xml:space="preserve">relating to </w:t>
      </w:r>
      <w:r w:rsidR="003332F4">
        <w:rPr>
          <w:rFonts w:ascii="Arial" w:hAnsi="Arial" w:cs="Arial"/>
        </w:rPr>
        <w:t>business rescue and compromise with creditors.</w:t>
      </w:r>
    </w:p>
    <w:p w:rsidR="00B54035" w:rsidRDefault="00B54035" w:rsidP="003332F4">
      <w:pPr>
        <w:pStyle w:val="ListParagraph"/>
        <w:numPr>
          <w:ilvl w:val="0"/>
          <w:numId w:val="6"/>
        </w:numPr>
        <w:spacing w:after="120" w:line="240" w:lineRule="auto"/>
        <w:ind w:left="357" w:hanging="357"/>
        <w:contextualSpacing w:val="0"/>
        <w:rPr>
          <w:rFonts w:ascii="Arial" w:hAnsi="Arial" w:cs="Arial"/>
        </w:rPr>
      </w:pPr>
      <w:r>
        <w:rPr>
          <w:rFonts w:ascii="Arial" w:hAnsi="Arial" w:cs="Arial"/>
        </w:rPr>
        <w:t>It is our understanding that sections 22 and 128 appl</w:t>
      </w:r>
      <w:r w:rsidR="006E7654">
        <w:rPr>
          <w:rFonts w:ascii="Arial" w:hAnsi="Arial" w:cs="Arial"/>
        </w:rPr>
        <w:t>y</w:t>
      </w:r>
      <w:r>
        <w:rPr>
          <w:rFonts w:ascii="Arial" w:hAnsi="Arial" w:cs="Arial"/>
        </w:rPr>
        <w:t xml:space="preserve"> when a company is commercially insolvent, i.e. the company is unable to pay all of its debts when they become due and not factually insolvent as concluded in the guide. For this reason the guide should deal with the circumstances when a company is commercially insolvent and not factually insolvent.</w:t>
      </w:r>
    </w:p>
    <w:p w:rsidR="00B54035" w:rsidRDefault="00B54035" w:rsidP="003332F4">
      <w:pPr>
        <w:pStyle w:val="ListParagraph"/>
        <w:numPr>
          <w:ilvl w:val="0"/>
          <w:numId w:val="6"/>
        </w:numPr>
        <w:spacing w:after="120" w:line="240" w:lineRule="auto"/>
        <w:ind w:left="357" w:hanging="357"/>
        <w:contextualSpacing w:val="0"/>
        <w:rPr>
          <w:rFonts w:ascii="Arial" w:hAnsi="Arial" w:cs="Arial"/>
        </w:rPr>
      </w:pPr>
      <w:r>
        <w:rPr>
          <w:rFonts w:ascii="Arial" w:hAnsi="Arial" w:cs="Arial"/>
        </w:rPr>
        <w:t>T</w:t>
      </w:r>
      <w:r w:rsidR="00747082" w:rsidRPr="003332F4">
        <w:rPr>
          <w:rFonts w:ascii="Arial" w:hAnsi="Arial" w:cs="Arial"/>
        </w:rPr>
        <w:t>he</w:t>
      </w:r>
      <w:r w:rsidR="00220D78">
        <w:rPr>
          <w:rFonts w:ascii="Arial" w:hAnsi="Arial" w:cs="Arial"/>
        </w:rPr>
        <w:t xml:space="preserve"> guide should then describe</w:t>
      </w:r>
      <w:r>
        <w:rPr>
          <w:rFonts w:ascii="Arial" w:hAnsi="Arial" w:cs="Arial"/>
        </w:rPr>
        <w:t xml:space="preserve"> how the auditor should respond to the commercial insolvency in terms</w:t>
      </w:r>
      <w:r w:rsidR="00747082" w:rsidRPr="003332F4">
        <w:rPr>
          <w:rFonts w:ascii="Arial" w:hAnsi="Arial" w:cs="Arial"/>
        </w:rPr>
        <w:t xml:space="preserve"> of ISA 570</w:t>
      </w:r>
      <w:r w:rsidR="00B561F4" w:rsidRPr="003332F4">
        <w:rPr>
          <w:rFonts w:ascii="Arial" w:hAnsi="Arial" w:cs="Arial"/>
        </w:rPr>
        <w:t xml:space="preserve">. There is guidance </w:t>
      </w:r>
      <w:r>
        <w:rPr>
          <w:rFonts w:ascii="Arial" w:hAnsi="Arial" w:cs="Arial"/>
        </w:rPr>
        <w:t>on reporting in terms of</w:t>
      </w:r>
      <w:r w:rsidR="00EE1049" w:rsidRPr="003332F4">
        <w:rPr>
          <w:rFonts w:ascii="Arial" w:hAnsi="Arial" w:cs="Arial"/>
        </w:rPr>
        <w:t xml:space="preserve"> ISA 570 in SAAPS 3 that </w:t>
      </w:r>
      <w:r w:rsidR="006E7654">
        <w:rPr>
          <w:rFonts w:ascii="Arial" w:hAnsi="Arial" w:cs="Arial"/>
        </w:rPr>
        <w:t>sh</w:t>
      </w:r>
      <w:r w:rsidR="00EE1049" w:rsidRPr="003332F4">
        <w:rPr>
          <w:rFonts w:ascii="Arial" w:hAnsi="Arial" w:cs="Arial"/>
        </w:rPr>
        <w:t xml:space="preserve">ould be </w:t>
      </w:r>
      <w:r w:rsidR="006E7654">
        <w:rPr>
          <w:rFonts w:ascii="Arial" w:hAnsi="Arial" w:cs="Arial"/>
        </w:rPr>
        <w:t>referred to</w:t>
      </w:r>
      <w:r w:rsidR="004532A4" w:rsidRPr="003332F4">
        <w:rPr>
          <w:rFonts w:ascii="Arial" w:hAnsi="Arial" w:cs="Arial"/>
        </w:rPr>
        <w:t xml:space="preserve">. </w:t>
      </w:r>
    </w:p>
    <w:p w:rsidR="00747082" w:rsidRDefault="004532A4" w:rsidP="003332F4">
      <w:pPr>
        <w:pStyle w:val="ListParagraph"/>
        <w:numPr>
          <w:ilvl w:val="0"/>
          <w:numId w:val="6"/>
        </w:numPr>
        <w:spacing w:after="120" w:line="240" w:lineRule="auto"/>
        <w:ind w:left="357" w:hanging="357"/>
        <w:contextualSpacing w:val="0"/>
        <w:rPr>
          <w:rFonts w:ascii="Arial" w:hAnsi="Arial" w:cs="Arial"/>
        </w:rPr>
      </w:pPr>
      <w:r w:rsidRPr="003332F4">
        <w:rPr>
          <w:rFonts w:ascii="Arial" w:hAnsi="Arial" w:cs="Arial"/>
        </w:rPr>
        <w:t>The detailed information</w:t>
      </w:r>
      <w:r w:rsidR="00B54035">
        <w:rPr>
          <w:rFonts w:ascii="Arial" w:hAnsi="Arial" w:cs="Arial"/>
        </w:rPr>
        <w:t xml:space="preserve"> and appendices</w:t>
      </w:r>
      <w:r w:rsidRPr="003332F4">
        <w:rPr>
          <w:rFonts w:ascii="Arial" w:hAnsi="Arial" w:cs="Arial"/>
        </w:rPr>
        <w:t xml:space="preserve"> on reportable irregularities is better suited in the </w:t>
      </w:r>
      <w:r w:rsidR="00717C92" w:rsidRPr="003332F4">
        <w:rPr>
          <w:rFonts w:ascii="Arial" w:hAnsi="Arial" w:cs="Arial"/>
        </w:rPr>
        <w:t>r</w:t>
      </w:r>
      <w:r w:rsidRPr="003332F4">
        <w:rPr>
          <w:rFonts w:ascii="Arial" w:hAnsi="Arial" w:cs="Arial"/>
        </w:rPr>
        <w:t xml:space="preserve">eportable irregularities </w:t>
      </w:r>
      <w:r w:rsidR="00E70890" w:rsidRPr="003332F4">
        <w:rPr>
          <w:rFonts w:ascii="Arial" w:hAnsi="Arial" w:cs="Arial"/>
        </w:rPr>
        <w:t>guide</w:t>
      </w:r>
      <w:r w:rsidR="00B561F4" w:rsidRPr="003332F4">
        <w:rPr>
          <w:rFonts w:ascii="Arial" w:hAnsi="Arial" w:cs="Arial"/>
        </w:rPr>
        <w:t>. This guide should</w:t>
      </w:r>
      <w:r w:rsidR="00655C53" w:rsidRPr="003332F4">
        <w:rPr>
          <w:rFonts w:ascii="Arial" w:hAnsi="Arial" w:cs="Arial"/>
        </w:rPr>
        <w:t xml:space="preserve"> then</w:t>
      </w:r>
      <w:r w:rsidR="00B561F4" w:rsidRPr="003332F4">
        <w:rPr>
          <w:rFonts w:ascii="Arial" w:hAnsi="Arial" w:cs="Arial"/>
        </w:rPr>
        <w:t xml:space="preserve"> simply refer</w:t>
      </w:r>
      <w:r w:rsidR="00717C92" w:rsidRPr="003332F4">
        <w:rPr>
          <w:rFonts w:ascii="Arial" w:hAnsi="Arial" w:cs="Arial"/>
        </w:rPr>
        <w:t xml:space="preserve"> to the reportable irregularities</w:t>
      </w:r>
      <w:r w:rsidR="00E70890" w:rsidRPr="003332F4">
        <w:rPr>
          <w:rFonts w:ascii="Arial" w:hAnsi="Arial" w:cs="Arial"/>
        </w:rPr>
        <w:t xml:space="preserve"> guide.</w:t>
      </w:r>
    </w:p>
    <w:p w:rsidR="006830CE" w:rsidRDefault="006830CE" w:rsidP="003332F4">
      <w:pPr>
        <w:pStyle w:val="ListParagraph"/>
        <w:numPr>
          <w:ilvl w:val="0"/>
          <w:numId w:val="6"/>
        </w:numPr>
        <w:spacing w:after="120" w:line="240" w:lineRule="auto"/>
        <w:ind w:left="357" w:hanging="357"/>
        <w:contextualSpacing w:val="0"/>
        <w:rPr>
          <w:rFonts w:ascii="Arial" w:hAnsi="Arial" w:cs="Arial"/>
        </w:rPr>
      </w:pPr>
      <w:r>
        <w:rPr>
          <w:rFonts w:ascii="Arial" w:hAnsi="Arial" w:cs="Arial"/>
        </w:rPr>
        <w:t>Other suggestions to improve the document are to include:</w:t>
      </w:r>
    </w:p>
    <w:p w:rsidR="006830CE" w:rsidRDefault="006830CE" w:rsidP="006830CE">
      <w:pPr>
        <w:pStyle w:val="ListParagraph"/>
        <w:numPr>
          <w:ilvl w:val="0"/>
          <w:numId w:val="7"/>
        </w:numPr>
        <w:spacing w:after="120" w:line="240" w:lineRule="auto"/>
        <w:contextualSpacing w:val="0"/>
        <w:rPr>
          <w:rFonts w:ascii="Arial" w:hAnsi="Arial" w:cs="Arial"/>
        </w:rPr>
      </w:pPr>
      <w:r>
        <w:rPr>
          <w:rFonts w:ascii="Arial" w:hAnsi="Arial" w:cs="Arial"/>
        </w:rPr>
        <w:t>A definition section</w:t>
      </w:r>
    </w:p>
    <w:p w:rsidR="006830CE" w:rsidRDefault="006830CE" w:rsidP="006830CE">
      <w:pPr>
        <w:pStyle w:val="ListParagraph"/>
        <w:numPr>
          <w:ilvl w:val="0"/>
          <w:numId w:val="7"/>
        </w:numPr>
        <w:spacing w:after="120" w:line="240" w:lineRule="auto"/>
        <w:contextualSpacing w:val="0"/>
        <w:rPr>
          <w:rFonts w:ascii="Arial" w:hAnsi="Arial" w:cs="Arial"/>
        </w:rPr>
      </w:pPr>
      <w:r>
        <w:rPr>
          <w:rFonts w:ascii="Arial" w:hAnsi="Arial" w:cs="Arial"/>
        </w:rPr>
        <w:t>Subheadings</w:t>
      </w:r>
    </w:p>
    <w:p w:rsidR="006830CE" w:rsidRPr="003332F4" w:rsidRDefault="006830CE" w:rsidP="006830CE">
      <w:pPr>
        <w:pStyle w:val="ListParagraph"/>
        <w:numPr>
          <w:ilvl w:val="0"/>
          <w:numId w:val="7"/>
        </w:numPr>
        <w:spacing w:after="120" w:line="240" w:lineRule="auto"/>
        <w:contextualSpacing w:val="0"/>
        <w:rPr>
          <w:rFonts w:ascii="Arial" w:hAnsi="Arial" w:cs="Arial"/>
        </w:rPr>
      </w:pPr>
      <w:r>
        <w:rPr>
          <w:rFonts w:ascii="Arial" w:hAnsi="Arial" w:cs="Arial"/>
        </w:rPr>
        <w:t>Decision trees/ flow diagrams that explain the interactions between factual vs. commercial insolvency, reckless vs. fraudulent trading, RIs for audit engagements vs. review engagements.</w:t>
      </w:r>
    </w:p>
    <w:p w:rsidR="00152A2A" w:rsidRDefault="00152A2A" w:rsidP="004532A4">
      <w:pPr>
        <w:pStyle w:val="ListParagraph"/>
        <w:numPr>
          <w:ilvl w:val="0"/>
          <w:numId w:val="6"/>
        </w:numPr>
        <w:spacing w:after="120" w:line="240" w:lineRule="auto"/>
        <w:ind w:left="357" w:hanging="357"/>
        <w:contextualSpacing w:val="0"/>
        <w:rPr>
          <w:rFonts w:ascii="Arial" w:hAnsi="Arial" w:cs="Arial"/>
        </w:rPr>
      </w:pPr>
      <w:r>
        <w:rPr>
          <w:rFonts w:ascii="Arial" w:hAnsi="Arial" w:cs="Arial"/>
        </w:rPr>
        <w:t>The words ‘inter alia’ are</w:t>
      </w:r>
      <w:r w:rsidR="006E7654">
        <w:rPr>
          <w:rFonts w:ascii="Arial" w:hAnsi="Arial" w:cs="Arial"/>
        </w:rPr>
        <w:t xml:space="preserve"> used excessively in the guide</w:t>
      </w:r>
      <w:r w:rsidR="00216B6C">
        <w:rPr>
          <w:rFonts w:ascii="Arial" w:hAnsi="Arial" w:cs="Arial"/>
        </w:rPr>
        <w:t xml:space="preserve"> and</w:t>
      </w:r>
      <w:r w:rsidR="00220D78">
        <w:rPr>
          <w:rFonts w:ascii="Arial" w:hAnsi="Arial" w:cs="Arial"/>
        </w:rPr>
        <w:t xml:space="preserve"> are</w:t>
      </w:r>
      <w:r w:rsidR="00216B6C">
        <w:rPr>
          <w:rFonts w:ascii="Arial" w:hAnsi="Arial" w:cs="Arial"/>
        </w:rPr>
        <w:t xml:space="preserve"> in most cases unnecessary</w:t>
      </w:r>
      <w:r>
        <w:rPr>
          <w:rFonts w:ascii="Arial" w:hAnsi="Arial" w:cs="Arial"/>
        </w:rPr>
        <w:t>.</w:t>
      </w:r>
    </w:p>
    <w:p w:rsidR="00400954" w:rsidRPr="00916AAB" w:rsidRDefault="00400954" w:rsidP="004532A4">
      <w:pPr>
        <w:pStyle w:val="ListParagraph"/>
        <w:numPr>
          <w:ilvl w:val="0"/>
          <w:numId w:val="6"/>
        </w:numPr>
        <w:spacing w:after="120" w:line="240" w:lineRule="auto"/>
        <w:ind w:left="357" w:hanging="357"/>
        <w:contextualSpacing w:val="0"/>
        <w:rPr>
          <w:rFonts w:ascii="Arial" w:hAnsi="Arial" w:cs="Arial"/>
        </w:rPr>
      </w:pPr>
      <w:r>
        <w:rPr>
          <w:rFonts w:ascii="Arial" w:hAnsi="Arial" w:cs="Arial"/>
        </w:rPr>
        <w:t xml:space="preserve">The words ‘judgement’ and ‘prudent judgement’ are used in the </w:t>
      </w:r>
      <w:r w:rsidR="006E7654">
        <w:rPr>
          <w:rFonts w:ascii="Arial" w:hAnsi="Arial" w:cs="Arial"/>
        </w:rPr>
        <w:t>guide</w:t>
      </w:r>
      <w:r>
        <w:rPr>
          <w:rFonts w:ascii="Arial" w:hAnsi="Arial" w:cs="Arial"/>
        </w:rPr>
        <w:t xml:space="preserve"> and should be replaced with the existing audit term ‘professional judgement’.</w:t>
      </w:r>
    </w:p>
    <w:p w:rsidR="00744935" w:rsidRPr="00744935" w:rsidRDefault="00744935" w:rsidP="00744935">
      <w:pPr>
        <w:pStyle w:val="Default"/>
        <w:rPr>
          <w:b/>
          <w:color w:val="auto"/>
          <w:sz w:val="22"/>
          <w:szCs w:val="22"/>
        </w:rPr>
      </w:pPr>
    </w:p>
    <w:p w:rsidR="00744935" w:rsidRPr="00220D78" w:rsidRDefault="00220D78" w:rsidP="00220D78">
      <w:pPr>
        <w:pStyle w:val="Default"/>
        <w:rPr>
          <w:b/>
          <w:color w:val="auto"/>
          <w:sz w:val="22"/>
          <w:szCs w:val="22"/>
        </w:rPr>
      </w:pPr>
      <w:r w:rsidRPr="00220D78">
        <w:rPr>
          <w:b/>
          <w:color w:val="auto"/>
          <w:sz w:val="22"/>
          <w:szCs w:val="22"/>
        </w:rPr>
        <w:t>COMMENTS ON SPECIFIC QUESTIONS</w:t>
      </w:r>
    </w:p>
    <w:p w:rsidR="00744935" w:rsidRPr="00916AAB" w:rsidRDefault="00744935" w:rsidP="00744935">
      <w:pPr>
        <w:pStyle w:val="Default"/>
        <w:rPr>
          <w:b/>
          <w:color w:val="auto"/>
          <w:sz w:val="22"/>
          <w:szCs w:val="22"/>
        </w:rPr>
      </w:pPr>
    </w:p>
    <w:p w:rsidR="00744935" w:rsidRDefault="00744935" w:rsidP="00744935">
      <w:pPr>
        <w:autoSpaceDE w:val="0"/>
        <w:autoSpaceDN w:val="0"/>
        <w:adjustRightInd w:val="0"/>
        <w:spacing w:after="171" w:line="240" w:lineRule="auto"/>
        <w:rPr>
          <w:rFonts w:ascii="Arial" w:hAnsi="Arial" w:cs="Arial"/>
          <w:b/>
          <w:color w:val="000000"/>
        </w:rPr>
      </w:pPr>
      <w:r w:rsidRPr="00744935">
        <w:rPr>
          <w:rFonts w:ascii="Arial" w:hAnsi="Arial" w:cs="Arial"/>
          <w:b/>
          <w:color w:val="000000"/>
        </w:rPr>
        <w:t>With respect to paragraphs 48 to 50 of this proposed Guide, respondents are asked to consider the implications of the interpretation of "financially distressed" as defined in Section 128(1</w:t>
      </w:r>
      <w:proofErr w:type="gramStart"/>
      <w:r w:rsidRPr="00744935">
        <w:rPr>
          <w:rFonts w:ascii="Arial" w:hAnsi="Arial" w:cs="Arial"/>
          <w:b/>
          <w:color w:val="000000"/>
        </w:rPr>
        <w:t>)(</w:t>
      </w:r>
      <w:proofErr w:type="gramEnd"/>
      <w:r w:rsidRPr="00744935">
        <w:rPr>
          <w:rFonts w:ascii="Arial" w:hAnsi="Arial" w:cs="Arial"/>
          <w:b/>
          <w:color w:val="000000"/>
        </w:rPr>
        <w:t xml:space="preserve">f) of the Companies Act, 2008. Respondents are asked to share the basis of their views. </w:t>
      </w:r>
    </w:p>
    <w:p w:rsidR="00744935" w:rsidRDefault="00744935" w:rsidP="00744935">
      <w:pPr>
        <w:spacing w:after="120" w:line="240" w:lineRule="auto"/>
        <w:rPr>
          <w:rFonts w:ascii="Arial" w:hAnsi="Arial" w:cs="Arial"/>
        </w:rPr>
      </w:pPr>
      <w:r>
        <w:rPr>
          <w:rFonts w:ascii="Arial" w:hAnsi="Arial" w:cs="Arial"/>
        </w:rPr>
        <w:t>We disagree with the conclusion in paragraph 50. A company should be commercially insolvent before it can be in financial distress</w:t>
      </w:r>
      <w:r w:rsidR="0003702E">
        <w:rPr>
          <w:rFonts w:ascii="Arial" w:hAnsi="Arial" w:cs="Arial"/>
        </w:rPr>
        <w:t xml:space="preserve"> cf. par18</w:t>
      </w:r>
      <w:r>
        <w:rPr>
          <w:rFonts w:ascii="Arial" w:hAnsi="Arial" w:cs="Arial"/>
        </w:rPr>
        <w:t>.</w:t>
      </w:r>
    </w:p>
    <w:p w:rsidR="00EC2236" w:rsidRPr="00744935" w:rsidRDefault="00EC2236" w:rsidP="00744935">
      <w:pPr>
        <w:spacing w:after="120" w:line="240" w:lineRule="auto"/>
        <w:rPr>
          <w:rFonts w:ascii="Arial" w:hAnsi="Arial" w:cs="Arial"/>
        </w:rPr>
      </w:pPr>
      <w:r>
        <w:rPr>
          <w:rFonts w:ascii="Arial" w:hAnsi="Arial" w:cs="Arial"/>
        </w:rPr>
        <w:t>We suggest that a legal opinion be obtained from senior counsel on this matter.</w:t>
      </w:r>
    </w:p>
    <w:p w:rsidR="00744935" w:rsidRDefault="00744935" w:rsidP="00744935">
      <w:pPr>
        <w:autoSpaceDE w:val="0"/>
        <w:autoSpaceDN w:val="0"/>
        <w:adjustRightInd w:val="0"/>
        <w:spacing w:after="171" w:line="240" w:lineRule="auto"/>
        <w:rPr>
          <w:rFonts w:ascii="Arial" w:hAnsi="Arial" w:cs="Arial"/>
          <w:b/>
          <w:color w:val="000000"/>
        </w:rPr>
      </w:pPr>
      <w:r w:rsidRPr="00744935">
        <w:rPr>
          <w:rFonts w:ascii="Arial" w:hAnsi="Arial" w:cs="Arial"/>
          <w:b/>
          <w:color w:val="000000"/>
        </w:rPr>
        <w:t>With respect to paragraph 56 of this proposed Guide, respondents are asked whether they agree with the interpretation of Regulation 29(1</w:t>
      </w:r>
      <w:proofErr w:type="gramStart"/>
      <w:r w:rsidRPr="00744935">
        <w:rPr>
          <w:rFonts w:ascii="Arial" w:hAnsi="Arial" w:cs="Arial"/>
          <w:b/>
          <w:color w:val="000000"/>
        </w:rPr>
        <w:t>)(</w:t>
      </w:r>
      <w:proofErr w:type="gramEnd"/>
      <w:r w:rsidRPr="00744935">
        <w:rPr>
          <w:rFonts w:ascii="Arial" w:hAnsi="Arial" w:cs="Arial"/>
          <w:b/>
          <w:color w:val="000000"/>
        </w:rPr>
        <w:t xml:space="preserve">b). Respondents are asked to share the basis of their view. </w:t>
      </w:r>
    </w:p>
    <w:p w:rsidR="00744935" w:rsidRDefault="00744935" w:rsidP="00744935">
      <w:pPr>
        <w:spacing w:after="120" w:line="240" w:lineRule="auto"/>
        <w:rPr>
          <w:rFonts w:ascii="Arial" w:hAnsi="Arial" w:cs="Arial"/>
        </w:rPr>
      </w:pPr>
      <w:r>
        <w:rPr>
          <w:rFonts w:ascii="Arial" w:hAnsi="Arial" w:cs="Arial"/>
        </w:rPr>
        <w:t>We disagree with the assumption made that ‘insolvent’ in terms of regulation 29(1</w:t>
      </w:r>
      <w:proofErr w:type="gramStart"/>
      <w:r>
        <w:rPr>
          <w:rFonts w:ascii="Arial" w:hAnsi="Arial" w:cs="Arial"/>
        </w:rPr>
        <w:t>)(</w:t>
      </w:r>
      <w:proofErr w:type="gramEnd"/>
      <w:r>
        <w:rPr>
          <w:rFonts w:ascii="Arial" w:hAnsi="Arial" w:cs="Arial"/>
        </w:rPr>
        <w:t>b)(iii) deals with factual insolvency. We believe it should be commercial insolvency – it is</w:t>
      </w:r>
      <w:r w:rsidR="00220D78">
        <w:rPr>
          <w:rFonts w:ascii="Arial" w:hAnsi="Arial" w:cs="Arial"/>
        </w:rPr>
        <w:t xml:space="preserve"> also</w:t>
      </w:r>
      <w:r>
        <w:rPr>
          <w:rFonts w:ascii="Arial" w:hAnsi="Arial" w:cs="Arial"/>
        </w:rPr>
        <w:t xml:space="preserve"> stated in terms of paragraph 29 of the guide that there is no prohibition against a company continuing to trade </w:t>
      </w:r>
      <w:r w:rsidR="00EC2236">
        <w:rPr>
          <w:rFonts w:ascii="Arial" w:hAnsi="Arial" w:cs="Arial"/>
        </w:rPr>
        <w:t>whilst its liabilities exceed its assets i.e. whilst it is factually insolvent.</w:t>
      </w:r>
    </w:p>
    <w:p w:rsidR="00EC2236" w:rsidRPr="00744935" w:rsidRDefault="00EC2236" w:rsidP="00EC2236">
      <w:pPr>
        <w:spacing w:after="120" w:line="240" w:lineRule="auto"/>
        <w:rPr>
          <w:rFonts w:ascii="Arial" w:hAnsi="Arial" w:cs="Arial"/>
        </w:rPr>
      </w:pPr>
      <w:r>
        <w:rPr>
          <w:rFonts w:ascii="Arial" w:hAnsi="Arial" w:cs="Arial"/>
        </w:rPr>
        <w:lastRenderedPageBreak/>
        <w:t>We suggest that a legal opinion be obtained from senior counsel on this matter.</w:t>
      </w:r>
    </w:p>
    <w:p w:rsidR="00744935" w:rsidRDefault="00744935" w:rsidP="00744935">
      <w:pPr>
        <w:autoSpaceDE w:val="0"/>
        <w:autoSpaceDN w:val="0"/>
        <w:adjustRightInd w:val="0"/>
        <w:spacing w:after="171" w:line="240" w:lineRule="auto"/>
        <w:rPr>
          <w:rFonts w:ascii="Arial" w:hAnsi="Arial" w:cs="Arial"/>
          <w:b/>
          <w:color w:val="000000"/>
        </w:rPr>
      </w:pPr>
      <w:r w:rsidRPr="00744935">
        <w:rPr>
          <w:rFonts w:ascii="Arial" w:hAnsi="Arial" w:cs="Arial"/>
          <w:b/>
          <w:color w:val="000000"/>
        </w:rPr>
        <w:t xml:space="preserve">Do respondents agree with the identifications, descriptions of and distinctions between the various types of common responses to factual insolvency dealt with in this proposed Guide, being the letters of support, letters of comfort, guarantees and subordinations? </w:t>
      </w:r>
    </w:p>
    <w:p w:rsidR="00744935" w:rsidRPr="00744935" w:rsidRDefault="00EC2236" w:rsidP="00744935">
      <w:pPr>
        <w:spacing w:after="120" w:line="240" w:lineRule="auto"/>
        <w:rPr>
          <w:rFonts w:ascii="Arial" w:hAnsi="Arial" w:cs="Arial"/>
        </w:rPr>
      </w:pPr>
      <w:r>
        <w:rPr>
          <w:rFonts w:ascii="Arial" w:hAnsi="Arial" w:cs="Arial"/>
        </w:rPr>
        <w:t>Yes</w:t>
      </w:r>
      <w:r w:rsidR="00220D78">
        <w:rPr>
          <w:rFonts w:ascii="Arial" w:hAnsi="Arial" w:cs="Arial"/>
        </w:rPr>
        <w:t>, but also see the specific comment</w:t>
      </w:r>
      <w:r>
        <w:rPr>
          <w:rFonts w:ascii="Arial" w:hAnsi="Arial" w:cs="Arial"/>
        </w:rPr>
        <w:t xml:space="preserve"> on paragraphs 113 and 114.</w:t>
      </w:r>
    </w:p>
    <w:p w:rsidR="00744935" w:rsidRDefault="00744935" w:rsidP="00744935">
      <w:pPr>
        <w:autoSpaceDE w:val="0"/>
        <w:autoSpaceDN w:val="0"/>
        <w:adjustRightInd w:val="0"/>
        <w:spacing w:after="171" w:line="240" w:lineRule="auto"/>
        <w:rPr>
          <w:rFonts w:ascii="Arial" w:hAnsi="Arial" w:cs="Arial"/>
          <w:b/>
          <w:color w:val="000000"/>
        </w:rPr>
      </w:pPr>
      <w:r w:rsidRPr="00744935">
        <w:rPr>
          <w:rFonts w:ascii="Arial" w:hAnsi="Arial" w:cs="Arial"/>
          <w:b/>
          <w:color w:val="000000"/>
        </w:rPr>
        <w:t xml:space="preserve">This proposed Guide contains an illustrative subordination agreement in Appendix 3. Respondents are asked to comment on whether or not an illustrative subordination agreement should be included in this proposed Guide. </w:t>
      </w:r>
    </w:p>
    <w:p w:rsidR="00744935" w:rsidRPr="00744935" w:rsidRDefault="00EC2236" w:rsidP="00744935">
      <w:pPr>
        <w:spacing w:after="120" w:line="240" w:lineRule="auto"/>
        <w:rPr>
          <w:rFonts w:ascii="Arial" w:hAnsi="Arial" w:cs="Arial"/>
        </w:rPr>
      </w:pPr>
      <w:r>
        <w:rPr>
          <w:rFonts w:ascii="Arial" w:hAnsi="Arial" w:cs="Arial"/>
        </w:rPr>
        <w:t>Yes, including an illustrative subordination agreement should ensure that the minimum requirements are met in order for such an agreement to have the desired legal power/ standing. It will also ensure a level of consistency, even though the agreement should be tailored for the specific circumstances.</w:t>
      </w:r>
    </w:p>
    <w:p w:rsidR="00744935" w:rsidRDefault="00744935" w:rsidP="002B0D80">
      <w:pPr>
        <w:autoSpaceDE w:val="0"/>
        <w:autoSpaceDN w:val="0"/>
        <w:adjustRightInd w:val="0"/>
        <w:spacing w:after="171" w:line="240" w:lineRule="auto"/>
        <w:rPr>
          <w:rFonts w:ascii="Arial" w:hAnsi="Arial" w:cs="Arial"/>
          <w:b/>
          <w:color w:val="000000"/>
        </w:rPr>
      </w:pPr>
      <w:r w:rsidRPr="00744935">
        <w:rPr>
          <w:rFonts w:ascii="Arial" w:hAnsi="Arial" w:cs="Arial"/>
          <w:b/>
          <w:color w:val="000000"/>
        </w:rPr>
        <w:t xml:space="preserve">Do respondents believe that this proposed Guide should include an illustrative letter of guarantee or letter of support, particularly taking into account the many variations thereof in practice? </w:t>
      </w:r>
    </w:p>
    <w:p w:rsidR="00EC2236" w:rsidRPr="00744935" w:rsidRDefault="00EC2236" w:rsidP="00EC2236">
      <w:pPr>
        <w:spacing w:after="120" w:line="240" w:lineRule="auto"/>
        <w:rPr>
          <w:rFonts w:ascii="Arial" w:hAnsi="Arial" w:cs="Arial"/>
        </w:rPr>
      </w:pPr>
      <w:r>
        <w:rPr>
          <w:rFonts w:ascii="Arial" w:hAnsi="Arial" w:cs="Arial"/>
        </w:rPr>
        <w:t xml:space="preserve">Yes, including an illustrative </w:t>
      </w:r>
      <w:r w:rsidR="002B0D80">
        <w:rPr>
          <w:rFonts w:ascii="Arial" w:hAnsi="Arial" w:cs="Arial"/>
        </w:rPr>
        <w:t>letter of guarantee and letter of support</w:t>
      </w:r>
      <w:r>
        <w:rPr>
          <w:rFonts w:ascii="Arial" w:hAnsi="Arial" w:cs="Arial"/>
        </w:rPr>
        <w:t xml:space="preserve"> should ensure that the minimum requirements ar</w:t>
      </w:r>
      <w:r w:rsidR="002B0D80">
        <w:rPr>
          <w:rFonts w:ascii="Arial" w:hAnsi="Arial" w:cs="Arial"/>
        </w:rPr>
        <w:t>e met in order for such letters</w:t>
      </w:r>
      <w:r>
        <w:rPr>
          <w:rFonts w:ascii="Arial" w:hAnsi="Arial" w:cs="Arial"/>
        </w:rPr>
        <w:t xml:space="preserve"> to have the desired legal power/ standing. It will also ensure a level of consistency</w:t>
      </w:r>
      <w:r w:rsidR="002B0D80">
        <w:rPr>
          <w:rFonts w:ascii="Arial" w:hAnsi="Arial" w:cs="Arial"/>
        </w:rPr>
        <w:t>, even though the letters</w:t>
      </w:r>
      <w:r>
        <w:rPr>
          <w:rFonts w:ascii="Arial" w:hAnsi="Arial" w:cs="Arial"/>
        </w:rPr>
        <w:t xml:space="preserve"> should be tailored for the specific circumstances.</w:t>
      </w:r>
    </w:p>
    <w:p w:rsidR="00744935" w:rsidRPr="007E65A7" w:rsidRDefault="00744935" w:rsidP="007E65A7">
      <w:pPr>
        <w:pStyle w:val="Default"/>
        <w:rPr>
          <w:sz w:val="22"/>
          <w:szCs w:val="22"/>
        </w:rPr>
      </w:pPr>
    </w:p>
    <w:p w:rsidR="007E65A7" w:rsidRPr="007E65A7" w:rsidRDefault="00220D78" w:rsidP="007E65A7">
      <w:pPr>
        <w:pStyle w:val="Default"/>
        <w:rPr>
          <w:color w:val="auto"/>
          <w:sz w:val="22"/>
          <w:szCs w:val="22"/>
        </w:rPr>
      </w:pPr>
      <w:r>
        <w:rPr>
          <w:b/>
          <w:color w:val="auto"/>
          <w:sz w:val="22"/>
          <w:szCs w:val="22"/>
        </w:rPr>
        <w:t>COMMENTS ON SPECIFIC PARAGRAPHS</w:t>
      </w:r>
    </w:p>
    <w:p w:rsidR="00AD569C" w:rsidRPr="00916AAB" w:rsidRDefault="00AD569C" w:rsidP="00916AAB">
      <w:pPr>
        <w:pStyle w:val="Default"/>
        <w:rPr>
          <w:b/>
          <w:color w:val="auto"/>
          <w:sz w:val="22"/>
          <w:szCs w:val="22"/>
        </w:rPr>
      </w:pPr>
    </w:p>
    <w:p w:rsidR="00655C53" w:rsidRDefault="00655C53"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 2 – states that the guide is applicable to registered auditors</w:t>
      </w:r>
      <w:r w:rsidR="0003702E">
        <w:rPr>
          <w:rFonts w:ascii="Arial" w:hAnsi="Arial" w:cs="Arial"/>
        </w:rPr>
        <w:t>. We suggest that “application to”</w:t>
      </w:r>
      <w:r>
        <w:rPr>
          <w:rFonts w:ascii="Arial" w:hAnsi="Arial" w:cs="Arial"/>
        </w:rPr>
        <w:t xml:space="preserve"> </w:t>
      </w:r>
      <w:r w:rsidR="0003702E">
        <w:rPr>
          <w:rFonts w:ascii="Arial" w:hAnsi="Arial" w:cs="Arial"/>
        </w:rPr>
        <w:t xml:space="preserve">be amended to “guidance for” as per the purpose on page 1. The question of registered auditors should also be addressed as this guidance would be relevant to all audits of companies which </w:t>
      </w:r>
      <w:proofErr w:type="gramStart"/>
      <w:r w:rsidR="0003702E">
        <w:rPr>
          <w:rFonts w:ascii="Arial" w:hAnsi="Arial" w:cs="Arial"/>
        </w:rPr>
        <w:t>includes</w:t>
      </w:r>
      <w:proofErr w:type="gramEnd"/>
      <w:r w:rsidR="0003702E">
        <w:rPr>
          <w:rFonts w:ascii="Arial" w:hAnsi="Arial" w:cs="Arial"/>
        </w:rPr>
        <w:t xml:space="preserve"> those audited by the </w:t>
      </w:r>
      <w:r>
        <w:rPr>
          <w:rFonts w:ascii="Arial" w:hAnsi="Arial" w:cs="Arial"/>
        </w:rPr>
        <w:t>AGSA.</w:t>
      </w:r>
    </w:p>
    <w:p w:rsidR="00E913EE" w:rsidRDefault="00E913EE"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 14 – the last part of the paragraph includes the words “… - in regard to” which does not read well.</w:t>
      </w:r>
    </w:p>
    <w:p w:rsidR="005C7E84" w:rsidRDefault="005C7E84" w:rsidP="005C7E84">
      <w:pPr>
        <w:pStyle w:val="ListParagraph"/>
        <w:numPr>
          <w:ilvl w:val="0"/>
          <w:numId w:val="6"/>
        </w:numPr>
        <w:spacing w:after="120" w:line="240" w:lineRule="auto"/>
        <w:contextualSpacing w:val="0"/>
        <w:rPr>
          <w:rFonts w:ascii="Arial" w:hAnsi="Arial" w:cs="Arial"/>
        </w:rPr>
      </w:pPr>
      <w:r>
        <w:rPr>
          <w:rFonts w:ascii="Arial" w:hAnsi="Arial" w:cs="Arial"/>
        </w:rPr>
        <w:t xml:space="preserve">The background information in paragraphs 16 – 26 </w:t>
      </w:r>
      <w:r w:rsidR="006F5437">
        <w:rPr>
          <w:rFonts w:ascii="Arial" w:hAnsi="Arial" w:cs="Arial"/>
        </w:rPr>
        <w:t>describes</w:t>
      </w:r>
      <w:r>
        <w:rPr>
          <w:rFonts w:ascii="Arial" w:hAnsi="Arial" w:cs="Arial"/>
        </w:rPr>
        <w:t xml:space="preserve"> the meaning of factual and commercially insolvent</w:t>
      </w:r>
      <w:r w:rsidR="006E7654">
        <w:rPr>
          <w:rFonts w:ascii="Arial" w:hAnsi="Arial" w:cs="Arial"/>
        </w:rPr>
        <w:t xml:space="preserve"> as well as</w:t>
      </w:r>
      <w:r w:rsidR="006F5437">
        <w:rPr>
          <w:rFonts w:ascii="Arial" w:hAnsi="Arial" w:cs="Arial"/>
        </w:rPr>
        <w:t xml:space="preserve"> certain scenarios that may exist</w:t>
      </w:r>
      <w:r w:rsidR="006E7654">
        <w:rPr>
          <w:rFonts w:ascii="Arial" w:hAnsi="Arial" w:cs="Arial"/>
        </w:rPr>
        <w:t xml:space="preserve"> that does not necessarily mean the that the company is commercially insolvent</w:t>
      </w:r>
      <w:r>
        <w:rPr>
          <w:rFonts w:ascii="Arial" w:hAnsi="Arial" w:cs="Arial"/>
        </w:rPr>
        <w:t>.</w:t>
      </w:r>
      <w:r w:rsidR="00BF3A80">
        <w:rPr>
          <w:rFonts w:ascii="Arial" w:hAnsi="Arial" w:cs="Arial"/>
        </w:rPr>
        <w:t xml:space="preserve"> </w:t>
      </w:r>
      <w:r w:rsidR="006E7654">
        <w:rPr>
          <w:rFonts w:ascii="Arial" w:hAnsi="Arial" w:cs="Arial"/>
        </w:rPr>
        <w:t>These paragraphs</w:t>
      </w:r>
      <w:r w:rsidR="00BF3A80">
        <w:rPr>
          <w:rFonts w:ascii="Arial" w:hAnsi="Arial" w:cs="Arial"/>
        </w:rPr>
        <w:t xml:space="preserve"> should be written in such a way that it concludes when a company should be considered as commercially insolvent</w:t>
      </w:r>
      <w:r w:rsidR="00B103F3">
        <w:rPr>
          <w:rFonts w:ascii="Arial" w:hAnsi="Arial" w:cs="Arial"/>
        </w:rPr>
        <w:t xml:space="preserve"> and that sections 22 and 128 of the Companies Act</w:t>
      </w:r>
      <w:r w:rsidR="00D05395">
        <w:rPr>
          <w:rFonts w:ascii="Arial" w:hAnsi="Arial" w:cs="Arial"/>
        </w:rPr>
        <w:t xml:space="preserve"> then apply</w:t>
      </w:r>
      <w:r w:rsidR="00BF3A80">
        <w:rPr>
          <w:rFonts w:ascii="Arial" w:hAnsi="Arial" w:cs="Arial"/>
        </w:rPr>
        <w:t>.</w:t>
      </w:r>
      <w:r w:rsidR="006F5437">
        <w:rPr>
          <w:rFonts w:ascii="Arial" w:hAnsi="Arial" w:cs="Arial"/>
        </w:rPr>
        <w:t xml:space="preserve"> (Please refer to overall comment in paragraph 1.)</w:t>
      </w:r>
    </w:p>
    <w:p w:rsidR="00152A2A" w:rsidRDefault="00152A2A"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 22 – the second sentence that starts with “This is so as the…” does not read well.</w:t>
      </w:r>
    </w:p>
    <w:p w:rsidR="00846E4C" w:rsidRDefault="00846E4C"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Paragraphs 27 to 81 – The ‘Law’ section does not consider the Municipal Finance Management Act (MFMA) section 109 which relates to financial problems at municipal entities. Municipal entities may be registered as companies in terms of the Companies Act and should in addition comply with MFMA section 109 when the municipal entity is commercially insolvent.</w:t>
      </w:r>
    </w:p>
    <w:p w:rsidR="005C7E84" w:rsidRDefault="005C7E84"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Paragraphs 29 to 32 should be consolidated.</w:t>
      </w:r>
    </w:p>
    <w:p w:rsidR="006F5437" w:rsidRDefault="006F5437"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Paragraphs 29 to 44 could be better positioned after the Companies Act requirements</w:t>
      </w:r>
      <w:r w:rsidR="006E7654">
        <w:rPr>
          <w:rFonts w:ascii="Arial" w:hAnsi="Arial" w:cs="Arial"/>
        </w:rPr>
        <w:t xml:space="preserve"> in paragraphs 45 to 50</w:t>
      </w:r>
      <w:r>
        <w:rPr>
          <w:rFonts w:ascii="Arial" w:hAnsi="Arial" w:cs="Arial"/>
        </w:rPr>
        <w:t>.</w:t>
      </w:r>
    </w:p>
    <w:p w:rsidR="00916AAB" w:rsidRDefault="004244B9"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 30 – reference is made to ISA 570 under the case law section. We don’t believe that it is appropriate to make reference to ISA 570 in the sentence that states that trading whilst factually insolvent does raise the potential for possible recklessness, or even fraud.</w:t>
      </w:r>
      <w:r w:rsidR="0002462D">
        <w:rPr>
          <w:rFonts w:ascii="Arial" w:hAnsi="Arial" w:cs="Arial"/>
        </w:rPr>
        <w:t xml:space="preserve"> The reference to 570 relates to examples when there could be doubt that </w:t>
      </w:r>
      <w:r w:rsidR="0002462D">
        <w:rPr>
          <w:rFonts w:ascii="Arial" w:hAnsi="Arial" w:cs="Arial"/>
        </w:rPr>
        <w:lastRenderedPageBreak/>
        <w:t xml:space="preserve">an entity is a going concern. </w:t>
      </w:r>
      <w:r w:rsidR="006F082B">
        <w:rPr>
          <w:rFonts w:ascii="Arial" w:hAnsi="Arial" w:cs="Arial"/>
        </w:rPr>
        <w:t>It does not refer to the potential for possible recklessness or even fraud.</w:t>
      </w:r>
    </w:p>
    <w:p w:rsidR="006830CE" w:rsidRDefault="006830CE"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 33 – consider using simpler language than ‘but subjectively to postulate’.</w:t>
      </w:r>
    </w:p>
    <w:p w:rsidR="006830CE" w:rsidRDefault="006830CE"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 43.3</w:t>
      </w:r>
      <w:r w:rsidR="004328CB">
        <w:rPr>
          <w:rFonts w:ascii="Arial" w:hAnsi="Arial" w:cs="Arial"/>
        </w:rPr>
        <w:t xml:space="preserve"> – ‘profit (or loss) after interest’ is not a recognised accounting term and should therefore be defined or described in the guide.</w:t>
      </w:r>
    </w:p>
    <w:p w:rsidR="004C1BAB" w:rsidRPr="004C1BAB" w:rsidRDefault="00400954" w:rsidP="004C1BAB">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 74 – the words “of itself” should be “in itself”</w:t>
      </w:r>
      <w:r w:rsidR="006E7654">
        <w:rPr>
          <w:rFonts w:ascii="Arial" w:hAnsi="Arial" w:cs="Arial"/>
        </w:rPr>
        <w:t>.</w:t>
      </w:r>
    </w:p>
    <w:p w:rsidR="005F438B" w:rsidRDefault="005F438B"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 77 – the matters described in the sub</w:t>
      </w:r>
      <w:r w:rsidR="00203B6C">
        <w:rPr>
          <w:rFonts w:ascii="Arial" w:hAnsi="Arial" w:cs="Arial"/>
        </w:rPr>
        <w:t>-</w:t>
      </w:r>
      <w:r>
        <w:rPr>
          <w:rFonts w:ascii="Arial" w:hAnsi="Arial" w:cs="Arial"/>
        </w:rPr>
        <w:t>paragraphs are duplicated in the sub</w:t>
      </w:r>
      <w:r w:rsidR="00203B6C">
        <w:rPr>
          <w:rFonts w:ascii="Arial" w:hAnsi="Arial" w:cs="Arial"/>
        </w:rPr>
        <w:t>-</w:t>
      </w:r>
      <w:r>
        <w:rPr>
          <w:rFonts w:ascii="Arial" w:hAnsi="Arial" w:cs="Arial"/>
        </w:rPr>
        <w:t>paragraphs to paragraph 122. We further believe that paragraphs 121 to 122 are unnecessary as the auditor ha</w:t>
      </w:r>
      <w:r w:rsidR="00204C26">
        <w:rPr>
          <w:rFonts w:ascii="Arial" w:hAnsi="Arial" w:cs="Arial"/>
        </w:rPr>
        <w:t>s to comply with ISAs.</w:t>
      </w:r>
    </w:p>
    <w:p w:rsidR="00F62A2B" w:rsidRDefault="00F62A2B"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 87 – Reference to IFRS in the guide should be changed to ‘the applicable financial reporting framework’ as there are companies that apply GRAP for example.</w:t>
      </w:r>
    </w:p>
    <w:p w:rsidR="004C1BAB" w:rsidRDefault="004C1BAB"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 90 – The statement that the ‘subordinated liabilities would be excluded as liabilities’ appears to contradict the conclusion reached in paragraph 87 which states that ‘the subordination by a creditor does not change the accounting nature of the amount which remains a liability’. Further clarity should be provided to clear any contradiction/ confusion.</w:t>
      </w:r>
    </w:p>
    <w:p w:rsidR="00F62A2B" w:rsidRDefault="00F62A2B"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Paragraphs 113 and 114 – The section on Guarantees does not sufficiently explain and conclude on the impact of guarantees on the factual solvency assessment and on the going concern assessment. The section should be expanded to address these matters.</w:t>
      </w:r>
    </w:p>
    <w:p w:rsidR="00204C26" w:rsidRDefault="00204C26"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 122.1 – makes reference to ISQC1 and ISA 220, but these standards do not deal with addition audit risk due to factual insolvency.</w:t>
      </w:r>
    </w:p>
    <w:p w:rsidR="00204C26" w:rsidRDefault="00204C26"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Paragraph 122.18 – it i</w:t>
      </w:r>
      <w:r w:rsidR="001E50AA">
        <w:rPr>
          <w:rFonts w:ascii="Arial" w:hAnsi="Arial" w:cs="Arial"/>
        </w:rPr>
        <w:t>s our understanding that material uncertainties</w:t>
      </w:r>
      <w:r>
        <w:rPr>
          <w:rFonts w:ascii="Arial" w:hAnsi="Arial" w:cs="Arial"/>
        </w:rPr>
        <w:t xml:space="preserve"> relating to going concern will be reported as a separate section</w:t>
      </w:r>
      <w:r w:rsidR="001E50AA">
        <w:rPr>
          <w:rFonts w:ascii="Arial" w:hAnsi="Arial" w:cs="Arial"/>
        </w:rPr>
        <w:t xml:space="preserve"> in the auditor’s report</w:t>
      </w:r>
      <w:r>
        <w:rPr>
          <w:rFonts w:ascii="Arial" w:hAnsi="Arial" w:cs="Arial"/>
        </w:rPr>
        <w:t xml:space="preserve"> under </w:t>
      </w:r>
      <w:r w:rsidR="001E50AA">
        <w:rPr>
          <w:rFonts w:ascii="Arial" w:hAnsi="Arial" w:cs="Arial"/>
        </w:rPr>
        <w:t>a heading titled ‘Going concern’ and if the financial statements were incorrectly prepared on the going concern basis</w:t>
      </w:r>
      <w:r w:rsidR="006E7654">
        <w:rPr>
          <w:rFonts w:ascii="Arial" w:hAnsi="Arial" w:cs="Arial"/>
        </w:rPr>
        <w:t>,</w:t>
      </w:r>
      <w:r w:rsidR="001E50AA">
        <w:rPr>
          <w:rFonts w:ascii="Arial" w:hAnsi="Arial" w:cs="Arial"/>
        </w:rPr>
        <w:t xml:space="preserve"> the auditor’s opinion will be modified. These matters will therefore not be</w:t>
      </w:r>
      <w:r w:rsidR="00285807">
        <w:rPr>
          <w:rFonts w:ascii="Arial" w:hAnsi="Arial" w:cs="Arial"/>
        </w:rPr>
        <w:t xml:space="preserve"> reported in the</w:t>
      </w:r>
      <w:r w:rsidR="001E50AA">
        <w:rPr>
          <w:rFonts w:ascii="Arial" w:hAnsi="Arial" w:cs="Arial"/>
        </w:rPr>
        <w:t xml:space="preserve"> KAMs</w:t>
      </w:r>
      <w:r w:rsidR="00285807">
        <w:rPr>
          <w:rFonts w:ascii="Arial" w:hAnsi="Arial" w:cs="Arial"/>
        </w:rPr>
        <w:t xml:space="preserve"> section of the auditor’s report</w:t>
      </w:r>
      <w:r w:rsidR="000B1700">
        <w:rPr>
          <w:rFonts w:ascii="Arial" w:hAnsi="Arial" w:cs="Arial"/>
        </w:rPr>
        <w:t xml:space="preserve"> (Please refer to paragraph 11 of ISA 701)</w:t>
      </w:r>
      <w:r w:rsidR="001E50AA">
        <w:rPr>
          <w:rFonts w:ascii="Arial" w:hAnsi="Arial" w:cs="Arial"/>
        </w:rPr>
        <w:t>.</w:t>
      </w:r>
      <w:r>
        <w:rPr>
          <w:rFonts w:ascii="Arial" w:hAnsi="Arial" w:cs="Arial"/>
        </w:rPr>
        <w:t xml:space="preserve"> </w:t>
      </w:r>
    </w:p>
    <w:p w:rsidR="00F62A2B" w:rsidRPr="00916AAB" w:rsidRDefault="00F62A2B" w:rsidP="00152A2A">
      <w:pPr>
        <w:pStyle w:val="ListParagraph"/>
        <w:numPr>
          <w:ilvl w:val="0"/>
          <w:numId w:val="6"/>
        </w:numPr>
        <w:spacing w:after="120" w:line="240" w:lineRule="auto"/>
        <w:ind w:left="357" w:hanging="357"/>
        <w:contextualSpacing w:val="0"/>
        <w:rPr>
          <w:rFonts w:ascii="Arial" w:hAnsi="Arial" w:cs="Arial"/>
        </w:rPr>
      </w:pPr>
      <w:r>
        <w:rPr>
          <w:rFonts w:ascii="Arial" w:hAnsi="Arial" w:cs="Arial"/>
        </w:rPr>
        <w:t xml:space="preserve">Paragraph 122 – </w:t>
      </w:r>
      <w:r w:rsidR="00BB24DB">
        <w:rPr>
          <w:rFonts w:ascii="Arial" w:hAnsi="Arial" w:cs="Arial"/>
        </w:rPr>
        <w:t>If this section is to remain, a</w:t>
      </w:r>
      <w:r>
        <w:rPr>
          <w:rFonts w:ascii="Arial" w:hAnsi="Arial" w:cs="Arial"/>
        </w:rPr>
        <w:t xml:space="preserve"> </w:t>
      </w:r>
      <w:r w:rsidR="00BB24DB">
        <w:rPr>
          <w:rFonts w:ascii="Arial" w:hAnsi="Arial" w:cs="Arial"/>
        </w:rPr>
        <w:t>further requirement sh</w:t>
      </w:r>
      <w:r>
        <w:rPr>
          <w:rFonts w:ascii="Arial" w:hAnsi="Arial" w:cs="Arial"/>
        </w:rPr>
        <w:t>ould be included for the auditor to consider whether the assets and liabilities of the entity have been appropriately valued in the financial statements and whether all the required disclosures have been included in the financial statements as required by the applicable financial reporting framework.</w:t>
      </w:r>
    </w:p>
    <w:sectPr w:rsidR="00F62A2B" w:rsidRPr="00916AAB" w:rsidSect="00AB088C">
      <w:headerReference w:type="default" r:id="rId11"/>
      <w:footerReference w:type="default" r:id="rId12"/>
      <w:pgSz w:w="11906" w:h="16838"/>
      <w:pgMar w:top="962"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5D" w:rsidRDefault="0042525D" w:rsidP="00AB088C">
      <w:pPr>
        <w:spacing w:after="0" w:line="240" w:lineRule="auto"/>
      </w:pPr>
      <w:r>
        <w:separator/>
      </w:r>
    </w:p>
  </w:endnote>
  <w:endnote w:type="continuationSeparator" w:id="0">
    <w:p w:rsidR="0042525D" w:rsidRDefault="0042525D" w:rsidP="00AB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32C" w:rsidRDefault="00E7532C">
    <w:pPr>
      <w:pStyle w:val="Footer"/>
      <w:jc w:val="center"/>
    </w:pPr>
  </w:p>
  <w:p w:rsidR="00CE374F" w:rsidRDefault="00425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9620759"/>
      <w:docPartObj>
        <w:docPartGallery w:val="Page Numbers (Bottom of Page)"/>
        <w:docPartUnique/>
      </w:docPartObj>
    </w:sdtPr>
    <w:sdtEndPr>
      <w:rPr>
        <w:noProof/>
      </w:rPr>
    </w:sdtEndPr>
    <w:sdtContent>
      <w:p w:rsidR="00E7532C" w:rsidRDefault="00E7532C">
        <w:pPr>
          <w:pStyle w:val="Footer"/>
          <w:jc w:val="center"/>
        </w:pPr>
        <w:r>
          <w:fldChar w:fldCharType="begin"/>
        </w:r>
        <w:r>
          <w:instrText xml:space="preserve"> PAGE   \* MERGEFORMAT </w:instrText>
        </w:r>
        <w:r>
          <w:fldChar w:fldCharType="separate"/>
        </w:r>
        <w:r w:rsidR="0003702E">
          <w:rPr>
            <w:noProof/>
          </w:rPr>
          <w:t>2</w:t>
        </w:r>
        <w:r>
          <w:rPr>
            <w:noProof/>
          </w:rPr>
          <w:fldChar w:fldCharType="end"/>
        </w:r>
      </w:p>
    </w:sdtContent>
  </w:sdt>
  <w:p w:rsidR="00E7532C" w:rsidRDefault="00E75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5D" w:rsidRDefault="0042525D" w:rsidP="00AB088C">
      <w:pPr>
        <w:spacing w:after="0" w:line="240" w:lineRule="auto"/>
      </w:pPr>
      <w:r>
        <w:separator/>
      </w:r>
    </w:p>
  </w:footnote>
  <w:footnote w:type="continuationSeparator" w:id="0">
    <w:p w:rsidR="0042525D" w:rsidRDefault="0042525D" w:rsidP="00AB0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4F" w:rsidRDefault="000E665F" w:rsidP="00F00FD7">
    <w:pPr>
      <w:pStyle w:val="Header"/>
      <w:ind w:left="-142"/>
    </w:pPr>
    <w:r w:rsidRPr="00F00FD7">
      <w:rPr>
        <w:noProof/>
      </w:rPr>
      <w:drawing>
        <wp:anchor distT="0" distB="0" distL="114300" distR="114300" simplePos="0" relativeHeight="251659264" behindDoc="1" locked="0" layoutInCell="1" allowOverlap="1" wp14:anchorId="6CB735AD" wp14:editId="4B931014">
          <wp:simplePos x="0" y="0"/>
          <wp:positionH relativeFrom="column">
            <wp:posOffset>-121285</wp:posOffset>
          </wp:positionH>
          <wp:positionV relativeFrom="paragraph">
            <wp:posOffset>-249555</wp:posOffset>
          </wp:positionV>
          <wp:extent cx="6553200" cy="1014412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200" cy="101441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88C" w:rsidRPr="00AB088C" w:rsidRDefault="00AB088C" w:rsidP="00AB08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F574F"/>
    <w:multiLevelType w:val="hybridMultilevel"/>
    <w:tmpl w:val="CDEED58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354F4FA9"/>
    <w:multiLevelType w:val="hybridMultilevel"/>
    <w:tmpl w:val="A31A8AB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3AED56E9"/>
    <w:multiLevelType w:val="hybridMultilevel"/>
    <w:tmpl w:val="C4A69072"/>
    <w:lvl w:ilvl="0" w:tplc="1C090001">
      <w:start w:val="1"/>
      <w:numFmt w:val="bullet"/>
      <w:lvlText w:val=""/>
      <w:lvlJc w:val="left"/>
      <w:pPr>
        <w:ind w:left="717" w:hanging="360"/>
      </w:pPr>
      <w:rPr>
        <w:rFonts w:ascii="Symbol" w:hAnsi="Symbol" w:hint="default"/>
      </w:rPr>
    </w:lvl>
    <w:lvl w:ilvl="1" w:tplc="1C090019" w:tentative="1">
      <w:start w:val="1"/>
      <w:numFmt w:val="lowerLetter"/>
      <w:lvlText w:val="%2."/>
      <w:lvlJc w:val="left"/>
      <w:pPr>
        <w:ind w:left="1437" w:hanging="360"/>
      </w:pPr>
    </w:lvl>
    <w:lvl w:ilvl="2" w:tplc="1C09001B" w:tentative="1">
      <w:start w:val="1"/>
      <w:numFmt w:val="lowerRoman"/>
      <w:lvlText w:val="%3."/>
      <w:lvlJc w:val="right"/>
      <w:pPr>
        <w:ind w:left="2157" w:hanging="180"/>
      </w:pPr>
    </w:lvl>
    <w:lvl w:ilvl="3" w:tplc="1C09000F" w:tentative="1">
      <w:start w:val="1"/>
      <w:numFmt w:val="decimal"/>
      <w:lvlText w:val="%4."/>
      <w:lvlJc w:val="left"/>
      <w:pPr>
        <w:ind w:left="2877" w:hanging="360"/>
      </w:pPr>
    </w:lvl>
    <w:lvl w:ilvl="4" w:tplc="1C090019" w:tentative="1">
      <w:start w:val="1"/>
      <w:numFmt w:val="lowerLetter"/>
      <w:lvlText w:val="%5."/>
      <w:lvlJc w:val="left"/>
      <w:pPr>
        <w:ind w:left="3597" w:hanging="360"/>
      </w:pPr>
    </w:lvl>
    <w:lvl w:ilvl="5" w:tplc="1C09001B" w:tentative="1">
      <w:start w:val="1"/>
      <w:numFmt w:val="lowerRoman"/>
      <w:lvlText w:val="%6."/>
      <w:lvlJc w:val="right"/>
      <w:pPr>
        <w:ind w:left="4317" w:hanging="180"/>
      </w:pPr>
    </w:lvl>
    <w:lvl w:ilvl="6" w:tplc="1C09000F" w:tentative="1">
      <w:start w:val="1"/>
      <w:numFmt w:val="decimal"/>
      <w:lvlText w:val="%7."/>
      <w:lvlJc w:val="left"/>
      <w:pPr>
        <w:ind w:left="5037" w:hanging="360"/>
      </w:pPr>
    </w:lvl>
    <w:lvl w:ilvl="7" w:tplc="1C090019" w:tentative="1">
      <w:start w:val="1"/>
      <w:numFmt w:val="lowerLetter"/>
      <w:lvlText w:val="%8."/>
      <w:lvlJc w:val="left"/>
      <w:pPr>
        <w:ind w:left="5757" w:hanging="360"/>
      </w:pPr>
    </w:lvl>
    <w:lvl w:ilvl="8" w:tplc="1C09001B" w:tentative="1">
      <w:start w:val="1"/>
      <w:numFmt w:val="lowerRoman"/>
      <w:lvlText w:val="%9."/>
      <w:lvlJc w:val="right"/>
      <w:pPr>
        <w:ind w:left="6477" w:hanging="180"/>
      </w:pPr>
    </w:lvl>
  </w:abstractNum>
  <w:abstractNum w:abstractNumId="3">
    <w:nsid w:val="42DB0052"/>
    <w:multiLevelType w:val="hybridMultilevel"/>
    <w:tmpl w:val="B77466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441E010A"/>
    <w:multiLevelType w:val="hybridMultilevel"/>
    <w:tmpl w:val="B6F670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66DF4984"/>
    <w:multiLevelType w:val="hybridMultilevel"/>
    <w:tmpl w:val="24A2BC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EC22B0F"/>
    <w:multiLevelType w:val="hybridMultilevel"/>
    <w:tmpl w:val="54D265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B8"/>
    <w:rsid w:val="00002878"/>
    <w:rsid w:val="0002462D"/>
    <w:rsid w:val="0003702E"/>
    <w:rsid w:val="00064602"/>
    <w:rsid w:val="000A2A43"/>
    <w:rsid w:val="000B1700"/>
    <w:rsid w:val="000E572F"/>
    <w:rsid w:val="000E665F"/>
    <w:rsid w:val="001077F2"/>
    <w:rsid w:val="001337A3"/>
    <w:rsid w:val="001417B6"/>
    <w:rsid w:val="00152A2A"/>
    <w:rsid w:val="00160C50"/>
    <w:rsid w:val="00166051"/>
    <w:rsid w:val="00194F47"/>
    <w:rsid w:val="001C3299"/>
    <w:rsid w:val="001C34DF"/>
    <w:rsid w:val="001E50AA"/>
    <w:rsid w:val="00203B6C"/>
    <w:rsid w:val="00204C26"/>
    <w:rsid w:val="00216B6C"/>
    <w:rsid w:val="00220D78"/>
    <w:rsid w:val="002332EE"/>
    <w:rsid w:val="00235FAB"/>
    <w:rsid w:val="00285807"/>
    <w:rsid w:val="002A035A"/>
    <w:rsid w:val="002A6C10"/>
    <w:rsid w:val="002B0D80"/>
    <w:rsid w:val="002C5545"/>
    <w:rsid w:val="002F7CF9"/>
    <w:rsid w:val="0032643E"/>
    <w:rsid w:val="00331C4A"/>
    <w:rsid w:val="003332F4"/>
    <w:rsid w:val="003A2CB0"/>
    <w:rsid w:val="003D5458"/>
    <w:rsid w:val="003E230F"/>
    <w:rsid w:val="003E6817"/>
    <w:rsid w:val="00400954"/>
    <w:rsid w:val="004244B9"/>
    <w:rsid w:val="0042525D"/>
    <w:rsid w:val="00430194"/>
    <w:rsid w:val="004311A9"/>
    <w:rsid w:val="004328CB"/>
    <w:rsid w:val="00444631"/>
    <w:rsid w:val="004532A4"/>
    <w:rsid w:val="00492A01"/>
    <w:rsid w:val="00494FD6"/>
    <w:rsid w:val="004B1EAE"/>
    <w:rsid w:val="004C1BAB"/>
    <w:rsid w:val="004C3B06"/>
    <w:rsid w:val="004E1EF9"/>
    <w:rsid w:val="00516DA6"/>
    <w:rsid w:val="0052169B"/>
    <w:rsid w:val="00550600"/>
    <w:rsid w:val="00560058"/>
    <w:rsid w:val="00574EF7"/>
    <w:rsid w:val="0058078A"/>
    <w:rsid w:val="00581FCE"/>
    <w:rsid w:val="005962A1"/>
    <w:rsid w:val="005B19F4"/>
    <w:rsid w:val="005C1AA9"/>
    <w:rsid w:val="005C1C8D"/>
    <w:rsid w:val="005C7E84"/>
    <w:rsid w:val="005E3AD1"/>
    <w:rsid w:val="005F438B"/>
    <w:rsid w:val="00601BF6"/>
    <w:rsid w:val="006022C8"/>
    <w:rsid w:val="006169B5"/>
    <w:rsid w:val="00617522"/>
    <w:rsid w:val="0063650B"/>
    <w:rsid w:val="00655C53"/>
    <w:rsid w:val="00667215"/>
    <w:rsid w:val="006830CE"/>
    <w:rsid w:val="006A1DE7"/>
    <w:rsid w:val="006A611B"/>
    <w:rsid w:val="006A7677"/>
    <w:rsid w:val="006E7654"/>
    <w:rsid w:val="006F082B"/>
    <w:rsid w:val="006F5437"/>
    <w:rsid w:val="00717C92"/>
    <w:rsid w:val="00744935"/>
    <w:rsid w:val="00747082"/>
    <w:rsid w:val="007516BD"/>
    <w:rsid w:val="007606F9"/>
    <w:rsid w:val="007C62A7"/>
    <w:rsid w:val="007D285C"/>
    <w:rsid w:val="007D5653"/>
    <w:rsid w:val="007E65A7"/>
    <w:rsid w:val="00846E4C"/>
    <w:rsid w:val="00870C3D"/>
    <w:rsid w:val="00875892"/>
    <w:rsid w:val="008938B8"/>
    <w:rsid w:val="008F1C97"/>
    <w:rsid w:val="00916AAB"/>
    <w:rsid w:val="009547DB"/>
    <w:rsid w:val="009A2733"/>
    <w:rsid w:val="009A60B8"/>
    <w:rsid w:val="009B5DF8"/>
    <w:rsid w:val="009C5006"/>
    <w:rsid w:val="00A160A3"/>
    <w:rsid w:val="00A36BFD"/>
    <w:rsid w:val="00A4320D"/>
    <w:rsid w:val="00AA2C44"/>
    <w:rsid w:val="00AB088C"/>
    <w:rsid w:val="00AD569C"/>
    <w:rsid w:val="00B103F3"/>
    <w:rsid w:val="00B11A1B"/>
    <w:rsid w:val="00B15B0C"/>
    <w:rsid w:val="00B3571D"/>
    <w:rsid w:val="00B54035"/>
    <w:rsid w:val="00B561F4"/>
    <w:rsid w:val="00B57557"/>
    <w:rsid w:val="00B771E5"/>
    <w:rsid w:val="00BB24DB"/>
    <w:rsid w:val="00BC39BA"/>
    <w:rsid w:val="00BF3A80"/>
    <w:rsid w:val="00C14D04"/>
    <w:rsid w:val="00C21E28"/>
    <w:rsid w:val="00C51410"/>
    <w:rsid w:val="00CA0449"/>
    <w:rsid w:val="00D023EC"/>
    <w:rsid w:val="00D0478B"/>
    <w:rsid w:val="00D05395"/>
    <w:rsid w:val="00D07228"/>
    <w:rsid w:val="00D752FA"/>
    <w:rsid w:val="00D83123"/>
    <w:rsid w:val="00DE7D55"/>
    <w:rsid w:val="00E16E27"/>
    <w:rsid w:val="00E40D91"/>
    <w:rsid w:val="00E70890"/>
    <w:rsid w:val="00E7532C"/>
    <w:rsid w:val="00E913EE"/>
    <w:rsid w:val="00EC2236"/>
    <w:rsid w:val="00EE1049"/>
    <w:rsid w:val="00EE5C56"/>
    <w:rsid w:val="00F325E5"/>
    <w:rsid w:val="00F62A2B"/>
    <w:rsid w:val="00F90078"/>
    <w:rsid w:val="00F95B42"/>
    <w:rsid w:val="00FA7D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755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E7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88C"/>
    <w:pPr>
      <w:ind w:left="720"/>
      <w:contextualSpacing/>
    </w:pPr>
  </w:style>
  <w:style w:type="character" w:customStyle="1" w:styleId="A2">
    <w:name w:val="A2"/>
    <w:uiPriority w:val="99"/>
    <w:rsid w:val="00AB088C"/>
    <w:rPr>
      <w:rFonts w:cs="Franklin Gothic Medium"/>
      <w:color w:val="000000"/>
    </w:rPr>
  </w:style>
  <w:style w:type="paragraph" w:styleId="Header">
    <w:name w:val="header"/>
    <w:basedOn w:val="Normal"/>
    <w:link w:val="HeaderChar"/>
    <w:uiPriority w:val="99"/>
    <w:unhideWhenUsed/>
    <w:rsid w:val="00AB0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88C"/>
  </w:style>
  <w:style w:type="paragraph" w:styleId="Footer">
    <w:name w:val="footer"/>
    <w:basedOn w:val="Normal"/>
    <w:link w:val="FooterChar"/>
    <w:uiPriority w:val="99"/>
    <w:unhideWhenUsed/>
    <w:rsid w:val="00AB0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88C"/>
  </w:style>
  <w:style w:type="paragraph" w:styleId="BodyTextIndent">
    <w:name w:val="Body Text Indent"/>
    <w:basedOn w:val="Normal"/>
    <w:link w:val="BodyTextIndentChar"/>
    <w:rsid w:val="00AB088C"/>
    <w:pPr>
      <w:spacing w:after="0" w:line="240" w:lineRule="auto"/>
      <w:ind w:left="720" w:hanging="720"/>
      <w:jc w:val="both"/>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AB088C"/>
    <w:rPr>
      <w:rFonts w:ascii="Arial" w:eastAsia="Times New Roman" w:hAnsi="Arial" w:cs="Times New Roman"/>
      <w:sz w:val="24"/>
      <w:szCs w:val="20"/>
      <w:lang w:val="en-US"/>
    </w:rPr>
  </w:style>
  <w:style w:type="paragraph" w:customStyle="1" w:styleId="p4">
    <w:name w:val="p4"/>
    <w:basedOn w:val="Normal"/>
    <w:rsid w:val="00AB088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AB088C"/>
    <w:rPr>
      <w:color w:val="0000FF"/>
      <w:u w:val="single"/>
    </w:rPr>
  </w:style>
  <w:style w:type="paragraph" w:styleId="BalloonText">
    <w:name w:val="Balloon Text"/>
    <w:basedOn w:val="Normal"/>
    <w:link w:val="BalloonTextChar"/>
    <w:uiPriority w:val="99"/>
    <w:semiHidden/>
    <w:unhideWhenUsed/>
    <w:rsid w:val="004C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755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E7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88C"/>
    <w:pPr>
      <w:ind w:left="720"/>
      <w:contextualSpacing/>
    </w:pPr>
  </w:style>
  <w:style w:type="character" w:customStyle="1" w:styleId="A2">
    <w:name w:val="A2"/>
    <w:uiPriority w:val="99"/>
    <w:rsid w:val="00AB088C"/>
    <w:rPr>
      <w:rFonts w:cs="Franklin Gothic Medium"/>
      <w:color w:val="000000"/>
    </w:rPr>
  </w:style>
  <w:style w:type="paragraph" w:styleId="Header">
    <w:name w:val="header"/>
    <w:basedOn w:val="Normal"/>
    <w:link w:val="HeaderChar"/>
    <w:uiPriority w:val="99"/>
    <w:unhideWhenUsed/>
    <w:rsid w:val="00AB0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88C"/>
  </w:style>
  <w:style w:type="paragraph" w:styleId="Footer">
    <w:name w:val="footer"/>
    <w:basedOn w:val="Normal"/>
    <w:link w:val="FooterChar"/>
    <w:uiPriority w:val="99"/>
    <w:unhideWhenUsed/>
    <w:rsid w:val="00AB0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88C"/>
  </w:style>
  <w:style w:type="paragraph" w:styleId="BodyTextIndent">
    <w:name w:val="Body Text Indent"/>
    <w:basedOn w:val="Normal"/>
    <w:link w:val="BodyTextIndentChar"/>
    <w:rsid w:val="00AB088C"/>
    <w:pPr>
      <w:spacing w:after="0" w:line="240" w:lineRule="auto"/>
      <w:ind w:left="720" w:hanging="720"/>
      <w:jc w:val="both"/>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AB088C"/>
    <w:rPr>
      <w:rFonts w:ascii="Arial" w:eastAsia="Times New Roman" w:hAnsi="Arial" w:cs="Times New Roman"/>
      <w:sz w:val="24"/>
      <w:szCs w:val="20"/>
      <w:lang w:val="en-US"/>
    </w:rPr>
  </w:style>
  <w:style w:type="paragraph" w:customStyle="1" w:styleId="p4">
    <w:name w:val="p4"/>
    <w:basedOn w:val="Normal"/>
    <w:rsid w:val="00AB088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AB088C"/>
    <w:rPr>
      <w:color w:val="0000FF"/>
      <w:u w:val="single"/>
    </w:rPr>
  </w:style>
  <w:style w:type="paragraph" w:styleId="BalloonText">
    <w:name w:val="Balloon Text"/>
    <w:basedOn w:val="Normal"/>
    <w:link w:val="BalloonTextChar"/>
    <w:uiPriority w:val="99"/>
    <w:semiHidden/>
    <w:unhideWhenUsed/>
    <w:rsid w:val="004C3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92042-2B02-40F0-8DD5-02BF543A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Auditor-General</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ThinusP</dc:creator>
  <cp:lastModifiedBy>Petzer,Shelmadene (DBE)</cp:lastModifiedBy>
  <cp:revision>2</cp:revision>
  <dcterms:created xsi:type="dcterms:W3CDTF">2016-10-05T09:04:00Z</dcterms:created>
  <dcterms:modified xsi:type="dcterms:W3CDTF">2016-10-05T09:04:00Z</dcterms:modified>
</cp:coreProperties>
</file>