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u w:val="single"/>
          <w:lang w:val="en-ZA"/>
        </w:rPr>
      </w:pPr>
      <w:r w:rsidRPr="00420364">
        <w:rPr>
          <w:rFonts w:ascii="Arial" w:eastAsiaTheme="minorHAnsi" w:hAnsi="Arial" w:cs="Arial"/>
          <w:b/>
          <w:sz w:val="21"/>
          <w:szCs w:val="21"/>
          <w:u w:val="single"/>
          <w:lang w:val="en-ZA"/>
        </w:rPr>
        <w:t>DEFINITIONS OF PUBLIC PRACTICE, PROFESSIONAL ACTIVITY AND ASSURANCE</w:t>
      </w:r>
    </w:p>
    <w:p w:rsid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1.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</w:r>
      <w:r w:rsidRPr="00420364">
        <w:rPr>
          <w:rFonts w:ascii="Arial" w:eastAsiaTheme="minorHAnsi" w:hAnsi="Arial" w:cs="Arial"/>
          <w:b/>
          <w:sz w:val="21"/>
          <w:szCs w:val="21"/>
          <w:lang w:val="en-ZA"/>
        </w:rPr>
        <w:t>Definition of public practice in the Auditing Profession Act, 26 of 2005: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“public practice” means the practice of a registered auditor who places professional services at the disposal of the public for reward.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2.</w:t>
      </w:r>
      <w:r w:rsidRPr="00420364">
        <w:rPr>
          <w:rFonts w:ascii="Arial" w:eastAsiaTheme="minorHAnsi" w:hAnsi="Arial" w:cs="Arial"/>
          <w:b/>
          <w:sz w:val="21"/>
          <w:szCs w:val="21"/>
          <w:lang w:val="en-ZA"/>
        </w:rPr>
        <w:tab/>
        <w:t>Definition of professional activity in the Code of Professional Conduct: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“professional activity” means an activity requiring accountancy or related skills undertaken by a  Registered Auditor, including accounting, review, other assurance and related services, taxation, management consulting and financial management.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3.</w:t>
      </w:r>
      <w:r w:rsidRPr="00420364">
        <w:rPr>
          <w:rFonts w:ascii="Arial" w:eastAsiaTheme="minorHAnsi" w:hAnsi="Arial" w:cs="Arial"/>
          <w:b/>
          <w:sz w:val="21"/>
          <w:szCs w:val="21"/>
          <w:lang w:val="en-ZA"/>
        </w:rPr>
        <w:tab/>
        <w:t>Definition of professional services in the Code of Professional Conduct: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b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“professional services” means professional activities performed for clients.  These include but are not limited to: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(a)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</w:r>
      <w:r w:rsidRPr="00420364">
        <w:rPr>
          <w:rFonts w:ascii="Arial" w:eastAsiaTheme="minorHAnsi" w:hAnsi="Arial" w:cs="Arial"/>
          <w:sz w:val="21"/>
          <w:szCs w:val="21"/>
          <w:u w:val="single"/>
          <w:lang w:val="en-ZA"/>
        </w:rPr>
        <w:t>Audit, review, other assurance and related services:</w:t>
      </w: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</w:t>
      </w:r>
      <w:proofErr w:type="spellStart"/>
      <w:r w:rsidRPr="00420364">
        <w:rPr>
          <w:rFonts w:ascii="Arial" w:eastAsiaTheme="minorHAnsi" w:hAnsi="Arial" w:cs="Arial"/>
          <w:sz w:val="21"/>
          <w:szCs w:val="21"/>
          <w:lang w:val="en-ZA"/>
        </w:rPr>
        <w:t>i</w:t>
      </w:r>
      <w:proofErr w:type="spellEnd"/>
      <w:r w:rsidRPr="00420364">
        <w:rPr>
          <w:rFonts w:ascii="Arial" w:eastAsiaTheme="minorHAnsi" w:hAnsi="Arial" w:cs="Arial"/>
          <w:sz w:val="21"/>
          <w:szCs w:val="21"/>
          <w:lang w:val="en-ZA"/>
        </w:rPr>
        <w:t>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Financial statement audits and reviews, other assurance and related 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services such as regulatory reporting, sustainability, compliance and performance reporting;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Company accounting advisory services such as preparation of accounting records and financial statements in accordance with recognised financial reporting standards and applicable statutes;  and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Company statutory services.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u w:val="single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(b)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</w:r>
      <w:r w:rsidRPr="00420364">
        <w:rPr>
          <w:rFonts w:ascii="Arial" w:eastAsiaTheme="minorHAnsi" w:hAnsi="Arial" w:cs="Arial"/>
          <w:sz w:val="21"/>
          <w:szCs w:val="21"/>
          <w:u w:val="single"/>
          <w:lang w:val="en-ZA"/>
        </w:rPr>
        <w:t>Taxation services:</w:t>
      </w: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u w:val="single"/>
          <w:lang w:val="en-ZA"/>
        </w:rPr>
      </w:pPr>
    </w:p>
    <w:p w:rsidR="00420364" w:rsidRPr="00420364" w:rsidRDefault="00420364" w:rsidP="00420364">
      <w:pPr>
        <w:ind w:left="144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</w:t>
      </w:r>
      <w:proofErr w:type="spellStart"/>
      <w:r w:rsidRPr="00420364">
        <w:rPr>
          <w:rFonts w:ascii="Arial" w:eastAsiaTheme="minorHAnsi" w:hAnsi="Arial" w:cs="Arial"/>
          <w:sz w:val="21"/>
          <w:szCs w:val="21"/>
          <w:lang w:val="en-ZA"/>
        </w:rPr>
        <w:t>i</w:t>
      </w:r>
      <w:proofErr w:type="spellEnd"/>
      <w:r w:rsidRPr="00420364">
        <w:rPr>
          <w:rFonts w:ascii="Arial" w:eastAsiaTheme="minorHAnsi" w:hAnsi="Arial" w:cs="Arial"/>
          <w:sz w:val="21"/>
          <w:szCs w:val="21"/>
          <w:lang w:val="en-ZA"/>
        </w:rPr>
        <w:t>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Tax return preparation and submission;</w:t>
      </w:r>
    </w:p>
    <w:p w:rsidR="00420364" w:rsidRPr="00420364" w:rsidRDefault="00420364" w:rsidP="00420364">
      <w:pPr>
        <w:ind w:left="144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Tax calculations for the purpose of preparing accounting entries;</w:t>
      </w:r>
    </w:p>
    <w:p w:rsidR="00420364" w:rsidRPr="00420364" w:rsidRDefault="00420364" w:rsidP="00420364">
      <w:pPr>
        <w:ind w:left="144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Tax planning and other tax advisory services;  and</w:t>
      </w:r>
    </w:p>
    <w:p w:rsidR="00420364" w:rsidRPr="00420364" w:rsidRDefault="00420364" w:rsidP="00420364">
      <w:pPr>
        <w:ind w:left="144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(iv)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Assistance in the resolution of tax disputes;</w:t>
      </w: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(c)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</w:r>
      <w:r w:rsidRPr="00420364">
        <w:rPr>
          <w:rFonts w:ascii="Arial" w:eastAsiaTheme="minorHAnsi" w:hAnsi="Arial" w:cs="Arial"/>
          <w:sz w:val="21"/>
          <w:szCs w:val="21"/>
          <w:u w:val="single"/>
          <w:lang w:val="en-ZA"/>
        </w:rPr>
        <w:t>Advisory services:</w:t>
      </w:r>
    </w:p>
    <w:p w:rsidR="00420364" w:rsidRPr="00420364" w:rsidRDefault="00420364" w:rsidP="00420364">
      <w:pPr>
        <w:ind w:left="720"/>
        <w:jc w:val="both"/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ind w:left="2127" w:hanging="687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</w:t>
      </w:r>
      <w:proofErr w:type="spellStart"/>
      <w:r w:rsidRPr="00420364">
        <w:rPr>
          <w:rFonts w:ascii="Arial" w:eastAsiaTheme="minorHAnsi" w:hAnsi="Arial" w:cs="Arial"/>
          <w:sz w:val="21"/>
          <w:szCs w:val="21"/>
          <w:lang w:val="en-ZA"/>
        </w:rPr>
        <w:t>i</w:t>
      </w:r>
      <w:proofErr w:type="spellEnd"/>
      <w:r w:rsidRPr="00420364">
        <w:rPr>
          <w:rFonts w:ascii="Arial" w:eastAsiaTheme="minorHAnsi" w:hAnsi="Arial" w:cs="Arial"/>
          <w:sz w:val="21"/>
          <w:szCs w:val="21"/>
          <w:lang w:val="en-ZA"/>
        </w:rPr>
        <w:t>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Accounting, advisory and financial management advisory services:  accounting support, conversion services for new and revised accounting standards, financial modelling and project management;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 xml:space="preserve"> (ii)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Business performance services:  business effectiveness, people and 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change management, operational and business finance;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Internal audit:  risk and compliance services, review and monitoring of internal controls, risk management compliance services, corporate 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governance and audit committee advisory services;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(iv)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Corporate finance services: mergers and acquisitions, valuations, infrastructure financing, debt and capital markets, due diligence reviews, transaction services and designated advisor services to listed companies;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(v)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Corporate recovery services:  liquidation and insolvency administration, curator </w:t>
      </w:r>
      <w:proofErr w:type="spellStart"/>
      <w:r w:rsidRPr="00420364">
        <w:rPr>
          <w:rFonts w:ascii="Arial" w:eastAsiaTheme="minorHAnsi" w:hAnsi="Arial" w:cs="Arial"/>
          <w:sz w:val="21"/>
          <w:szCs w:val="21"/>
          <w:lang w:val="en-ZA"/>
        </w:rPr>
        <w:t>bonis</w:t>
      </w:r>
      <w:proofErr w:type="spellEnd"/>
      <w:r w:rsidRPr="00420364">
        <w:rPr>
          <w:rFonts w:ascii="Arial" w:eastAsiaTheme="minorHAnsi" w:hAnsi="Arial" w:cs="Arial"/>
          <w:sz w:val="21"/>
          <w:szCs w:val="21"/>
          <w:lang w:val="en-ZA"/>
        </w:rPr>
        <w:t>, administration of deceased estates, judicial management and trusteeships;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(vi)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Financial risk management services:  actuarial services, banking and risk advisory, regulatory and compliance services, technical accounting;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lastRenderedPageBreak/>
        <w:t>(vii)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Information Technology (IT) advisory: security, privacy and continuity, 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enterprise resource planning, information system audit services, IT project advisory, governance and performance; and</w:t>
      </w:r>
    </w:p>
    <w:p w:rsidR="00420364" w:rsidRPr="00420364" w:rsidRDefault="00420364" w:rsidP="00420364">
      <w:pPr>
        <w:ind w:left="2127" w:hanging="709"/>
        <w:jc w:val="both"/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(viii)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 xml:space="preserve">Forensic services:  dispute advisory and resolution; ethics and integrity monitoring, fraud risk management, intellectual property and other investigations and regulatory </w:t>
      </w:r>
      <w:r w:rsidRPr="00420364">
        <w:rPr>
          <w:rFonts w:ascii="Arial" w:eastAsiaTheme="minorHAnsi" w:hAnsi="Arial" w:cs="Arial"/>
          <w:sz w:val="21"/>
          <w:szCs w:val="21"/>
          <w:lang w:val="en-ZA"/>
        </w:rPr>
        <w:tab/>
        <w:t>compliance.</w:t>
      </w:r>
    </w:p>
    <w:p w:rsidR="00420364" w:rsidRPr="00420364" w:rsidRDefault="00420364" w:rsidP="00420364">
      <w:pPr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rPr>
          <w:rFonts w:ascii="Arial" w:eastAsiaTheme="minorHAnsi" w:hAnsi="Arial" w:cs="Arial"/>
          <w:b/>
          <w:sz w:val="21"/>
          <w:szCs w:val="21"/>
          <w:lang w:val="en-ZA"/>
        </w:rPr>
      </w:pPr>
      <w:r>
        <w:rPr>
          <w:rFonts w:ascii="Arial" w:eastAsiaTheme="minorHAnsi" w:hAnsi="Arial" w:cs="Arial"/>
          <w:b/>
          <w:sz w:val="21"/>
          <w:szCs w:val="21"/>
          <w:lang w:val="en-ZA"/>
        </w:rPr>
        <w:t>4</w:t>
      </w:r>
      <w:r w:rsidRPr="00420364">
        <w:rPr>
          <w:rFonts w:ascii="Arial" w:eastAsiaTheme="minorHAnsi" w:hAnsi="Arial" w:cs="Arial"/>
          <w:b/>
          <w:sz w:val="21"/>
          <w:szCs w:val="21"/>
          <w:lang w:val="en-ZA"/>
        </w:rPr>
        <w:t>.</w:t>
      </w:r>
      <w:r w:rsidRPr="00420364">
        <w:rPr>
          <w:rFonts w:ascii="Arial" w:eastAsiaTheme="minorHAnsi" w:hAnsi="Arial" w:cs="Arial"/>
          <w:b/>
          <w:sz w:val="21"/>
          <w:szCs w:val="21"/>
          <w:lang w:val="en-ZA"/>
        </w:rPr>
        <w:tab/>
        <w:t>What is assurance work?</w:t>
      </w:r>
    </w:p>
    <w:p w:rsidR="00420364" w:rsidRPr="00420364" w:rsidRDefault="00420364" w:rsidP="00420364">
      <w:pPr>
        <w:rPr>
          <w:rFonts w:ascii="Arial" w:eastAsiaTheme="minorHAnsi" w:hAnsi="Arial" w:cs="Arial"/>
          <w:sz w:val="21"/>
          <w:szCs w:val="21"/>
          <w:lang w:val="en-ZA"/>
        </w:rPr>
      </w:pPr>
    </w:p>
    <w:p w:rsidR="00420364" w:rsidRPr="00420364" w:rsidRDefault="00420364" w:rsidP="00420364">
      <w:pPr>
        <w:rPr>
          <w:rFonts w:ascii="Arial" w:eastAsiaTheme="minorHAnsi" w:hAnsi="Arial" w:cs="Arial"/>
          <w:sz w:val="21"/>
          <w:szCs w:val="21"/>
          <w:lang w:val="en-ZA"/>
        </w:rPr>
      </w:pPr>
      <w:r w:rsidRPr="00420364">
        <w:rPr>
          <w:rFonts w:ascii="Arial" w:eastAsiaTheme="minorHAnsi" w:hAnsi="Arial" w:cs="Arial"/>
          <w:sz w:val="21"/>
          <w:szCs w:val="21"/>
          <w:lang w:val="en-ZA"/>
        </w:rPr>
        <w:t>The IRBA considers assurance work to include:</w:t>
      </w: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A.</w:t>
      </w:r>
      <w:r w:rsidRPr="00FD409E">
        <w:rPr>
          <w:rFonts w:ascii="Arial" w:hAnsi="Arial" w:cs="Arial"/>
          <w:sz w:val="22"/>
          <w:szCs w:val="22"/>
        </w:rPr>
        <w:tab/>
      </w:r>
      <w:r w:rsidRPr="00FD409E">
        <w:rPr>
          <w:rFonts w:ascii="Arial" w:hAnsi="Arial" w:cs="Arial"/>
          <w:sz w:val="22"/>
          <w:szCs w:val="22"/>
          <w:u w:val="single"/>
        </w:rPr>
        <w:t>High risk audits and related assurance work</w:t>
      </w:r>
      <w:r w:rsidRPr="00FD409E">
        <w:rPr>
          <w:rFonts w:ascii="Arial" w:hAnsi="Arial" w:cs="Arial"/>
          <w:sz w:val="22"/>
          <w:szCs w:val="22"/>
        </w:rPr>
        <w:t>:</w:t>
      </w:r>
      <w:r w:rsidRPr="00FD409E">
        <w:rPr>
          <w:rFonts w:ascii="Arial" w:hAnsi="Arial" w:cs="Arial"/>
          <w:sz w:val="22"/>
          <w:szCs w:val="22"/>
        </w:rPr>
        <w:tab/>
      </w:r>
    </w:p>
    <w:p w:rsidR="00420364" w:rsidRDefault="00420364" w:rsidP="0042036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20364" w:rsidRDefault="00420364" w:rsidP="00420364">
      <w:pPr>
        <w:ind w:left="720"/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This refers to audits that are performed by RAs and firms that are required in terms of legislation or regulation.  Currently, these audits include:</w:t>
      </w:r>
    </w:p>
    <w:p w:rsidR="00420364" w:rsidRPr="00FD409E" w:rsidRDefault="00420364" w:rsidP="0042036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20364" w:rsidRPr="00FD409E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Audits required in terms of the Companies Act of 2008, of: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public companies;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state-owned enterprises;  and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private companies with a public interest score of above 350.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Audits of subsidiaries of listed companies as required by the JSE Ltd</w:t>
      </w:r>
      <w:r>
        <w:rPr>
          <w:rFonts w:ascii="Arial" w:hAnsi="Arial" w:cs="Arial"/>
          <w:sz w:val="22"/>
          <w:szCs w:val="22"/>
        </w:rPr>
        <w:t xml:space="preserve"> until the listing requirement 3.88 was amended with effect from 30 September 2014.</w:t>
      </w:r>
    </w:p>
    <w:p w:rsidR="00420364" w:rsidRPr="00FD409E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Audits of banks and regulatory returns to the SARB in terms of t</w:t>
      </w:r>
      <w:r>
        <w:rPr>
          <w:rFonts w:ascii="Arial" w:hAnsi="Arial" w:cs="Arial"/>
          <w:sz w:val="22"/>
          <w:szCs w:val="22"/>
        </w:rPr>
        <w:t>he regulations to the Banks Act.</w:t>
      </w:r>
    </w:p>
    <w:p w:rsidR="00420364" w:rsidRPr="00FD409E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Audits required by legislation under the Financial Services Board, of: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insurance companies;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collective investment schemes;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pension and retirement funds;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provident funds;</w:t>
      </w:r>
      <w:r>
        <w:rPr>
          <w:rFonts w:ascii="Arial" w:hAnsi="Arial" w:cs="Arial"/>
          <w:sz w:val="22"/>
          <w:szCs w:val="22"/>
        </w:rPr>
        <w:t xml:space="preserve"> and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any other audits required by the Financial Advisory and Intermediary Services Act</w:t>
      </w:r>
      <w:r>
        <w:rPr>
          <w:rFonts w:ascii="Arial" w:hAnsi="Arial" w:cs="Arial"/>
          <w:sz w:val="22"/>
          <w:szCs w:val="22"/>
        </w:rPr>
        <w:t xml:space="preserve"> (FAIS)</w:t>
      </w:r>
      <w:r w:rsidRPr="00FD409E">
        <w:rPr>
          <w:rFonts w:ascii="Arial" w:hAnsi="Arial" w:cs="Arial"/>
          <w:sz w:val="22"/>
          <w:szCs w:val="22"/>
        </w:rPr>
        <w:t>.</w:t>
      </w:r>
    </w:p>
    <w:p w:rsidR="00420364" w:rsidRPr="00FD409E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Audits of Medical Schemes.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Audits o</w:t>
      </w:r>
      <w:r>
        <w:rPr>
          <w:rFonts w:ascii="Arial" w:hAnsi="Arial" w:cs="Arial"/>
          <w:sz w:val="22"/>
          <w:szCs w:val="22"/>
        </w:rPr>
        <w:t>n behalf of the Auditor-General:</w:t>
      </w:r>
    </w:p>
    <w:p w:rsidR="00420364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Secondment of staff to assist the Auditor-General – no opinion is expressed and consequently these engagements should be </w:t>
      </w:r>
      <w:r>
        <w:rPr>
          <w:rFonts w:ascii="Arial" w:hAnsi="Arial" w:cs="Arial"/>
          <w:sz w:val="22"/>
          <w:szCs w:val="22"/>
          <w:u w:val="single"/>
        </w:rPr>
        <w:t>excluded</w:t>
      </w:r>
      <w:r>
        <w:rPr>
          <w:rFonts w:ascii="Arial" w:hAnsi="Arial" w:cs="Arial"/>
          <w:sz w:val="22"/>
          <w:szCs w:val="22"/>
        </w:rPr>
        <w:t>;</w:t>
      </w:r>
    </w:p>
    <w:p w:rsidR="00420364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Performance of an engagement under the supervision of the Auditor-General (so called “contracted out” engagements). Although this audit opinion is signed by the Auditor-General, a substantial portion of the work is performed by the contracted firm. These engagements should be </w:t>
      </w:r>
      <w:r>
        <w:rPr>
          <w:rFonts w:ascii="Arial" w:hAnsi="Arial" w:cs="Arial"/>
          <w:sz w:val="22"/>
          <w:szCs w:val="22"/>
          <w:u w:val="single"/>
        </w:rPr>
        <w:t>included</w:t>
      </w:r>
      <w:r>
        <w:rPr>
          <w:rFonts w:ascii="Arial" w:hAnsi="Arial" w:cs="Arial"/>
          <w:sz w:val="22"/>
          <w:szCs w:val="22"/>
        </w:rPr>
        <w:t>; and</w:t>
      </w:r>
    </w:p>
    <w:p w:rsidR="00420364" w:rsidRPr="00FD409E" w:rsidRDefault="00420364" w:rsidP="00420364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Audits performed and signed by a firm in terms of Section 4(3) of the Public Audit Act. These engagements should be </w:t>
      </w:r>
      <w:r>
        <w:rPr>
          <w:rFonts w:ascii="Arial" w:hAnsi="Arial" w:cs="Arial"/>
          <w:sz w:val="22"/>
          <w:szCs w:val="22"/>
          <w:u w:val="single"/>
        </w:rPr>
        <w:t>included</w:t>
      </w:r>
      <w:r>
        <w:rPr>
          <w:rFonts w:ascii="Arial" w:hAnsi="Arial" w:cs="Arial"/>
          <w:sz w:val="22"/>
          <w:szCs w:val="22"/>
        </w:rPr>
        <w:t>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Audits of Attorneys </w:t>
      </w:r>
      <w:r w:rsidRPr="00FD409E">
        <w:rPr>
          <w:rFonts w:ascii="Arial" w:hAnsi="Arial" w:cs="Arial"/>
          <w:sz w:val="22"/>
          <w:szCs w:val="22"/>
        </w:rPr>
        <w:t>trust accounts.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Audits of Estate Agents (business and trust accounts).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Audits of Co-operatives.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Audits of non-profit organisations where the turnover is </w:t>
      </w:r>
      <w:r w:rsidRPr="00DC46CE">
        <w:rPr>
          <w:rFonts w:ascii="Arial" w:hAnsi="Arial" w:cs="Arial"/>
          <w:b/>
          <w:sz w:val="22"/>
          <w:szCs w:val="22"/>
        </w:rPr>
        <w:t>more than R50 million</w:t>
      </w:r>
      <w:r>
        <w:rPr>
          <w:rFonts w:ascii="Arial" w:hAnsi="Arial" w:cs="Arial"/>
          <w:sz w:val="22"/>
          <w:szCs w:val="22"/>
        </w:rPr>
        <w:t>.</w:t>
      </w:r>
    </w:p>
    <w:p w:rsidR="00420364" w:rsidRPr="00FD409E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Audits of all tertiary educational institutions.</w:t>
      </w:r>
    </w:p>
    <w:p w:rsidR="00420364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 xml:space="preserve">Assurance work related to other regulatory returns in respect of </w:t>
      </w:r>
      <w:r w:rsidRPr="007240D1">
        <w:rPr>
          <w:rFonts w:ascii="Arial" w:hAnsi="Arial" w:cs="Arial"/>
          <w:b/>
          <w:sz w:val="22"/>
          <w:szCs w:val="22"/>
        </w:rPr>
        <w:t>any of the above audit clients</w:t>
      </w:r>
      <w:r>
        <w:rPr>
          <w:rFonts w:ascii="Arial" w:hAnsi="Arial" w:cs="Arial"/>
          <w:sz w:val="22"/>
          <w:szCs w:val="22"/>
        </w:rPr>
        <w:t>.</w:t>
      </w:r>
    </w:p>
    <w:p w:rsidR="00420364" w:rsidRPr="000A3A86" w:rsidRDefault="00420364" w:rsidP="004203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audit of a private company with a PI score below 350 where the MOI was altered to include an audit requirement</w:t>
      </w:r>
      <w:r w:rsidRPr="000A3A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Such an engagement is not considered to be a voluntary audit.</w:t>
      </w:r>
      <w:r w:rsidRPr="000A3A86">
        <w:rPr>
          <w:rFonts w:ascii="Arial" w:hAnsi="Arial" w:cs="Arial"/>
          <w:sz w:val="22"/>
          <w:szCs w:val="22"/>
        </w:rPr>
        <w:t xml:space="preserve">  </w:t>
      </w:r>
    </w:p>
    <w:p w:rsidR="00420364" w:rsidRDefault="00420364" w:rsidP="0042036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6BF5" w:rsidRDefault="00B96BF5" w:rsidP="00420364">
      <w:pPr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0364" w:rsidRDefault="00420364" w:rsidP="00420364">
      <w:p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lastRenderedPageBreak/>
        <w:t>B.</w:t>
      </w:r>
      <w:r w:rsidRPr="00FD409E">
        <w:rPr>
          <w:rFonts w:ascii="Arial" w:hAnsi="Arial" w:cs="Arial"/>
          <w:sz w:val="22"/>
          <w:szCs w:val="22"/>
        </w:rPr>
        <w:tab/>
      </w:r>
      <w:r w:rsidRPr="00FD409E">
        <w:rPr>
          <w:rFonts w:ascii="Arial" w:hAnsi="Arial" w:cs="Arial"/>
          <w:sz w:val="22"/>
          <w:szCs w:val="22"/>
          <w:u w:val="single"/>
        </w:rPr>
        <w:t>Special risk assurance work</w:t>
      </w:r>
      <w:r w:rsidRPr="00FD409E">
        <w:rPr>
          <w:rFonts w:ascii="Arial" w:hAnsi="Arial" w:cs="Arial"/>
          <w:sz w:val="22"/>
          <w:szCs w:val="22"/>
        </w:rPr>
        <w:t>:</w:t>
      </w: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</w:p>
    <w:p w:rsidR="00420364" w:rsidRDefault="00420364" w:rsidP="004203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B-BBEE verification assurance services</w:t>
      </w:r>
      <w:r>
        <w:rPr>
          <w:rFonts w:ascii="Arial" w:hAnsi="Arial" w:cs="Arial"/>
          <w:sz w:val="22"/>
          <w:szCs w:val="22"/>
        </w:rPr>
        <w:t xml:space="preserve"> (where provided as a B-BBEE approved registered auditor)</w:t>
      </w:r>
      <w:r w:rsidRPr="00FD409E">
        <w:rPr>
          <w:rFonts w:ascii="Arial" w:hAnsi="Arial" w:cs="Arial"/>
          <w:sz w:val="22"/>
          <w:szCs w:val="22"/>
        </w:rPr>
        <w:t>.</w:t>
      </w: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</w:p>
    <w:p w:rsidR="00420364" w:rsidRDefault="00420364" w:rsidP="00420364">
      <w:p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C.</w:t>
      </w:r>
      <w:r w:rsidRPr="00FD409E">
        <w:rPr>
          <w:rFonts w:ascii="Arial" w:hAnsi="Arial" w:cs="Arial"/>
          <w:sz w:val="22"/>
          <w:szCs w:val="22"/>
        </w:rPr>
        <w:tab/>
      </w:r>
      <w:r w:rsidRPr="00FD409E">
        <w:rPr>
          <w:rFonts w:ascii="Arial" w:hAnsi="Arial" w:cs="Arial"/>
          <w:sz w:val="22"/>
          <w:szCs w:val="22"/>
          <w:u w:val="single"/>
        </w:rPr>
        <w:t xml:space="preserve">Low risk assurance work, being all assurance work not </w:t>
      </w:r>
      <w:r>
        <w:rPr>
          <w:rFonts w:ascii="Arial" w:hAnsi="Arial" w:cs="Arial"/>
          <w:sz w:val="22"/>
          <w:szCs w:val="22"/>
          <w:u w:val="single"/>
        </w:rPr>
        <w:t xml:space="preserve">already </w:t>
      </w:r>
      <w:r w:rsidRPr="00FD409E">
        <w:rPr>
          <w:rFonts w:ascii="Arial" w:hAnsi="Arial" w:cs="Arial"/>
          <w:sz w:val="22"/>
          <w:szCs w:val="22"/>
          <w:u w:val="single"/>
        </w:rPr>
        <w:t xml:space="preserve">stated above and </w:t>
      </w:r>
      <w:r>
        <w:rPr>
          <w:rFonts w:ascii="Arial" w:hAnsi="Arial" w:cs="Arial"/>
          <w:sz w:val="22"/>
          <w:szCs w:val="22"/>
        </w:rPr>
        <w:tab/>
      </w:r>
      <w:r w:rsidRPr="00FD409E">
        <w:rPr>
          <w:rFonts w:ascii="Arial" w:hAnsi="Arial" w:cs="Arial"/>
          <w:sz w:val="22"/>
          <w:szCs w:val="22"/>
          <w:u w:val="single"/>
        </w:rPr>
        <w:t>including</w:t>
      </w:r>
      <w:r w:rsidRPr="00FD409E">
        <w:rPr>
          <w:rFonts w:ascii="Arial" w:hAnsi="Arial" w:cs="Arial"/>
          <w:sz w:val="22"/>
          <w:szCs w:val="22"/>
        </w:rPr>
        <w:t>:</w:t>
      </w: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</w:p>
    <w:p w:rsidR="00420364" w:rsidRDefault="00420364" w:rsidP="004203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Voluntary audits by decision.</w:t>
      </w:r>
    </w:p>
    <w:p w:rsidR="00420364" w:rsidRPr="00FD409E" w:rsidRDefault="00420364" w:rsidP="004203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Independent reviews required in ter</w:t>
      </w:r>
      <w:r>
        <w:rPr>
          <w:rFonts w:ascii="Arial" w:hAnsi="Arial" w:cs="Arial"/>
          <w:sz w:val="22"/>
          <w:szCs w:val="22"/>
        </w:rPr>
        <w:t>ms of the Companies Act of 2008.</w:t>
      </w:r>
    </w:p>
    <w:p w:rsidR="00420364" w:rsidRPr="00FD409E" w:rsidRDefault="00420364" w:rsidP="0042036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D409E">
        <w:rPr>
          <w:rFonts w:ascii="Arial" w:hAnsi="Arial" w:cs="Arial"/>
          <w:sz w:val="22"/>
          <w:szCs w:val="22"/>
        </w:rPr>
        <w:t>Other assurance work.</w:t>
      </w:r>
    </w:p>
    <w:p w:rsidR="00420364" w:rsidRPr="00FD409E" w:rsidRDefault="00420364" w:rsidP="00420364">
      <w:pPr>
        <w:jc w:val="both"/>
        <w:rPr>
          <w:rFonts w:ascii="Arial" w:hAnsi="Arial" w:cs="Arial"/>
          <w:sz w:val="22"/>
          <w:szCs w:val="22"/>
        </w:rPr>
      </w:pPr>
    </w:p>
    <w:p w:rsidR="00D46CDB" w:rsidRDefault="00D46CDB"/>
    <w:sectPr w:rsidR="00D4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1EB"/>
    <w:multiLevelType w:val="hybridMultilevel"/>
    <w:tmpl w:val="7224612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E619ED"/>
    <w:multiLevelType w:val="hybridMultilevel"/>
    <w:tmpl w:val="9B98A4E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4"/>
    <w:rsid w:val="00420364"/>
    <w:rsid w:val="00B96BF5"/>
    <w:rsid w:val="00D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Garbutt</dc:creator>
  <cp:lastModifiedBy>Caroline Garbutt</cp:lastModifiedBy>
  <cp:revision>1</cp:revision>
  <dcterms:created xsi:type="dcterms:W3CDTF">2016-03-10T13:38:00Z</dcterms:created>
  <dcterms:modified xsi:type="dcterms:W3CDTF">2016-03-10T13:50:00Z</dcterms:modified>
</cp:coreProperties>
</file>