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9B" w:rsidRPr="00E02E58" w:rsidRDefault="003215AA" w:rsidP="00B82F08">
      <w:pPr>
        <w:spacing w:before="0" w:line="271" w:lineRule="auto"/>
        <w:ind w:hanging="360"/>
        <w:jc w:val="right"/>
        <w:rPr>
          <w:rFonts w:ascii="Arial" w:hAnsi="Arial" w:cs="Arial"/>
          <w:b/>
          <w:sz w:val="28"/>
          <w:szCs w:val="28"/>
        </w:rPr>
      </w:pPr>
      <w:bookmarkStart w:id="0" w:name="_GoBack"/>
      <w:bookmarkEnd w:id="0"/>
      <w:r w:rsidRPr="00E02E58">
        <w:rPr>
          <w:rFonts w:ascii="Arial" w:hAnsi="Arial" w:cs="Arial"/>
          <w:b/>
          <w:sz w:val="28"/>
          <w:szCs w:val="28"/>
        </w:rPr>
        <w:t>Guide</w:t>
      </w:r>
    </w:p>
    <w:p w:rsidR="00B04C69" w:rsidRPr="00E02E58" w:rsidRDefault="00FD18FF" w:rsidP="00B82F08">
      <w:pPr>
        <w:spacing w:before="0" w:line="271" w:lineRule="auto"/>
        <w:ind w:hanging="360"/>
        <w:jc w:val="right"/>
        <w:rPr>
          <w:rFonts w:ascii="Arial" w:hAnsi="Arial" w:cs="Arial"/>
        </w:rPr>
      </w:pPr>
      <w:r>
        <w:rPr>
          <w:rFonts w:ascii="Arial" w:hAnsi="Arial" w:cs="Arial"/>
        </w:rPr>
        <w:t>July</w:t>
      </w:r>
      <w:r w:rsidR="00B7204E">
        <w:rPr>
          <w:rFonts w:ascii="Arial" w:hAnsi="Arial" w:cs="Arial"/>
        </w:rPr>
        <w:t xml:space="preserve"> 2016</w:t>
      </w:r>
    </w:p>
    <w:p w:rsidR="00CC53A8" w:rsidRPr="00BD4CAC" w:rsidRDefault="00CC53A8" w:rsidP="00B82F08">
      <w:pPr>
        <w:spacing w:before="0" w:line="271" w:lineRule="auto"/>
        <w:ind w:hanging="360"/>
        <w:jc w:val="right"/>
        <w:rPr>
          <w:rFonts w:ascii="Arial" w:hAnsi="Arial" w:cs="Arial"/>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0B008F" w:rsidP="00B82F08">
      <w:pPr>
        <w:spacing w:before="0" w:line="271" w:lineRule="auto"/>
        <w:ind w:hanging="360"/>
        <w:rPr>
          <w:rFonts w:ascii="Arial" w:hAnsi="Arial" w:cs="Arial"/>
          <w:sz w:val="22"/>
          <w:szCs w:val="22"/>
        </w:rPr>
      </w:pPr>
      <w:r w:rsidRPr="00BD4CAC">
        <w:rPr>
          <w:rFonts w:ascii="Arial" w:hAnsi="Arial" w:cs="Arial"/>
          <w:noProof/>
          <w:sz w:val="22"/>
          <w:szCs w:val="22"/>
          <w:lang w:eastAsia="en-ZA"/>
        </w:rPr>
        <w:drawing>
          <wp:anchor distT="0" distB="0" distL="114300" distR="114300" simplePos="0" relativeHeight="251630080" behindDoc="0" locked="0" layoutInCell="1" allowOverlap="1" wp14:anchorId="2774EBBE" wp14:editId="4B849637">
            <wp:simplePos x="0" y="0"/>
            <wp:positionH relativeFrom="column">
              <wp:posOffset>1381125</wp:posOffset>
            </wp:positionH>
            <wp:positionV relativeFrom="paragraph">
              <wp:posOffset>121920</wp:posOffset>
            </wp:positionV>
            <wp:extent cx="1876425" cy="705485"/>
            <wp:effectExtent l="0" t="0" r="9525"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05485"/>
                    </a:xfrm>
                    <a:prstGeom prst="rect">
                      <a:avLst/>
                    </a:prstGeom>
                    <a:noFill/>
                    <a:ln>
                      <a:noFill/>
                    </a:ln>
                  </pic:spPr>
                </pic:pic>
              </a:graphicData>
            </a:graphic>
          </wp:anchor>
        </w:drawing>
      </w: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E26270" w:rsidRPr="00BD4CAC" w:rsidRDefault="00E26270" w:rsidP="00B82F08">
      <w:pPr>
        <w:spacing w:before="0" w:line="271" w:lineRule="auto"/>
        <w:ind w:left="2700"/>
        <w:rPr>
          <w:rFonts w:ascii="Arial" w:hAnsi="Arial" w:cs="Arial"/>
          <w:b/>
          <w:sz w:val="22"/>
          <w:szCs w:val="22"/>
        </w:rPr>
      </w:pPr>
    </w:p>
    <w:p w:rsidR="00E017AA" w:rsidRPr="00BD4CAC" w:rsidRDefault="00E017AA" w:rsidP="00B82F08">
      <w:pPr>
        <w:pBdr>
          <w:bottom w:val="single" w:sz="6" w:space="1" w:color="auto"/>
        </w:pBdr>
        <w:spacing w:before="0" w:line="271" w:lineRule="auto"/>
        <w:jc w:val="center"/>
        <w:rPr>
          <w:rFonts w:ascii="Arial" w:eastAsiaTheme="minorHAnsi" w:hAnsi="Arial" w:cs="Arial"/>
          <w:i/>
          <w:sz w:val="28"/>
          <w:szCs w:val="28"/>
          <w:lang w:val="en-GB" w:eastAsia="en-US"/>
        </w:rPr>
      </w:pPr>
      <w:r w:rsidRPr="00BD4CAC">
        <w:rPr>
          <w:rFonts w:ascii="Arial" w:eastAsiaTheme="minorHAnsi" w:hAnsi="Arial" w:cs="Arial"/>
          <w:i/>
          <w:sz w:val="28"/>
          <w:szCs w:val="28"/>
          <w:lang w:val="en-GB" w:eastAsia="en-US"/>
        </w:rPr>
        <w:t xml:space="preserve">Guide for Registered Auditors </w:t>
      </w:r>
    </w:p>
    <w:p w:rsidR="00E017AA" w:rsidRPr="00BD4CAC" w:rsidRDefault="00E017AA" w:rsidP="00B82F08">
      <w:pPr>
        <w:pBdr>
          <w:bottom w:val="single" w:sz="6" w:space="1" w:color="auto"/>
        </w:pBdr>
        <w:spacing w:before="0" w:line="271" w:lineRule="auto"/>
        <w:jc w:val="center"/>
        <w:rPr>
          <w:rFonts w:ascii="Arial" w:hAnsi="Arial" w:cs="Arial"/>
          <w:b/>
          <w:sz w:val="28"/>
          <w:szCs w:val="28"/>
        </w:rPr>
      </w:pPr>
    </w:p>
    <w:p w:rsidR="00E017AA" w:rsidRPr="00F463BC" w:rsidRDefault="00A10FE8" w:rsidP="00B82F08">
      <w:pPr>
        <w:spacing w:before="0" w:line="271" w:lineRule="auto"/>
        <w:jc w:val="center"/>
        <w:rPr>
          <w:rFonts w:ascii="Arial" w:hAnsi="Arial" w:cs="Arial"/>
          <w:b/>
          <w:sz w:val="32"/>
          <w:szCs w:val="32"/>
        </w:rPr>
      </w:pPr>
      <w:r>
        <w:rPr>
          <w:rFonts w:ascii="Arial" w:hAnsi="Arial" w:cs="Arial"/>
          <w:b/>
          <w:sz w:val="32"/>
          <w:szCs w:val="32"/>
        </w:rPr>
        <w:t xml:space="preserve">Assurance </w:t>
      </w:r>
      <w:r w:rsidR="00E36144" w:rsidRPr="00BD4CAC">
        <w:rPr>
          <w:rFonts w:ascii="Arial" w:hAnsi="Arial" w:cs="Arial"/>
          <w:b/>
          <w:sz w:val="32"/>
          <w:szCs w:val="32"/>
        </w:rPr>
        <w:t xml:space="preserve">Engagements on the </w:t>
      </w:r>
      <w:r w:rsidR="00527238" w:rsidRPr="00BD4CAC">
        <w:rPr>
          <w:rFonts w:ascii="Arial" w:hAnsi="Arial" w:cs="Arial"/>
          <w:b/>
          <w:sz w:val="32"/>
          <w:szCs w:val="32"/>
        </w:rPr>
        <w:t xml:space="preserve">Annual </w:t>
      </w:r>
      <w:r w:rsidR="00E36144" w:rsidRPr="00BD4CAC">
        <w:rPr>
          <w:rFonts w:ascii="Arial" w:hAnsi="Arial" w:cs="Arial"/>
          <w:b/>
          <w:sz w:val="32"/>
          <w:szCs w:val="32"/>
        </w:rPr>
        <w:t xml:space="preserve">Financial Statements and </w:t>
      </w:r>
      <w:r w:rsidR="002B7489" w:rsidRPr="00BD4CAC">
        <w:rPr>
          <w:rFonts w:ascii="Arial" w:hAnsi="Arial" w:cs="Arial"/>
          <w:b/>
          <w:sz w:val="32"/>
          <w:szCs w:val="32"/>
        </w:rPr>
        <w:t xml:space="preserve">Annual </w:t>
      </w:r>
      <w:r w:rsidR="002B7489" w:rsidRPr="00F463BC">
        <w:rPr>
          <w:rFonts w:ascii="Arial" w:hAnsi="Arial" w:cs="Arial"/>
          <w:b/>
          <w:sz w:val="32"/>
          <w:szCs w:val="32"/>
        </w:rPr>
        <w:t>Statutory</w:t>
      </w:r>
      <w:r w:rsidR="00E36144" w:rsidRPr="00F463BC">
        <w:rPr>
          <w:rFonts w:ascii="Arial" w:hAnsi="Arial" w:cs="Arial"/>
          <w:b/>
          <w:sz w:val="32"/>
          <w:szCs w:val="32"/>
        </w:rPr>
        <w:t xml:space="preserve"> Returns</w:t>
      </w:r>
      <w:r w:rsidR="00E017AA" w:rsidRPr="00F463BC">
        <w:rPr>
          <w:rFonts w:ascii="Arial" w:hAnsi="Arial" w:cs="Arial"/>
          <w:b/>
          <w:sz w:val="32"/>
          <w:szCs w:val="32"/>
        </w:rPr>
        <w:t xml:space="preserve"> of a Medical Scheme</w:t>
      </w:r>
    </w:p>
    <w:p w:rsidR="009F4437" w:rsidRDefault="009F4437" w:rsidP="009F4437">
      <w:pPr>
        <w:spacing w:after="0"/>
        <w:rPr>
          <w:lang w:val="en-GB"/>
        </w:rPr>
      </w:pPr>
    </w:p>
    <w:p w:rsidR="009F4437" w:rsidRPr="009F4437" w:rsidRDefault="009F4437" w:rsidP="009F4437">
      <w:pPr>
        <w:spacing w:after="0"/>
        <w:rPr>
          <w:rFonts w:ascii="Arial" w:hAnsi="Arial" w:cs="Arial"/>
          <w:sz w:val="22"/>
          <w:szCs w:val="22"/>
          <w:lang w:val="en-GB"/>
        </w:rPr>
      </w:pPr>
    </w:p>
    <w:tbl>
      <w:tblPr>
        <w:tblStyle w:val="TableGrid"/>
        <w:tblpPr w:leftFromText="180" w:rightFromText="180" w:vertAnchor="text" w:tblpX="137" w:tblpY="1"/>
        <w:tblOverlap w:val="never"/>
        <w:tblW w:w="8926" w:type="dxa"/>
        <w:tblLook w:val="04A0" w:firstRow="1" w:lastRow="0" w:firstColumn="1" w:lastColumn="0" w:noHBand="0" w:noVBand="1"/>
      </w:tblPr>
      <w:tblGrid>
        <w:gridCol w:w="8926"/>
      </w:tblGrid>
      <w:tr w:rsidR="009F4437" w:rsidRPr="009F4437" w:rsidTr="00C82670">
        <w:tc>
          <w:tcPr>
            <w:tcW w:w="8926" w:type="dxa"/>
          </w:tcPr>
          <w:p w:rsidR="009F4437" w:rsidRPr="009F4437" w:rsidRDefault="009F4437" w:rsidP="00040C95">
            <w:pPr>
              <w:spacing w:before="0" w:after="80"/>
              <w:rPr>
                <w:rFonts w:ascii="Arial" w:hAnsi="Arial" w:cs="Arial"/>
                <w:color w:val="7C7C7C"/>
                <w:sz w:val="22"/>
                <w:szCs w:val="22"/>
              </w:rPr>
            </w:pPr>
            <w:r w:rsidRPr="009F4437">
              <w:rPr>
                <w:rFonts w:ascii="Arial" w:hAnsi="Arial" w:cs="Arial"/>
                <w:b/>
                <w:bCs/>
                <w:color w:val="FF0000"/>
                <w:sz w:val="22"/>
                <w:szCs w:val="22"/>
              </w:rPr>
              <w:t>Warning to Readers</w:t>
            </w:r>
          </w:p>
          <w:p w:rsidR="009F4437" w:rsidRDefault="009F4437" w:rsidP="00040C95">
            <w:pPr>
              <w:spacing w:before="0" w:after="80"/>
              <w:rPr>
                <w:rFonts w:ascii="Arial" w:hAnsi="Arial" w:cs="Arial"/>
                <w:color w:val="FF0000"/>
                <w:sz w:val="22"/>
                <w:szCs w:val="22"/>
              </w:rPr>
            </w:pPr>
            <w:r w:rsidRPr="009F4437">
              <w:rPr>
                <w:rFonts w:ascii="Arial" w:hAnsi="Arial" w:cs="Arial"/>
                <w:color w:val="FF0000"/>
                <w:sz w:val="22"/>
                <w:szCs w:val="22"/>
              </w:rPr>
              <w:t xml:space="preserve">Registered auditors are alerted to the fact that </w:t>
            </w:r>
            <w:r>
              <w:rPr>
                <w:rFonts w:ascii="Arial" w:hAnsi="Arial" w:cs="Arial"/>
                <w:color w:val="FF0000"/>
                <w:sz w:val="22"/>
                <w:szCs w:val="22"/>
              </w:rPr>
              <w:t xml:space="preserve">this Guide </w:t>
            </w:r>
            <w:r w:rsidRPr="009F4437">
              <w:rPr>
                <w:rFonts w:ascii="Arial" w:hAnsi="Arial" w:cs="Arial"/>
                <w:color w:val="FF0000"/>
                <w:sz w:val="22"/>
                <w:szCs w:val="22"/>
              </w:rPr>
              <w:t>has not been updated for</w:t>
            </w:r>
            <w:r>
              <w:rPr>
                <w:rFonts w:ascii="Arial" w:hAnsi="Arial" w:cs="Arial"/>
                <w:color w:val="FF0000"/>
                <w:sz w:val="22"/>
                <w:szCs w:val="22"/>
              </w:rPr>
              <w:t>:</w:t>
            </w:r>
          </w:p>
          <w:p w:rsidR="009F4437" w:rsidRDefault="009F4437" w:rsidP="00040C95">
            <w:pPr>
              <w:pStyle w:val="ListParagraph"/>
              <w:numPr>
                <w:ilvl w:val="0"/>
                <w:numId w:val="338"/>
              </w:numPr>
              <w:spacing w:after="80" w:line="240" w:lineRule="auto"/>
              <w:contextualSpacing w:val="0"/>
              <w:jc w:val="both"/>
              <w:rPr>
                <w:rFonts w:ascii="Arial" w:hAnsi="Arial" w:cs="Arial"/>
                <w:color w:val="FF0000"/>
              </w:rPr>
            </w:pPr>
            <w:r w:rsidRPr="009F4437">
              <w:rPr>
                <w:rFonts w:ascii="Arial" w:hAnsi="Arial" w:cs="Arial"/>
                <w:color w:val="FF0000"/>
              </w:rPr>
              <w:t xml:space="preserve">International Standard on Assurance Engagements (ISAE) 3000 (Revised), </w:t>
            </w:r>
            <w:r w:rsidRPr="009F4437">
              <w:rPr>
                <w:rFonts w:ascii="Arial" w:hAnsi="Arial" w:cs="Arial"/>
                <w:i/>
                <w:iCs/>
                <w:color w:val="FF0000"/>
              </w:rPr>
              <w:t>Assurance Engagements Other Than Audits or Reviews of Historical Financial Information</w:t>
            </w:r>
            <w:r w:rsidR="00385DBA">
              <w:rPr>
                <w:rFonts w:ascii="Arial" w:hAnsi="Arial" w:cs="Arial"/>
                <w:color w:val="FF0000"/>
              </w:rPr>
              <w:t>,</w:t>
            </w:r>
            <w:r w:rsidR="00385DBA" w:rsidRPr="009F4437">
              <w:rPr>
                <w:rFonts w:ascii="Arial" w:hAnsi="Arial" w:cs="Arial"/>
                <w:color w:val="FF0000"/>
              </w:rPr>
              <w:t xml:space="preserve"> </w:t>
            </w:r>
            <w:r w:rsidR="00385DBA">
              <w:rPr>
                <w:rFonts w:ascii="Arial" w:hAnsi="Arial" w:cs="Arial"/>
                <w:color w:val="FF0000"/>
              </w:rPr>
              <w:t>w</w:t>
            </w:r>
            <w:r w:rsidR="00385DBA" w:rsidRPr="009F4437">
              <w:rPr>
                <w:rFonts w:ascii="Arial" w:hAnsi="Arial" w:cs="Arial"/>
                <w:color w:val="FF0000"/>
              </w:rPr>
              <w:t>hich is effective for assurance report</w:t>
            </w:r>
            <w:r w:rsidR="00C82670">
              <w:rPr>
                <w:rFonts w:ascii="Arial" w:hAnsi="Arial" w:cs="Arial"/>
                <w:color w:val="FF0000"/>
              </w:rPr>
              <w:t>s dated on or after 15 December </w:t>
            </w:r>
            <w:r w:rsidR="00385DBA" w:rsidRPr="009F4437">
              <w:rPr>
                <w:rFonts w:ascii="Arial" w:hAnsi="Arial" w:cs="Arial"/>
                <w:color w:val="FF0000"/>
              </w:rPr>
              <w:t>2015</w:t>
            </w:r>
            <w:r w:rsidR="00385DBA">
              <w:rPr>
                <w:rFonts w:ascii="Arial" w:hAnsi="Arial" w:cs="Arial"/>
                <w:color w:val="FF0000"/>
              </w:rPr>
              <w:t>;</w:t>
            </w:r>
          </w:p>
          <w:p w:rsidR="009F4437" w:rsidRDefault="009F4437" w:rsidP="00040C95">
            <w:pPr>
              <w:pStyle w:val="ListParagraph"/>
              <w:numPr>
                <w:ilvl w:val="0"/>
                <w:numId w:val="338"/>
              </w:numPr>
              <w:spacing w:after="80" w:line="240" w:lineRule="auto"/>
              <w:contextualSpacing w:val="0"/>
              <w:jc w:val="both"/>
              <w:rPr>
                <w:rFonts w:ascii="Arial" w:hAnsi="Arial" w:cs="Arial"/>
                <w:color w:val="FF0000"/>
              </w:rPr>
            </w:pPr>
            <w:r>
              <w:rPr>
                <w:rFonts w:ascii="Arial" w:hAnsi="Arial" w:cs="Arial"/>
                <w:color w:val="FF0000"/>
              </w:rPr>
              <w:t>T</w:t>
            </w:r>
            <w:r w:rsidRPr="009F4437">
              <w:rPr>
                <w:rFonts w:ascii="Arial" w:hAnsi="Arial" w:cs="Arial"/>
                <w:color w:val="FF0000"/>
              </w:rPr>
              <w:t xml:space="preserve">he new Auditor Reporting standards, namely ISA 700 (Revised), </w:t>
            </w:r>
            <w:r w:rsidR="00385DBA" w:rsidRPr="003979E3">
              <w:rPr>
                <w:rFonts w:ascii="Arial" w:hAnsi="Arial" w:cs="Arial"/>
                <w:i/>
                <w:color w:val="FF0000"/>
              </w:rPr>
              <w:t>Forming an Opinion and Reporting on Financial Statements</w:t>
            </w:r>
            <w:r w:rsidR="00385DBA">
              <w:rPr>
                <w:rFonts w:ascii="Arial" w:hAnsi="Arial" w:cs="Arial"/>
                <w:color w:val="FF0000"/>
              </w:rPr>
              <w:t xml:space="preserve">; </w:t>
            </w:r>
            <w:r w:rsidRPr="009F4437">
              <w:rPr>
                <w:rFonts w:ascii="Arial" w:hAnsi="Arial" w:cs="Arial"/>
                <w:color w:val="FF0000"/>
              </w:rPr>
              <w:t>ISA 701</w:t>
            </w:r>
            <w:r w:rsidR="00385DBA">
              <w:rPr>
                <w:rFonts w:ascii="Arial" w:hAnsi="Arial" w:cs="Arial"/>
                <w:color w:val="FF0000"/>
              </w:rPr>
              <w:t xml:space="preserve">, </w:t>
            </w:r>
            <w:r w:rsidR="003979E3" w:rsidRPr="003979E3">
              <w:rPr>
                <w:rFonts w:ascii="Arial" w:hAnsi="Arial" w:cs="Arial"/>
                <w:i/>
                <w:color w:val="FF0000"/>
              </w:rPr>
              <w:t>Communicating Key Audit Matters in the Independent Auditor's Report</w:t>
            </w:r>
            <w:r w:rsidR="003979E3">
              <w:rPr>
                <w:rFonts w:ascii="Arial" w:hAnsi="Arial" w:cs="Arial"/>
                <w:color w:val="FF0000"/>
              </w:rPr>
              <w:t xml:space="preserve">; </w:t>
            </w:r>
            <w:r>
              <w:rPr>
                <w:rFonts w:ascii="Arial" w:hAnsi="Arial" w:cs="Arial"/>
                <w:color w:val="FF0000"/>
              </w:rPr>
              <w:t>ISA 705</w:t>
            </w:r>
            <w:r w:rsidR="00385DBA">
              <w:rPr>
                <w:rFonts w:ascii="Arial" w:hAnsi="Arial" w:cs="Arial"/>
                <w:color w:val="FF0000"/>
              </w:rPr>
              <w:t xml:space="preserve"> (Revised), </w:t>
            </w:r>
            <w:r w:rsidR="003979E3" w:rsidRPr="003979E3">
              <w:rPr>
                <w:rFonts w:ascii="Arial" w:hAnsi="Arial" w:cs="Arial"/>
                <w:i/>
                <w:color w:val="FF0000"/>
              </w:rPr>
              <w:t xml:space="preserve">Modifications to the Opinion </w:t>
            </w:r>
            <w:r w:rsidR="003979E3">
              <w:rPr>
                <w:rFonts w:ascii="Arial" w:hAnsi="Arial" w:cs="Arial"/>
                <w:i/>
                <w:color w:val="FF0000"/>
              </w:rPr>
              <w:t>in</w:t>
            </w:r>
            <w:r w:rsidR="003979E3" w:rsidRPr="003979E3">
              <w:rPr>
                <w:rFonts w:ascii="Arial" w:hAnsi="Arial" w:cs="Arial"/>
                <w:i/>
                <w:color w:val="FF0000"/>
              </w:rPr>
              <w:t xml:space="preserve"> the Independent Auditor’s Report</w:t>
            </w:r>
            <w:r w:rsidR="00385DBA">
              <w:rPr>
                <w:rFonts w:ascii="Arial" w:hAnsi="Arial" w:cs="Arial"/>
                <w:color w:val="FF0000"/>
              </w:rPr>
              <w:t xml:space="preserve">; </w:t>
            </w:r>
            <w:r>
              <w:rPr>
                <w:rFonts w:ascii="Arial" w:hAnsi="Arial" w:cs="Arial"/>
                <w:color w:val="FF0000"/>
              </w:rPr>
              <w:t>ISA 706</w:t>
            </w:r>
            <w:r w:rsidR="00385DBA">
              <w:rPr>
                <w:rFonts w:ascii="Arial" w:hAnsi="Arial" w:cs="Arial"/>
                <w:color w:val="FF0000"/>
              </w:rPr>
              <w:t xml:space="preserve"> (Revised), </w:t>
            </w:r>
            <w:r w:rsidR="003979E3" w:rsidRPr="003979E3">
              <w:rPr>
                <w:rFonts w:ascii="Arial" w:hAnsi="Arial" w:cs="Arial"/>
                <w:i/>
                <w:color w:val="FF0000"/>
              </w:rPr>
              <w:t>Emphasis of Matter Paragraphs and Other Matter Paragraphs in the Independent Auditor’s Report</w:t>
            </w:r>
            <w:r w:rsidR="003979E3">
              <w:rPr>
                <w:rFonts w:ascii="Arial" w:hAnsi="Arial" w:cs="Arial"/>
                <w:color w:val="FF0000"/>
              </w:rPr>
              <w:t>;</w:t>
            </w:r>
            <w:r w:rsidR="00C82670">
              <w:rPr>
                <w:rFonts w:ascii="Arial" w:hAnsi="Arial" w:cs="Arial"/>
                <w:color w:val="FF0000"/>
              </w:rPr>
              <w:t xml:space="preserve"> ISA </w:t>
            </w:r>
            <w:r>
              <w:rPr>
                <w:rFonts w:ascii="Arial" w:hAnsi="Arial" w:cs="Arial"/>
                <w:color w:val="FF0000"/>
              </w:rPr>
              <w:t>800</w:t>
            </w:r>
            <w:r w:rsidR="00385DBA">
              <w:rPr>
                <w:rFonts w:ascii="Arial" w:hAnsi="Arial" w:cs="Arial"/>
                <w:color w:val="FF0000"/>
              </w:rPr>
              <w:t xml:space="preserve"> (Revised), </w:t>
            </w:r>
            <w:r w:rsidR="003979E3" w:rsidRPr="003979E3">
              <w:rPr>
                <w:rFonts w:ascii="Arial" w:hAnsi="Arial" w:cs="Arial"/>
                <w:i/>
                <w:color w:val="FF0000"/>
              </w:rPr>
              <w:t>Special Considerations – Audits of Financial Statements Prepared in Accordance with Special Purpose Frameworks</w:t>
            </w:r>
            <w:r w:rsidR="00385DBA">
              <w:rPr>
                <w:rFonts w:ascii="Arial" w:hAnsi="Arial" w:cs="Arial"/>
                <w:color w:val="FF0000"/>
              </w:rPr>
              <w:t>; and</w:t>
            </w:r>
            <w:r>
              <w:rPr>
                <w:rFonts w:ascii="Arial" w:hAnsi="Arial" w:cs="Arial"/>
                <w:color w:val="FF0000"/>
              </w:rPr>
              <w:t xml:space="preserve"> ISA 810</w:t>
            </w:r>
            <w:r w:rsidR="00385DBA">
              <w:rPr>
                <w:rFonts w:ascii="Arial" w:hAnsi="Arial" w:cs="Arial"/>
                <w:color w:val="FF0000"/>
              </w:rPr>
              <w:t xml:space="preserve"> (Revised), </w:t>
            </w:r>
            <w:r w:rsidR="003979E3" w:rsidRPr="003979E3">
              <w:rPr>
                <w:rFonts w:ascii="Arial" w:hAnsi="Arial" w:cs="Arial"/>
                <w:i/>
                <w:color w:val="FF0000"/>
              </w:rPr>
              <w:t>Engagements to Report on Summary Financial Statements</w:t>
            </w:r>
            <w:r w:rsidR="00385DBA">
              <w:rPr>
                <w:rFonts w:ascii="Arial" w:hAnsi="Arial" w:cs="Arial"/>
                <w:color w:val="FF0000"/>
              </w:rPr>
              <w:t xml:space="preserve">; </w:t>
            </w:r>
            <w:r w:rsidR="003979E3">
              <w:rPr>
                <w:rFonts w:ascii="Arial" w:hAnsi="Arial" w:cs="Arial"/>
                <w:color w:val="FF0000"/>
              </w:rPr>
              <w:t xml:space="preserve">which are effective </w:t>
            </w:r>
            <w:r w:rsidR="003979E3" w:rsidRPr="003979E3">
              <w:rPr>
                <w:rFonts w:ascii="Arial" w:hAnsi="Arial" w:cs="Arial"/>
                <w:color w:val="FF0000"/>
              </w:rPr>
              <w:t xml:space="preserve">for audits of financial statements for periods ending on or after </w:t>
            </w:r>
            <w:r w:rsidR="003979E3">
              <w:rPr>
                <w:rFonts w:ascii="Arial" w:hAnsi="Arial" w:cs="Arial"/>
                <w:color w:val="FF0000"/>
              </w:rPr>
              <w:t xml:space="preserve">15 </w:t>
            </w:r>
            <w:r w:rsidR="003979E3" w:rsidRPr="003979E3">
              <w:rPr>
                <w:rFonts w:ascii="Arial" w:hAnsi="Arial" w:cs="Arial"/>
                <w:color w:val="FF0000"/>
              </w:rPr>
              <w:t>December 2016</w:t>
            </w:r>
            <w:r w:rsidR="003979E3">
              <w:rPr>
                <w:rFonts w:ascii="Arial" w:hAnsi="Arial" w:cs="Arial"/>
                <w:color w:val="FF0000"/>
              </w:rPr>
              <w:t>.</w:t>
            </w:r>
          </w:p>
          <w:p w:rsidR="00385DBA" w:rsidRDefault="00385DBA" w:rsidP="00040C95">
            <w:pPr>
              <w:pStyle w:val="ListParagraph"/>
              <w:numPr>
                <w:ilvl w:val="0"/>
                <w:numId w:val="338"/>
              </w:numPr>
              <w:spacing w:after="80" w:line="240" w:lineRule="auto"/>
              <w:contextualSpacing w:val="0"/>
              <w:jc w:val="both"/>
              <w:rPr>
                <w:rFonts w:ascii="Arial" w:hAnsi="Arial" w:cs="Arial"/>
                <w:color w:val="FF0000"/>
              </w:rPr>
            </w:pPr>
            <w:r>
              <w:rPr>
                <w:rFonts w:ascii="Arial" w:hAnsi="Arial" w:cs="Arial"/>
                <w:color w:val="FF0000"/>
              </w:rPr>
              <w:t xml:space="preserve">ISA 720 (Revised), </w:t>
            </w:r>
            <w:r w:rsidR="003979E3" w:rsidRPr="00E47C17">
              <w:rPr>
                <w:rFonts w:ascii="Arial" w:hAnsi="Arial" w:cs="Arial"/>
                <w:i/>
                <w:color w:val="FF0000"/>
              </w:rPr>
              <w:t>The Auditor’s Responsibilities Relating to Other Information</w:t>
            </w:r>
            <w:r w:rsidR="003979E3">
              <w:rPr>
                <w:rFonts w:ascii="Arial" w:hAnsi="Arial" w:cs="Arial"/>
                <w:color w:val="FF0000"/>
              </w:rPr>
              <w:t xml:space="preserve">, </w:t>
            </w:r>
            <w:r w:rsidR="00E47C17">
              <w:rPr>
                <w:rFonts w:ascii="Arial" w:hAnsi="Arial" w:cs="Arial"/>
                <w:color w:val="FF0000"/>
              </w:rPr>
              <w:t xml:space="preserve">which is effective for </w:t>
            </w:r>
            <w:r w:rsidR="00E47C17" w:rsidRPr="003979E3">
              <w:rPr>
                <w:rFonts w:ascii="Arial" w:hAnsi="Arial" w:cs="Arial"/>
                <w:color w:val="FF0000"/>
              </w:rPr>
              <w:t xml:space="preserve">audits of financial statements for periods ending on or after </w:t>
            </w:r>
            <w:r w:rsidR="00C82670">
              <w:rPr>
                <w:rFonts w:ascii="Arial" w:hAnsi="Arial" w:cs="Arial"/>
                <w:color w:val="FF0000"/>
              </w:rPr>
              <w:t>15 </w:t>
            </w:r>
            <w:r w:rsidR="00E47C17" w:rsidRPr="003979E3">
              <w:rPr>
                <w:rFonts w:ascii="Arial" w:hAnsi="Arial" w:cs="Arial"/>
                <w:color w:val="FF0000"/>
              </w:rPr>
              <w:t>December 2016</w:t>
            </w:r>
            <w:r w:rsidR="00E47C17">
              <w:rPr>
                <w:rFonts w:ascii="Arial" w:hAnsi="Arial" w:cs="Arial"/>
                <w:color w:val="FF0000"/>
              </w:rPr>
              <w:t>;</w:t>
            </w:r>
          </w:p>
          <w:p w:rsidR="009F4437" w:rsidRPr="009F4437" w:rsidRDefault="009F4437" w:rsidP="00040C95">
            <w:pPr>
              <w:spacing w:before="0" w:after="80"/>
              <w:rPr>
                <w:rFonts w:ascii="Arial" w:hAnsi="Arial" w:cs="Arial"/>
                <w:noProof/>
                <w:sz w:val="22"/>
                <w:szCs w:val="22"/>
                <w:lang w:val="en-GB"/>
              </w:rPr>
            </w:pPr>
            <w:r w:rsidRPr="009F4437">
              <w:rPr>
                <w:rFonts w:ascii="Arial" w:hAnsi="Arial" w:cs="Arial"/>
                <w:color w:val="FF0000"/>
                <w:sz w:val="22"/>
                <w:szCs w:val="22"/>
              </w:rPr>
              <w:t xml:space="preserve">except for </w:t>
            </w:r>
            <w:r w:rsidR="00040C95" w:rsidRPr="00040C95">
              <w:rPr>
                <w:rFonts w:ascii="Arial" w:hAnsi="Arial" w:cs="Arial"/>
                <w:color w:val="FF0000"/>
                <w:sz w:val="22"/>
                <w:szCs w:val="22"/>
              </w:rPr>
              <w:t xml:space="preserve">Appendix 5 – Report on the Financial Statements (ISA 700 </w:t>
            </w:r>
            <w:r w:rsidR="00040C95">
              <w:rPr>
                <w:rFonts w:ascii="Arial" w:hAnsi="Arial" w:cs="Arial"/>
                <w:color w:val="FF0000"/>
                <w:sz w:val="22"/>
                <w:szCs w:val="22"/>
              </w:rPr>
              <w:t xml:space="preserve">(Revised) </w:t>
            </w:r>
            <w:r w:rsidR="00040C95" w:rsidRPr="00040C95">
              <w:rPr>
                <w:rFonts w:ascii="Arial" w:hAnsi="Arial" w:cs="Arial"/>
                <w:color w:val="FF0000"/>
                <w:sz w:val="22"/>
                <w:szCs w:val="22"/>
              </w:rPr>
              <w:t>Report)</w:t>
            </w:r>
            <w:r w:rsidR="00040C95">
              <w:rPr>
                <w:rFonts w:ascii="Arial" w:hAnsi="Arial" w:cs="Arial"/>
                <w:color w:val="FF0000"/>
                <w:sz w:val="22"/>
                <w:szCs w:val="22"/>
              </w:rPr>
              <w:t xml:space="preserve">; </w:t>
            </w:r>
            <w:r w:rsidR="00040C95" w:rsidRPr="00040C95">
              <w:rPr>
                <w:rFonts w:ascii="Arial" w:hAnsi="Arial" w:cs="Arial"/>
                <w:color w:val="FF0000"/>
                <w:sz w:val="22"/>
                <w:szCs w:val="22"/>
              </w:rPr>
              <w:t xml:space="preserve">Appendix 6 – Report on Parts 4 to 10 of the Annual Statutory Return (combined ISA 800 </w:t>
            </w:r>
            <w:r w:rsidR="00040C95">
              <w:rPr>
                <w:rFonts w:ascii="Arial" w:hAnsi="Arial" w:cs="Arial"/>
                <w:color w:val="FF0000"/>
                <w:sz w:val="22"/>
                <w:szCs w:val="22"/>
              </w:rPr>
              <w:t xml:space="preserve">(Revised) </w:t>
            </w:r>
            <w:r w:rsidR="00040C95" w:rsidRPr="00040C95">
              <w:rPr>
                <w:rFonts w:ascii="Arial" w:hAnsi="Arial" w:cs="Arial"/>
                <w:color w:val="FF0000"/>
                <w:sz w:val="22"/>
                <w:szCs w:val="22"/>
              </w:rPr>
              <w:t>and ISRE 2410 Report</w:t>
            </w:r>
            <w:r w:rsidR="00C82670">
              <w:rPr>
                <w:rFonts w:ascii="Arial" w:hAnsi="Arial" w:cs="Arial"/>
                <w:color w:val="FF0000"/>
                <w:sz w:val="22"/>
                <w:szCs w:val="22"/>
              </w:rPr>
              <w:t>s</w:t>
            </w:r>
            <w:r w:rsidR="00040C95" w:rsidRPr="00040C95">
              <w:rPr>
                <w:rFonts w:ascii="Arial" w:hAnsi="Arial" w:cs="Arial"/>
                <w:color w:val="FF0000"/>
                <w:sz w:val="22"/>
                <w:szCs w:val="22"/>
              </w:rPr>
              <w:t>)</w:t>
            </w:r>
            <w:r w:rsidR="00040C95">
              <w:rPr>
                <w:rFonts w:ascii="Arial" w:hAnsi="Arial" w:cs="Arial"/>
                <w:color w:val="FF0000"/>
                <w:sz w:val="22"/>
                <w:szCs w:val="22"/>
              </w:rPr>
              <w:t xml:space="preserve">; </w:t>
            </w:r>
            <w:r w:rsidR="00040C95" w:rsidRPr="00040C95">
              <w:rPr>
                <w:rFonts w:ascii="Arial" w:hAnsi="Arial" w:cs="Arial"/>
                <w:color w:val="FF0000"/>
                <w:sz w:val="22"/>
                <w:szCs w:val="22"/>
              </w:rPr>
              <w:t>Appendix 7 – Assurance Report on Compliance with Sections 36(5) and 36(8) of the Act (ISAE 3000 (Revised) Report)</w:t>
            </w:r>
            <w:r w:rsidR="00040C95">
              <w:rPr>
                <w:rFonts w:ascii="Arial" w:hAnsi="Arial" w:cs="Arial"/>
                <w:color w:val="FF0000"/>
                <w:sz w:val="22"/>
                <w:szCs w:val="22"/>
              </w:rPr>
              <w:t xml:space="preserve">; and </w:t>
            </w:r>
            <w:r w:rsidR="00040C95" w:rsidRPr="00040C95">
              <w:rPr>
                <w:rFonts w:ascii="Arial" w:hAnsi="Arial" w:cs="Arial"/>
                <w:color w:val="FF0000"/>
                <w:sz w:val="22"/>
                <w:szCs w:val="22"/>
              </w:rPr>
              <w:t xml:space="preserve">Appendix 8 – Report on the Summary Financial Statements (ISA 810 </w:t>
            </w:r>
            <w:r w:rsidR="00040C95">
              <w:rPr>
                <w:rFonts w:ascii="Arial" w:hAnsi="Arial" w:cs="Arial"/>
                <w:color w:val="FF0000"/>
                <w:sz w:val="22"/>
                <w:szCs w:val="22"/>
              </w:rPr>
              <w:t xml:space="preserve">(Revised) </w:t>
            </w:r>
            <w:r w:rsidR="00040C95" w:rsidRPr="00040C95">
              <w:rPr>
                <w:rFonts w:ascii="Arial" w:hAnsi="Arial" w:cs="Arial"/>
                <w:color w:val="FF0000"/>
                <w:sz w:val="22"/>
                <w:szCs w:val="22"/>
              </w:rPr>
              <w:t>Repor</w:t>
            </w:r>
            <w:r w:rsidR="00040C95">
              <w:rPr>
                <w:rFonts w:ascii="Arial" w:hAnsi="Arial" w:cs="Arial"/>
                <w:color w:val="FF0000"/>
                <w:sz w:val="22"/>
                <w:szCs w:val="22"/>
              </w:rPr>
              <w:t xml:space="preserve">t); </w:t>
            </w:r>
            <w:r w:rsidRPr="009F4437">
              <w:rPr>
                <w:rFonts w:ascii="Arial" w:hAnsi="Arial" w:cs="Arial"/>
                <w:color w:val="FF0000"/>
                <w:sz w:val="22"/>
                <w:szCs w:val="22"/>
              </w:rPr>
              <w:t>which have been updated.</w:t>
            </w:r>
          </w:p>
        </w:tc>
      </w:tr>
    </w:tbl>
    <w:p w:rsidR="00044CFC" w:rsidRPr="00AD04F5" w:rsidRDefault="00044CFC" w:rsidP="00044CFC">
      <w:pPr>
        <w:spacing w:after="0" w:line="271" w:lineRule="auto"/>
        <w:jc w:val="center"/>
        <w:rPr>
          <w:rFonts w:ascii="Arial" w:hAnsi="Arial" w:cs="Arial"/>
          <w:sz w:val="22"/>
          <w:szCs w:val="22"/>
          <w:lang w:eastAsia="en-ZA"/>
        </w:rPr>
      </w:pPr>
      <w:r w:rsidRPr="00AD04F5">
        <w:rPr>
          <w:rFonts w:ascii="Arial" w:hAnsi="Arial" w:cs="Arial"/>
          <w:sz w:val="22"/>
          <w:szCs w:val="22"/>
          <w:lang w:eastAsia="en-ZA"/>
        </w:rPr>
        <w:lastRenderedPageBreak/>
        <w:t>Independent Regulatory Board for Auditors</w:t>
      </w:r>
    </w:p>
    <w:p w:rsidR="00044CFC" w:rsidRPr="00AD04F5" w:rsidRDefault="00044CFC" w:rsidP="00044CFC">
      <w:pPr>
        <w:spacing w:after="0" w:line="271" w:lineRule="auto"/>
        <w:jc w:val="center"/>
        <w:rPr>
          <w:rFonts w:ascii="Arial" w:hAnsi="Arial" w:cs="Arial"/>
          <w:sz w:val="22"/>
          <w:szCs w:val="22"/>
          <w:lang w:eastAsia="en-ZA"/>
        </w:rPr>
      </w:pPr>
      <w:r w:rsidRPr="00AD04F5">
        <w:rPr>
          <w:rFonts w:ascii="Arial" w:hAnsi="Arial" w:cs="Arial"/>
          <w:sz w:val="22"/>
          <w:szCs w:val="22"/>
          <w:lang w:eastAsia="en-ZA"/>
        </w:rPr>
        <w:t>PO Box 8237, Greenstone, 1616</w:t>
      </w:r>
    </w:p>
    <w:p w:rsidR="00044CFC" w:rsidRPr="00AD04F5" w:rsidRDefault="00044CFC" w:rsidP="00044CFC">
      <w:pPr>
        <w:spacing w:after="0" w:line="271" w:lineRule="auto"/>
        <w:jc w:val="center"/>
        <w:rPr>
          <w:rFonts w:ascii="Arial" w:hAnsi="Arial" w:cs="Arial"/>
          <w:sz w:val="22"/>
          <w:szCs w:val="22"/>
        </w:rPr>
      </w:pPr>
      <w:r w:rsidRPr="00AD04F5">
        <w:rPr>
          <w:rFonts w:ascii="Arial" w:hAnsi="Arial" w:cs="Arial"/>
          <w:sz w:val="22"/>
          <w:szCs w:val="22"/>
          <w:lang w:eastAsia="en-ZA"/>
        </w:rPr>
        <w:t>Johannesburg</w:t>
      </w:r>
    </w:p>
    <w:p w:rsidR="00044CFC" w:rsidRPr="00AD04F5" w:rsidRDefault="00044CFC" w:rsidP="00044CFC">
      <w:pPr>
        <w:spacing w:line="276" w:lineRule="auto"/>
        <w:rPr>
          <w:rFonts w:ascii="Arial" w:hAnsi="Arial" w:cs="Arial"/>
          <w:sz w:val="22"/>
          <w:szCs w:val="22"/>
        </w:rPr>
      </w:pPr>
    </w:p>
    <w:p w:rsidR="00044CFC" w:rsidRPr="00AD04F5" w:rsidRDefault="00044CFC" w:rsidP="00044CFC">
      <w:pPr>
        <w:spacing w:line="276" w:lineRule="auto"/>
        <w:ind w:right="-108"/>
        <w:rPr>
          <w:rFonts w:ascii="Arial" w:hAnsi="Arial" w:cs="Arial"/>
          <w:sz w:val="22"/>
          <w:szCs w:val="22"/>
        </w:rPr>
      </w:pPr>
      <w:r w:rsidRPr="00AD04F5">
        <w:rPr>
          <w:rFonts w:ascii="Arial" w:hAnsi="Arial" w:cs="Arial"/>
          <w:sz w:val="22"/>
          <w:szCs w:val="22"/>
        </w:rPr>
        <w:t>This Guide for Registered Auditors:</w:t>
      </w:r>
      <w:r w:rsidRPr="00AD04F5">
        <w:rPr>
          <w:rFonts w:ascii="Arial" w:hAnsi="Arial" w:cs="Arial"/>
          <w:i/>
          <w:sz w:val="22"/>
          <w:szCs w:val="22"/>
        </w:rPr>
        <w:t xml:space="preserve"> </w:t>
      </w:r>
      <w:r w:rsidR="00A10FE8">
        <w:rPr>
          <w:rFonts w:ascii="Arial" w:hAnsi="Arial" w:cs="Arial"/>
          <w:i/>
          <w:sz w:val="22"/>
          <w:szCs w:val="22"/>
        </w:rPr>
        <w:t xml:space="preserve">Assurance </w:t>
      </w:r>
      <w:r w:rsidRPr="00F463BC">
        <w:rPr>
          <w:rFonts w:ascii="Arial" w:hAnsi="Arial" w:cs="Arial"/>
          <w:i/>
          <w:sz w:val="22"/>
          <w:szCs w:val="22"/>
        </w:rPr>
        <w:t>Engagements on the Annual Financial Statements and Annual Statutory Returns of a Medical Scheme</w:t>
      </w:r>
      <w:r w:rsidRPr="00F463BC">
        <w:rPr>
          <w:rFonts w:ascii="Arial" w:hAnsi="Arial" w:cs="Arial"/>
          <w:sz w:val="22"/>
          <w:szCs w:val="22"/>
        </w:rPr>
        <w:t xml:space="preserve"> </w:t>
      </w:r>
      <w:r w:rsidRPr="00AD04F5">
        <w:rPr>
          <w:rFonts w:ascii="Arial" w:hAnsi="Arial" w:cs="Arial"/>
          <w:sz w:val="22"/>
          <w:szCs w:val="22"/>
        </w:rPr>
        <w:t xml:space="preserve">was prepared by the Committee for Auditing Standards (CFAS) of the Independent Regulatory Board for Auditors (IRBA) and was approved for issue in </w:t>
      </w:r>
      <w:r>
        <w:rPr>
          <w:rFonts w:ascii="Arial" w:hAnsi="Arial" w:cs="Arial"/>
          <w:sz w:val="22"/>
          <w:szCs w:val="22"/>
        </w:rPr>
        <w:t>March 2015</w:t>
      </w:r>
      <w:r w:rsidRPr="00AD04F5">
        <w:rPr>
          <w:rFonts w:ascii="Arial" w:hAnsi="Arial" w:cs="Arial"/>
          <w:sz w:val="22"/>
          <w:szCs w:val="22"/>
        </w:rPr>
        <w:t>.</w:t>
      </w:r>
      <w:r w:rsidR="00B7204E">
        <w:rPr>
          <w:rFonts w:ascii="Arial" w:hAnsi="Arial" w:cs="Arial"/>
          <w:sz w:val="22"/>
          <w:szCs w:val="22"/>
        </w:rPr>
        <w:t xml:space="preserve"> The auditor reports in Appendices 5, 6, 7 and 8 were updated in </w:t>
      </w:r>
      <w:r w:rsidR="00FD18FF">
        <w:rPr>
          <w:rFonts w:ascii="Arial" w:hAnsi="Arial" w:cs="Arial"/>
          <w:sz w:val="22"/>
          <w:szCs w:val="22"/>
        </w:rPr>
        <w:t>July</w:t>
      </w:r>
      <w:r w:rsidR="00B7204E">
        <w:rPr>
          <w:rFonts w:ascii="Arial" w:hAnsi="Arial" w:cs="Arial"/>
          <w:sz w:val="22"/>
          <w:szCs w:val="22"/>
        </w:rPr>
        <w:t xml:space="preserve"> 2016.</w:t>
      </w:r>
    </w:p>
    <w:p w:rsidR="00044CFC" w:rsidRPr="00AD04F5" w:rsidRDefault="00044CFC" w:rsidP="00044CFC">
      <w:pPr>
        <w:spacing w:line="276" w:lineRule="auto"/>
        <w:ind w:right="-108"/>
        <w:rPr>
          <w:rFonts w:ascii="Arial" w:hAnsi="Arial" w:cs="Arial"/>
          <w:sz w:val="22"/>
          <w:szCs w:val="22"/>
        </w:rPr>
      </w:pPr>
      <w:r w:rsidRPr="00AD04F5">
        <w:rPr>
          <w:rFonts w:ascii="Arial" w:hAnsi="Arial" w:cs="Arial"/>
          <w:sz w:val="22"/>
          <w:szCs w:val="22"/>
        </w:rPr>
        <w:t xml:space="preserve">The </w:t>
      </w:r>
      <w:r w:rsidR="005354B1">
        <w:rPr>
          <w:rFonts w:ascii="Arial" w:hAnsi="Arial" w:cs="Arial"/>
          <w:sz w:val="22"/>
          <w:szCs w:val="22"/>
        </w:rPr>
        <w:t>purpose</w:t>
      </w:r>
      <w:r w:rsidRPr="00AD04F5">
        <w:rPr>
          <w:rFonts w:ascii="Arial" w:hAnsi="Arial" w:cs="Arial"/>
          <w:sz w:val="22"/>
          <w:szCs w:val="22"/>
        </w:rPr>
        <w:t xml:space="preserve"> of this Guide is to provide guidance </w:t>
      </w:r>
      <w:r w:rsidRPr="00F463BC">
        <w:rPr>
          <w:rFonts w:ascii="Arial" w:hAnsi="Arial" w:cs="Arial"/>
          <w:sz w:val="22"/>
          <w:szCs w:val="22"/>
        </w:rPr>
        <w:t xml:space="preserve">to a registered auditor on conducting an </w:t>
      </w:r>
      <w:r w:rsidR="00977DFE">
        <w:rPr>
          <w:rFonts w:ascii="Arial" w:hAnsi="Arial" w:cs="Arial"/>
          <w:sz w:val="22"/>
          <w:szCs w:val="22"/>
        </w:rPr>
        <w:t xml:space="preserve">assurance </w:t>
      </w:r>
      <w:r w:rsidRPr="00F463BC">
        <w:rPr>
          <w:rFonts w:ascii="Arial" w:hAnsi="Arial" w:cs="Arial"/>
          <w:sz w:val="22"/>
          <w:szCs w:val="22"/>
        </w:rPr>
        <w:t>engagement on the annual financial statements and annual statutory returns of a medical scheme</w:t>
      </w:r>
      <w:r w:rsidRPr="00AD04F5">
        <w:rPr>
          <w:rFonts w:ascii="Arial" w:hAnsi="Arial" w:cs="Arial"/>
          <w:sz w:val="22"/>
          <w:szCs w:val="22"/>
        </w:rPr>
        <w:t>.</w:t>
      </w:r>
    </w:p>
    <w:p w:rsidR="00044CFC" w:rsidRPr="00AD04F5" w:rsidRDefault="00044CFC" w:rsidP="00044CFC">
      <w:pPr>
        <w:spacing w:line="276" w:lineRule="auto"/>
        <w:rPr>
          <w:rFonts w:ascii="Arial" w:hAnsi="Arial" w:cs="Arial"/>
          <w:sz w:val="22"/>
          <w:szCs w:val="22"/>
        </w:rPr>
      </w:pPr>
      <w:r>
        <w:rPr>
          <w:rFonts w:ascii="Arial" w:hAnsi="Arial" w:cs="Arial"/>
          <w:sz w:val="22"/>
          <w:szCs w:val="22"/>
        </w:rPr>
        <w:t xml:space="preserve">This </w:t>
      </w:r>
      <w:r w:rsidRPr="00AD04F5">
        <w:rPr>
          <w:rFonts w:ascii="Arial" w:hAnsi="Arial" w:cs="Arial"/>
          <w:sz w:val="22"/>
          <w:szCs w:val="22"/>
        </w:rPr>
        <w:t xml:space="preserve">Guide may be downloaded from the IRBA website: </w:t>
      </w:r>
      <w:hyperlink r:id="rId9" w:history="1">
        <w:r w:rsidRPr="00AD04F5">
          <w:rPr>
            <w:rStyle w:val="Hyperlink"/>
            <w:rFonts w:ascii="Arial" w:hAnsi="Arial" w:cs="Arial"/>
            <w:sz w:val="22"/>
            <w:szCs w:val="22"/>
          </w:rPr>
          <w:t>www.irba.co.za</w:t>
        </w:r>
      </w:hyperlink>
      <w:r w:rsidRPr="00AD04F5">
        <w:rPr>
          <w:rFonts w:ascii="Arial" w:hAnsi="Arial" w:cs="Arial"/>
          <w:sz w:val="22"/>
          <w:szCs w:val="22"/>
        </w:rPr>
        <w:t>.</w:t>
      </w:r>
    </w:p>
    <w:p w:rsidR="00044CFC" w:rsidRPr="00AD04F5" w:rsidRDefault="00044CFC" w:rsidP="00044CFC">
      <w:pPr>
        <w:spacing w:line="276" w:lineRule="auto"/>
        <w:rPr>
          <w:rFonts w:ascii="Arial" w:hAnsi="Arial" w:cs="Arial"/>
          <w:sz w:val="22"/>
          <w:szCs w:val="22"/>
        </w:rPr>
      </w:pPr>
      <w:r w:rsidRPr="00AD04F5">
        <w:rPr>
          <w:rFonts w:ascii="Arial" w:hAnsi="Arial" w:cs="Arial"/>
          <w:sz w:val="22"/>
          <w:szCs w:val="22"/>
        </w:rPr>
        <w:t>The IRBA does not accept responsibility for loss caused to any person who acts or refrains from acting in reliance on the material in the IRBA pronouncements, whether such loss is caused by negligence or otherwise.</w:t>
      </w:r>
    </w:p>
    <w:p w:rsidR="00044CFC" w:rsidRPr="00AD04F5" w:rsidRDefault="00044CFC" w:rsidP="00044CFC">
      <w:pPr>
        <w:spacing w:line="276" w:lineRule="auto"/>
        <w:rPr>
          <w:rFonts w:ascii="Arial" w:hAnsi="Arial" w:cs="Arial"/>
          <w:sz w:val="22"/>
          <w:szCs w:val="22"/>
        </w:rPr>
      </w:pPr>
    </w:p>
    <w:p w:rsidR="00044CFC" w:rsidRPr="00AD04F5" w:rsidRDefault="00044CFC" w:rsidP="00044CFC">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t xml:space="preserve">Copyright © </w:t>
      </w:r>
      <w:r w:rsidR="00FD18FF">
        <w:rPr>
          <w:rFonts w:ascii="Arial" w:hAnsi="Arial" w:cs="Arial"/>
          <w:sz w:val="22"/>
          <w:szCs w:val="22"/>
        </w:rPr>
        <w:t>July</w:t>
      </w:r>
      <w:r w:rsidR="00B7204E">
        <w:rPr>
          <w:rFonts w:ascii="Arial" w:hAnsi="Arial" w:cs="Arial"/>
          <w:sz w:val="22"/>
          <w:szCs w:val="22"/>
        </w:rPr>
        <w:t xml:space="preserve"> 2016</w:t>
      </w:r>
      <w:r w:rsidRPr="00AD04F5">
        <w:rPr>
          <w:rFonts w:ascii="Arial" w:hAnsi="Arial" w:cs="Arial"/>
          <w:sz w:val="22"/>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rsidR="00044CFC" w:rsidRPr="00AD04F5" w:rsidRDefault="00044CFC" w:rsidP="00044CFC">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t>“</w:t>
      </w:r>
      <w:r w:rsidRPr="00AD04F5">
        <w:rPr>
          <w:rFonts w:ascii="Arial" w:hAnsi="Arial" w:cs="Arial"/>
          <w:i/>
          <w:sz w:val="22"/>
          <w:szCs w:val="22"/>
        </w:rPr>
        <w:t>Copyright © by the Independent Regulatory Board for Auditors. All rights reserved. Used with permission of the IRBA.”</w:t>
      </w:r>
      <w:r w:rsidRPr="00AD04F5">
        <w:rPr>
          <w:rFonts w:ascii="Arial" w:hAnsi="Arial" w:cs="Arial"/>
          <w:sz w:val="22"/>
          <w:szCs w:val="22"/>
        </w:rPr>
        <w:t xml:space="preserve"> Otherwise, written permission from the IRBA is required to reproduce, store or transmit this document except as permitted by law.</w:t>
      </w:r>
    </w:p>
    <w:p w:rsidR="00044CFC" w:rsidRPr="00AD04F5" w:rsidRDefault="00044CFC" w:rsidP="00044CFC">
      <w:pPr>
        <w:rPr>
          <w:rFonts w:ascii="Arial" w:hAnsi="Arial" w:cs="Arial"/>
          <w:b/>
          <w:color w:val="000000" w:themeColor="text1"/>
          <w:sz w:val="22"/>
          <w:szCs w:val="22"/>
        </w:rPr>
      </w:pPr>
    </w:p>
    <w:p w:rsidR="00044CFC" w:rsidRDefault="00044CFC" w:rsidP="00944A95">
      <w:pPr>
        <w:tabs>
          <w:tab w:val="right" w:pos="8315"/>
        </w:tabs>
        <w:spacing w:before="0" w:line="271" w:lineRule="auto"/>
        <w:ind w:firstLine="2160"/>
        <w:jc w:val="right"/>
        <w:rPr>
          <w:rFonts w:ascii="Arial" w:hAnsi="Arial" w:cs="Arial"/>
          <w:b/>
          <w:sz w:val="22"/>
          <w:szCs w:val="22"/>
        </w:rPr>
        <w:sectPr w:rsidR="00044CFC" w:rsidSect="00044CFC">
          <w:headerReference w:type="default" r:id="rId10"/>
          <w:headerReference w:type="first" r:id="rId11"/>
          <w:pgSz w:w="11909" w:h="16834" w:code="9"/>
          <w:pgMar w:top="1440" w:right="1440" w:bottom="1440" w:left="1440" w:header="720" w:footer="720" w:gutter="0"/>
          <w:cols w:space="720"/>
          <w:noEndnote/>
          <w:docGrid w:linePitch="326"/>
        </w:sectPr>
      </w:pPr>
    </w:p>
    <w:p w:rsidR="007B6D84" w:rsidRPr="00F463BC" w:rsidRDefault="007B6D84" w:rsidP="00944A95">
      <w:pPr>
        <w:tabs>
          <w:tab w:val="right" w:pos="8315"/>
        </w:tabs>
        <w:spacing w:before="0" w:line="271" w:lineRule="auto"/>
        <w:ind w:firstLine="2160"/>
        <w:jc w:val="right"/>
        <w:rPr>
          <w:rFonts w:ascii="Arial" w:hAnsi="Arial" w:cs="Arial"/>
          <w:b/>
          <w:sz w:val="22"/>
          <w:szCs w:val="22"/>
        </w:rPr>
      </w:pPr>
      <w:r w:rsidRPr="00E753ED">
        <w:rPr>
          <w:rFonts w:ascii="Arial" w:hAnsi="Arial" w:cs="Arial"/>
          <w:b/>
          <w:sz w:val="22"/>
          <w:szCs w:val="22"/>
        </w:rPr>
        <w:lastRenderedPageBreak/>
        <w:t>Page</w:t>
      </w:r>
    </w:p>
    <w:p w:rsidR="001C7887" w:rsidRPr="00F463BC" w:rsidRDefault="001C7887" w:rsidP="00B82F08">
      <w:pPr>
        <w:spacing w:before="0" w:line="271" w:lineRule="auto"/>
        <w:rPr>
          <w:rFonts w:ascii="Arial" w:hAnsi="Arial" w:cs="Arial"/>
          <w:sz w:val="22"/>
          <w:szCs w:val="22"/>
          <w:lang w:val="en-GB" w:eastAsia="en-US"/>
        </w:rPr>
      </w:pPr>
    </w:p>
    <w:bookmarkStart w:id="1" w:name="_Toc300572936"/>
    <w:bookmarkStart w:id="2" w:name="_Toc275178271"/>
    <w:bookmarkStart w:id="3" w:name="_Toc275178335"/>
    <w:bookmarkStart w:id="4" w:name="_Toc275178442"/>
    <w:bookmarkStart w:id="5" w:name="_Toc277749787"/>
    <w:bookmarkStart w:id="6" w:name="_Toc277750657"/>
    <w:bookmarkStart w:id="7" w:name="_Toc277750838"/>
    <w:p w:rsidR="00922652" w:rsidRDefault="00707681">
      <w:pPr>
        <w:pStyle w:val="TOC1"/>
        <w:rPr>
          <w:rFonts w:asciiTheme="minorHAnsi" w:eastAsiaTheme="minorEastAsia" w:hAnsiTheme="minorHAnsi" w:cstheme="minorBidi"/>
          <w:lang w:eastAsia="en-ZA"/>
        </w:rPr>
      </w:pPr>
      <w:r w:rsidRPr="00F463BC">
        <w:rPr>
          <w:rFonts w:cs="Arial"/>
        </w:rPr>
        <w:fldChar w:fldCharType="begin"/>
      </w:r>
      <w:r w:rsidR="00E969ED" w:rsidRPr="00F463BC">
        <w:rPr>
          <w:rFonts w:cs="Arial"/>
        </w:rPr>
        <w:instrText xml:space="preserve"> TOC \o "1-2" \h \z \u </w:instrText>
      </w:r>
      <w:r w:rsidRPr="00F463BC">
        <w:rPr>
          <w:rFonts w:cs="Arial"/>
        </w:rPr>
        <w:fldChar w:fldCharType="separate"/>
      </w:r>
      <w:hyperlink w:anchor="_Toc455582202" w:history="1">
        <w:r w:rsidR="00922652" w:rsidRPr="00833672">
          <w:rPr>
            <w:rStyle w:val="Hyperlink"/>
          </w:rPr>
          <w:t>Introduction</w:t>
        </w:r>
        <w:r w:rsidR="00922652">
          <w:rPr>
            <w:webHidden/>
          </w:rPr>
          <w:tab/>
        </w:r>
        <w:r w:rsidR="00922652">
          <w:rPr>
            <w:webHidden/>
          </w:rPr>
          <w:fldChar w:fldCharType="begin"/>
        </w:r>
        <w:r w:rsidR="00922652">
          <w:rPr>
            <w:webHidden/>
          </w:rPr>
          <w:instrText xml:space="preserve"> PAGEREF _Toc455582202 \h </w:instrText>
        </w:r>
        <w:r w:rsidR="00922652">
          <w:rPr>
            <w:webHidden/>
          </w:rPr>
        </w:r>
        <w:r w:rsidR="00922652">
          <w:rPr>
            <w:webHidden/>
          </w:rPr>
          <w:fldChar w:fldCharType="separate"/>
        </w:r>
        <w:r w:rsidR="00C86F03">
          <w:rPr>
            <w:webHidden/>
          </w:rPr>
          <w:t>5</w:t>
        </w:r>
        <w:r w:rsidR="00922652">
          <w:rPr>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03" w:history="1">
        <w:r w:rsidR="00922652" w:rsidRPr="00833672">
          <w:rPr>
            <w:rStyle w:val="Hyperlink"/>
            <w:noProof/>
          </w:rPr>
          <w:t>Scope of this Guide</w:t>
        </w:r>
        <w:r w:rsidR="00922652">
          <w:rPr>
            <w:noProof/>
            <w:webHidden/>
          </w:rPr>
          <w:tab/>
        </w:r>
        <w:r w:rsidR="00922652">
          <w:rPr>
            <w:noProof/>
            <w:webHidden/>
          </w:rPr>
          <w:fldChar w:fldCharType="begin"/>
        </w:r>
        <w:r w:rsidR="00922652">
          <w:rPr>
            <w:noProof/>
            <w:webHidden/>
          </w:rPr>
          <w:instrText xml:space="preserve"> PAGEREF _Toc455582203 \h </w:instrText>
        </w:r>
        <w:r w:rsidR="00922652">
          <w:rPr>
            <w:noProof/>
            <w:webHidden/>
          </w:rPr>
        </w:r>
        <w:r w:rsidR="00922652">
          <w:rPr>
            <w:noProof/>
            <w:webHidden/>
          </w:rPr>
          <w:fldChar w:fldCharType="separate"/>
        </w:r>
        <w:r>
          <w:rPr>
            <w:noProof/>
            <w:webHidden/>
          </w:rPr>
          <w:t>5</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04" w:history="1">
        <w:r w:rsidR="00922652" w:rsidRPr="00833672">
          <w:rPr>
            <w:rStyle w:val="Hyperlink"/>
            <w:noProof/>
          </w:rPr>
          <w:t>Objectives</w:t>
        </w:r>
        <w:r w:rsidR="00922652">
          <w:rPr>
            <w:noProof/>
            <w:webHidden/>
          </w:rPr>
          <w:tab/>
        </w:r>
        <w:r w:rsidR="00922652">
          <w:rPr>
            <w:noProof/>
            <w:webHidden/>
          </w:rPr>
          <w:fldChar w:fldCharType="begin"/>
        </w:r>
        <w:r w:rsidR="00922652">
          <w:rPr>
            <w:noProof/>
            <w:webHidden/>
          </w:rPr>
          <w:instrText xml:space="preserve"> PAGEREF _Toc455582204 \h </w:instrText>
        </w:r>
        <w:r w:rsidR="00922652">
          <w:rPr>
            <w:noProof/>
            <w:webHidden/>
          </w:rPr>
        </w:r>
        <w:r w:rsidR="00922652">
          <w:rPr>
            <w:noProof/>
            <w:webHidden/>
          </w:rPr>
          <w:fldChar w:fldCharType="separate"/>
        </w:r>
        <w:r>
          <w:rPr>
            <w:noProof/>
            <w:webHidden/>
          </w:rPr>
          <w:t>5</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05" w:history="1">
        <w:r w:rsidR="00922652" w:rsidRPr="00833672">
          <w:rPr>
            <w:rStyle w:val="Hyperlink"/>
            <w:noProof/>
          </w:rPr>
          <w:t>Nature of an engagement on a medical scheme</w:t>
        </w:r>
        <w:r w:rsidR="00922652">
          <w:rPr>
            <w:noProof/>
            <w:webHidden/>
          </w:rPr>
          <w:tab/>
        </w:r>
        <w:r w:rsidR="00922652">
          <w:rPr>
            <w:noProof/>
            <w:webHidden/>
          </w:rPr>
          <w:fldChar w:fldCharType="begin"/>
        </w:r>
        <w:r w:rsidR="00922652">
          <w:rPr>
            <w:noProof/>
            <w:webHidden/>
          </w:rPr>
          <w:instrText xml:space="preserve"> PAGEREF _Toc455582205 \h </w:instrText>
        </w:r>
        <w:r w:rsidR="00922652">
          <w:rPr>
            <w:noProof/>
            <w:webHidden/>
          </w:rPr>
        </w:r>
        <w:r w:rsidR="00922652">
          <w:rPr>
            <w:noProof/>
            <w:webHidden/>
          </w:rPr>
          <w:fldChar w:fldCharType="separate"/>
        </w:r>
        <w:r>
          <w:rPr>
            <w:noProof/>
            <w:webHidden/>
          </w:rPr>
          <w:t>6</w:t>
        </w:r>
        <w:r w:rsidR="00922652">
          <w:rPr>
            <w:noProof/>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06" w:history="1">
        <w:r w:rsidR="00922652" w:rsidRPr="00833672">
          <w:rPr>
            <w:rStyle w:val="Hyperlink"/>
          </w:rPr>
          <w:t>Effective date</w:t>
        </w:r>
        <w:r w:rsidR="00922652">
          <w:rPr>
            <w:webHidden/>
          </w:rPr>
          <w:tab/>
        </w:r>
        <w:r w:rsidR="00922652">
          <w:rPr>
            <w:webHidden/>
          </w:rPr>
          <w:fldChar w:fldCharType="begin"/>
        </w:r>
        <w:r w:rsidR="00922652">
          <w:rPr>
            <w:webHidden/>
          </w:rPr>
          <w:instrText xml:space="preserve"> PAGEREF _Toc455582206 \h </w:instrText>
        </w:r>
        <w:r w:rsidR="00922652">
          <w:rPr>
            <w:webHidden/>
          </w:rPr>
        </w:r>
        <w:r w:rsidR="00922652">
          <w:rPr>
            <w:webHidden/>
          </w:rPr>
          <w:fldChar w:fldCharType="separate"/>
        </w:r>
        <w:r>
          <w:rPr>
            <w:webHidden/>
          </w:rPr>
          <w:t>8</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07" w:history="1">
        <w:r w:rsidR="00922652" w:rsidRPr="00833672">
          <w:rPr>
            <w:rStyle w:val="Hyperlink"/>
          </w:rPr>
          <w:t>Engagement acceptance</w:t>
        </w:r>
        <w:r w:rsidR="00922652">
          <w:rPr>
            <w:webHidden/>
          </w:rPr>
          <w:tab/>
        </w:r>
        <w:r w:rsidR="00922652">
          <w:rPr>
            <w:webHidden/>
          </w:rPr>
          <w:fldChar w:fldCharType="begin"/>
        </w:r>
        <w:r w:rsidR="00922652">
          <w:rPr>
            <w:webHidden/>
          </w:rPr>
          <w:instrText xml:space="preserve"> PAGEREF _Toc455582207 \h </w:instrText>
        </w:r>
        <w:r w:rsidR="00922652">
          <w:rPr>
            <w:webHidden/>
          </w:rPr>
        </w:r>
        <w:r w:rsidR="00922652">
          <w:rPr>
            <w:webHidden/>
          </w:rPr>
          <w:fldChar w:fldCharType="separate"/>
        </w:r>
        <w:r>
          <w:rPr>
            <w:webHidden/>
          </w:rPr>
          <w:t>8</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08" w:history="1">
        <w:r w:rsidR="00922652" w:rsidRPr="00833672">
          <w:rPr>
            <w:rStyle w:val="Hyperlink"/>
          </w:rPr>
          <w:t>Planning of the engagement</w:t>
        </w:r>
        <w:r w:rsidR="00922652">
          <w:rPr>
            <w:webHidden/>
          </w:rPr>
          <w:tab/>
        </w:r>
        <w:r w:rsidR="00922652">
          <w:rPr>
            <w:webHidden/>
          </w:rPr>
          <w:fldChar w:fldCharType="begin"/>
        </w:r>
        <w:r w:rsidR="00922652">
          <w:rPr>
            <w:webHidden/>
          </w:rPr>
          <w:instrText xml:space="preserve"> PAGEREF _Toc455582208 \h </w:instrText>
        </w:r>
        <w:r w:rsidR="00922652">
          <w:rPr>
            <w:webHidden/>
          </w:rPr>
        </w:r>
        <w:r w:rsidR="00922652">
          <w:rPr>
            <w:webHidden/>
          </w:rPr>
          <w:fldChar w:fldCharType="separate"/>
        </w:r>
        <w:r>
          <w:rPr>
            <w:webHidden/>
          </w:rPr>
          <w:t>9</w:t>
        </w:r>
        <w:r w:rsidR="00922652">
          <w:rPr>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09" w:history="1">
        <w:r w:rsidR="00922652" w:rsidRPr="00833672">
          <w:rPr>
            <w:rStyle w:val="Hyperlink"/>
            <w:noProof/>
          </w:rPr>
          <w:t>Fraud considerations</w:t>
        </w:r>
        <w:r w:rsidR="00922652">
          <w:rPr>
            <w:noProof/>
            <w:webHidden/>
          </w:rPr>
          <w:tab/>
        </w:r>
        <w:r w:rsidR="00922652">
          <w:rPr>
            <w:noProof/>
            <w:webHidden/>
          </w:rPr>
          <w:fldChar w:fldCharType="begin"/>
        </w:r>
        <w:r w:rsidR="00922652">
          <w:rPr>
            <w:noProof/>
            <w:webHidden/>
          </w:rPr>
          <w:instrText xml:space="preserve"> PAGEREF _Toc455582209 \h </w:instrText>
        </w:r>
        <w:r w:rsidR="00922652">
          <w:rPr>
            <w:noProof/>
            <w:webHidden/>
          </w:rPr>
        </w:r>
        <w:r w:rsidR="00922652">
          <w:rPr>
            <w:noProof/>
            <w:webHidden/>
          </w:rPr>
          <w:fldChar w:fldCharType="separate"/>
        </w:r>
        <w:r>
          <w:rPr>
            <w:noProof/>
            <w:webHidden/>
          </w:rPr>
          <w:t>9</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0" w:history="1">
        <w:r w:rsidR="00922652" w:rsidRPr="00833672">
          <w:rPr>
            <w:rStyle w:val="Hyperlink"/>
            <w:noProof/>
          </w:rPr>
          <w:t>Laws, the Regulations, the Circulars and the Rules</w:t>
        </w:r>
        <w:r w:rsidR="00922652">
          <w:rPr>
            <w:noProof/>
            <w:webHidden/>
          </w:rPr>
          <w:tab/>
        </w:r>
        <w:r w:rsidR="00922652">
          <w:rPr>
            <w:noProof/>
            <w:webHidden/>
          </w:rPr>
          <w:fldChar w:fldCharType="begin"/>
        </w:r>
        <w:r w:rsidR="00922652">
          <w:rPr>
            <w:noProof/>
            <w:webHidden/>
          </w:rPr>
          <w:instrText xml:space="preserve"> PAGEREF _Toc455582210 \h </w:instrText>
        </w:r>
        <w:r w:rsidR="00922652">
          <w:rPr>
            <w:noProof/>
            <w:webHidden/>
          </w:rPr>
        </w:r>
        <w:r w:rsidR="00922652">
          <w:rPr>
            <w:noProof/>
            <w:webHidden/>
          </w:rPr>
          <w:fldChar w:fldCharType="separate"/>
        </w:r>
        <w:r>
          <w:rPr>
            <w:noProof/>
            <w:webHidden/>
          </w:rPr>
          <w:t>10</w:t>
        </w:r>
        <w:r w:rsidR="00922652">
          <w:rPr>
            <w:noProof/>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11" w:history="1">
        <w:r w:rsidR="00922652" w:rsidRPr="00833672">
          <w:rPr>
            <w:rStyle w:val="Hyperlink"/>
          </w:rPr>
          <w:t>Risk assessment</w:t>
        </w:r>
        <w:r w:rsidR="00922652">
          <w:rPr>
            <w:webHidden/>
          </w:rPr>
          <w:tab/>
        </w:r>
        <w:r w:rsidR="00922652">
          <w:rPr>
            <w:webHidden/>
          </w:rPr>
          <w:fldChar w:fldCharType="begin"/>
        </w:r>
        <w:r w:rsidR="00922652">
          <w:rPr>
            <w:webHidden/>
          </w:rPr>
          <w:instrText xml:space="preserve"> PAGEREF _Toc455582211 \h </w:instrText>
        </w:r>
        <w:r w:rsidR="00922652">
          <w:rPr>
            <w:webHidden/>
          </w:rPr>
        </w:r>
        <w:r w:rsidR="00922652">
          <w:rPr>
            <w:webHidden/>
          </w:rPr>
          <w:fldChar w:fldCharType="separate"/>
        </w:r>
        <w:r>
          <w:rPr>
            <w:webHidden/>
          </w:rPr>
          <w:t>11</w:t>
        </w:r>
        <w:r w:rsidR="00922652">
          <w:rPr>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2" w:history="1">
        <w:r w:rsidR="00922652" w:rsidRPr="00833672">
          <w:rPr>
            <w:rStyle w:val="Hyperlink"/>
            <w:noProof/>
          </w:rPr>
          <w:t>IT control environment</w:t>
        </w:r>
        <w:r w:rsidR="00922652">
          <w:rPr>
            <w:noProof/>
            <w:webHidden/>
          </w:rPr>
          <w:tab/>
        </w:r>
        <w:r w:rsidR="00922652">
          <w:rPr>
            <w:noProof/>
            <w:webHidden/>
          </w:rPr>
          <w:fldChar w:fldCharType="begin"/>
        </w:r>
        <w:r w:rsidR="00922652">
          <w:rPr>
            <w:noProof/>
            <w:webHidden/>
          </w:rPr>
          <w:instrText xml:space="preserve"> PAGEREF _Toc455582212 \h </w:instrText>
        </w:r>
        <w:r w:rsidR="00922652">
          <w:rPr>
            <w:noProof/>
            <w:webHidden/>
          </w:rPr>
        </w:r>
        <w:r w:rsidR="00922652">
          <w:rPr>
            <w:noProof/>
            <w:webHidden/>
          </w:rPr>
          <w:fldChar w:fldCharType="separate"/>
        </w:r>
        <w:r>
          <w:rPr>
            <w:noProof/>
            <w:webHidden/>
          </w:rPr>
          <w:t>11</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3" w:history="1">
        <w:r w:rsidR="00922652" w:rsidRPr="00833672">
          <w:rPr>
            <w:rStyle w:val="Hyperlink"/>
            <w:noProof/>
          </w:rPr>
          <w:t>Analytical reviews and key ratio analysis</w:t>
        </w:r>
        <w:r w:rsidR="00922652">
          <w:rPr>
            <w:noProof/>
            <w:webHidden/>
          </w:rPr>
          <w:tab/>
        </w:r>
        <w:r w:rsidR="00922652">
          <w:rPr>
            <w:noProof/>
            <w:webHidden/>
          </w:rPr>
          <w:fldChar w:fldCharType="begin"/>
        </w:r>
        <w:r w:rsidR="00922652">
          <w:rPr>
            <w:noProof/>
            <w:webHidden/>
          </w:rPr>
          <w:instrText xml:space="preserve"> PAGEREF _Toc455582213 \h </w:instrText>
        </w:r>
        <w:r w:rsidR="00922652">
          <w:rPr>
            <w:noProof/>
            <w:webHidden/>
          </w:rPr>
        </w:r>
        <w:r w:rsidR="00922652">
          <w:rPr>
            <w:noProof/>
            <w:webHidden/>
          </w:rPr>
          <w:fldChar w:fldCharType="separate"/>
        </w:r>
        <w:r>
          <w:rPr>
            <w:noProof/>
            <w:webHidden/>
          </w:rPr>
          <w:t>11</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4" w:history="1">
        <w:r w:rsidR="00922652" w:rsidRPr="00833672">
          <w:rPr>
            <w:rStyle w:val="Hyperlink"/>
            <w:noProof/>
          </w:rPr>
          <w:t>Contributions</w:t>
        </w:r>
        <w:r w:rsidR="00922652">
          <w:rPr>
            <w:noProof/>
            <w:webHidden/>
          </w:rPr>
          <w:tab/>
        </w:r>
        <w:r w:rsidR="00922652">
          <w:rPr>
            <w:noProof/>
            <w:webHidden/>
          </w:rPr>
          <w:fldChar w:fldCharType="begin"/>
        </w:r>
        <w:r w:rsidR="00922652">
          <w:rPr>
            <w:noProof/>
            <w:webHidden/>
          </w:rPr>
          <w:instrText xml:space="preserve"> PAGEREF _Toc455582214 \h </w:instrText>
        </w:r>
        <w:r w:rsidR="00922652">
          <w:rPr>
            <w:noProof/>
            <w:webHidden/>
          </w:rPr>
        </w:r>
        <w:r w:rsidR="00922652">
          <w:rPr>
            <w:noProof/>
            <w:webHidden/>
          </w:rPr>
          <w:fldChar w:fldCharType="separate"/>
        </w:r>
        <w:r>
          <w:rPr>
            <w:noProof/>
            <w:webHidden/>
          </w:rPr>
          <w:t>12</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5" w:history="1">
        <w:r w:rsidR="00922652" w:rsidRPr="00833672">
          <w:rPr>
            <w:rStyle w:val="Hyperlink"/>
            <w:noProof/>
          </w:rPr>
          <w:t>Healthcare benefits</w:t>
        </w:r>
        <w:r w:rsidR="00922652">
          <w:rPr>
            <w:noProof/>
            <w:webHidden/>
          </w:rPr>
          <w:tab/>
        </w:r>
        <w:r w:rsidR="00922652">
          <w:rPr>
            <w:noProof/>
            <w:webHidden/>
          </w:rPr>
          <w:fldChar w:fldCharType="begin"/>
        </w:r>
        <w:r w:rsidR="00922652">
          <w:rPr>
            <w:noProof/>
            <w:webHidden/>
          </w:rPr>
          <w:instrText xml:space="preserve"> PAGEREF _Toc455582215 \h </w:instrText>
        </w:r>
        <w:r w:rsidR="00922652">
          <w:rPr>
            <w:noProof/>
            <w:webHidden/>
          </w:rPr>
        </w:r>
        <w:r w:rsidR="00922652">
          <w:rPr>
            <w:noProof/>
            <w:webHidden/>
          </w:rPr>
          <w:fldChar w:fldCharType="separate"/>
        </w:r>
        <w:r>
          <w:rPr>
            <w:noProof/>
            <w:webHidden/>
          </w:rPr>
          <w:t>15</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6" w:history="1">
        <w:r w:rsidR="00922652" w:rsidRPr="00833672">
          <w:rPr>
            <w:rStyle w:val="Hyperlink"/>
            <w:noProof/>
          </w:rPr>
          <w:t>Non-healthcare expenditure – broker commissions</w:t>
        </w:r>
        <w:r w:rsidR="00922652">
          <w:rPr>
            <w:noProof/>
            <w:webHidden/>
          </w:rPr>
          <w:tab/>
        </w:r>
        <w:r w:rsidR="00922652">
          <w:rPr>
            <w:noProof/>
            <w:webHidden/>
          </w:rPr>
          <w:fldChar w:fldCharType="begin"/>
        </w:r>
        <w:r w:rsidR="00922652">
          <w:rPr>
            <w:noProof/>
            <w:webHidden/>
          </w:rPr>
          <w:instrText xml:space="preserve"> PAGEREF _Toc455582216 \h </w:instrText>
        </w:r>
        <w:r w:rsidR="00922652">
          <w:rPr>
            <w:noProof/>
            <w:webHidden/>
          </w:rPr>
        </w:r>
        <w:r w:rsidR="00922652">
          <w:rPr>
            <w:noProof/>
            <w:webHidden/>
          </w:rPr>
          <w:fldChar w:fldCharType="separate"/>
        </w:r>
        <w:r>
          <w:rPr>
            <w:noProof/>
            <w:webHidden/>
          </w:rPr>
          <w:t>19</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7" w:history="1">
        <w:r w:rsidR="00922652" w:rsidRPr="00833672">
          <w:rPr>
            <w:rStyle w:val="Hyperlink"/>
            <w:noProof/>
          </w:rPr>
          <w:t>Non-healthcare expenditure based on membership</w:t>
        </w:r>
        <w:r w:rsidR="00922652">
          <w:rPr>
            <w:noProof/>
            <w:webHidden/>
          </w:rPr>
          <w:tab/>
        </w:r>
        <w:r w:rsidR="00922652">
          <w:rPr>
            <w:noProof/>
            <w:webHidden/>
          </w:rPr>
          <w:fldChar w:fldCharType="begin"/>
        </w:r>
        <w:r w:rsidR="00922652">
          <w:rPr>
            <w:noProof/>
            <w:webHidden/>
          </w:rPr>
          <w:instrText xml:space="preserve"> PAGEREF _Toc455582217 \h </w:instrText>
        </w:r>
        <w:r w:rsidR="00922652">
          <w:rPr>
            <w:noProof/>
            <w:webHidden/>
          </w:rPr>
        </w:r>
        <w:r w:rsidR="00922652">
          <w:rPr>
            <w:noProof/>
            <w:webHidden/>
          </w:rPr>
          <w:fldChar w:fldCharType="separate"/>
        </w:r>
        <w:r>
          <w:rPr>
            <w:noProof/>
            <w:webHidden/>
          </w:rPr>
          <w:t>19</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8" w:history="1">
        <w:r w:rsidR="00922652" w:rsidRPr="00833672">
          <w:rPr>
            <w:rStyle w:val="Hyperlink"/>
            <w:noProof/>
          </w:rPr>
          <w:t>Investments</w:t>
        </w:r>
        <w:r w:rsidR="00922652">
          <w:rPr>
            <w:noProof/>
            <w:webHidden/>
          </w:rPr>
          <w:tab/>
        </w:r>
        <w:r w:rsidR="00922652">
          <w:rPr>
            <w:noProof/>
            <w:webHidden/>
          </w:rPr>
          <w:fldChar w:fldCharType="begin"/>
        </w:r>
        <w:r w:rsidR="00922652">
          <w:rPr>
            <w:noProof/>
            <w:webHidden/>
          </w:rPr>
          <w:instrText xml:space="preserve"> PAGEREF _Toc455582218 \h </w:instrText>
        </w:r>
        <w:r w:rsidR="00922652">
          <w:rPr>
            <w:noProof/>
            <w:webHidden/>
          </w:rPr>
        </w:r>
        <w:r w:rsidR="00922652">
          <w:rPr>
            <w:noProof/>
            <w:webHidden/>
          </w:rPr>
          <w:fldChar w:fldCharType="separate"/>
        </w:r>
        <w:r>
          <w:rPr>
            <w:noProof/>
            <w:webHidden/>
          </w:rPr>
          <w:t>19</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19" w:history="1">
        <w:r w:rsidR="00922652" w:rsidRPr="00833672">
          <w:rPr>
            <w:rStyle w:val="Hyperlink"/>
            <w:noProof/>
          </w:rPr>
          <w:t>Personal medical savings accounts (PMSAs)</w:t>
        </w:r>
        <w:r w:rsidR="00922652">
          <w:rPr>
            <w:noProof/>
            <w:webHidden/>
          </w:rPr>
          <w:tab/>
        </w:r>
        <w:r w:rsidR="00922652">
          <w:rPr>
            <w:noProof/>
            <w:webHidden/>
          </w:rPr>
          <w:fldChar w:fldCharType="begin"/>
        </w:r>
        <w:r w:rsidR="00922652">
          <w:rPr>
            <w:noProof/>
            <w:webHidden/>
          </w:rPr>
          <w:instrText xml:space="preserve"> PAGEREF _Toc455582219 \h </w:instrText>
        </w:r>
        <w:r w:rsidR="00922652">
          <w:rPr>
            <w:noProof/>
            <w:webHidden/>
          </w:rPr>
        </w:r>
        <w:r w:rsidR="00922652">
          <w:rPr>
            <w:noProof/>
            <w:webHidden/>
          </w:rPr>
          <w:fldChar w:fldCharType="separate"/>
        </w:r>
        <w:r>
          <w:rPr>
            <w:noProof/>
            <w:webHidden/>
          </w:rPr>
          <w:t>21</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0" w:history="1">
        <w:r w:rsidR="00922652" w:rsidRPr="00833672">
          <w:rPr>
            <w:rStyle w:val="Hyperlink"/>
            <w:noProof/>
          </w:rPr>
          <w:t>Auditor and management experts</w:t>
        </w:r>
        <w:r w:rsidR="00922652">
          <w:rPr>
            <w:noProof/>
            <w:webHidden/>
          </w:rPr>
          <w:tab/>
        </w:r>
        <w:r w:rsidR="00922652">
          <w:rPr>
            <w:noProof/>
            <w:webHidden/>
          </w:rPr>
          <w:fldChar w:fldCharType="begin"/>
        </w:r>
        <w:r w:rsidR="00922652">
          <w:rPr>
            <w:noProof/>
            <w:webHidden/>
          </w:rPr>
          <w:instrText xml:space="preserve"> PAGEREF _Toc455582220 \h </w:instrText>
        </w:r>
        <w:r w:rsidR="00922652">
          <w:rPr>
            <w:noProof/>
            <w:webHidden/>
          </w:rPr>
        </w:r>
        <w:r w:rsidR="00922652">
          <w:rPr>
            <w:noProof/>
            <w:webHidden/>
          </w:rPr>
          <w:fldChar w:fldCharType="separate"/>
        </w:r>
        <w:r>
          <w:rPr>
            <w:noProof/>
            <w:webHidden/>
          </w:rPr>
          <w:t>22</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1" w:history="1">
        <w:r w:rsidR="00922652" w:rsidRPr="00833672">
          <w:rPr>
            <w:rStyle w:val="Hyperlink"/>
            <w:noProof/>
          </w:rPr>
          <w:t>Service organisations</w:t>
        </w:r>
        <w:r w:rsidR="00922652">
          <w:rPr>
            <w:noProof/>
            <w:webHidden/>
          </w:rPr>
          <w:tab/>
        </w:r>
        <w:r w:rsidR="00922652">
          <w:rPr>
            <w:noProof/>
            <w:webHidden/>
          </w:rPr>
          <w:fldChar w:fldCharType="begin"/>
        </w:r>
        <w:r w:rsidR="00922652">
          <w:rPr>
            <w:noProof/>
            <w:webHidden/>
          </w:rPr>
          <w:instrText xml:space="preserve"> PAGEREF _Toc455582221 \h </w:instrText>
        </w:r>
        <w:r w:rsidR="00922652">
          <w:rPr>
            <w:noProof/>
            <w:webHidden/>
          </w:rPr>
        </w:r>
        <w:r w:rsidR="00922652">
          <w:rPr>
            <w:noProof/>
            <w:webHidden/>
          </w:rPr>
          <w:fldChar w:fldCharType="separate"/>
        </w:r>
        <w:r>
          <w:rPr>
            <w:noProof/>
            <w:webHidden/>
          </w:rPr>
          <w:t>23</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2" w:history="1">
        <w:r w:rsidR="00922652" w:rsidRPr="00833672">
          <w:rPr>
            <w:rStyle w:val="Hyperlink"/>
            <w:noProof/>
          </w:rPr>
          <w:t>Related parties</w:t>
        </w:r>
        <w:r w:rsidR="00922652">
          <w:rPr>
            <w:noProof/>
            <w:webHidden/>
          </w:rPr>
          <w:tab/>
        </w:r>
        <w:r w:rsidR="00922652">
          <w:rPr>
            <w:noProof/>
            <w:webHidden/>
          </w:rPr>
          <w:fldChar w:fldCharType="begin"/>
        </w:r>
        <w:r w:rsidR="00922652">
          <w:rPr>
            <w:noProof/>
            <w:webHidden/>
          </w:rPr>
          <w:instrText xml:space="preserve"> PAGEREF _Toc455582222 \h </w:instrText>
        </w:r>
        <w:r w:rsidR="00922652">
          <w:rPr>
            <w:noProof/>
            <w:webHidden/>
          </w:rPr>
        </w:r>
        <w:r w:rsidR="00922652">
          <w:rPr>
            <w:noProof/>
            <w:webHidden/>
          </w:rPr>
          <w:fldChar w:fldCharType="separate"/>
        </w:r>
        <w:r>
          <w:rPr>
            <w:noProof/>
            <w:webHidden/>
          </w:rPr>
          <w:t>25</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3" w:history="1">
        <w:r w:rsidR="00922652" w:rsidRPr="00833672">
          <w:rPr>
            <w:rStyle w:val="Hyperlink"/>
            <w:noProof/>
          </w:rPr>
          <w:t>Sundry considerations</w:t>
        </w:r>
        <w:r w:rsidR="00922652">
          <w:rPr>
            <w:noProof/>
            <w:webHidden/>
          </w:rPr>
          <w:tab/>
        </w:r>
        <w:r w:rsidR="00922652">
          <w:rPr>
            <w:noProof/>
            <w:webHidden/>
          </w:rPr>
          <w:fldChar w:fldCharType="begin"/>
        </w:r>
        <w:r w:rsidR="00922652">
          <w:rPr>
            <w:noProof/>
            <w:webHidden/>
          </w:rPr>
          <w:instrText xml:space="preserve"> PAGEREF _Toc455582223 \h </w:instrText>
        </w:r>
        <w:r w:rsidR="00922652">
          <w:rPr>
            <w:noProof/>
            <w:webHidden/>
          </w:rPr>
        </w:r>
        <w:r w:rsidR="00922652">
          <w:rPr>
            <w:noProof/>
            <w:webHidden/>
          </w:rPr>
          <w:fldChar w:fldCharType="separate"/>
        </w:r>
        <w:r>
          <w:rPr>
            <w:noProof/>
            <w:webHidden/>
          </w:rPr>
          <w:t>25</w:t>
        </w:r>
        <w:r w:rsidR="00922652">
          <w:rPr>
            <w:noProof/>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24" w:history="1">
        <w:r w:rsidR="00922652" w:rsidRPr="00833672">
          <w:rPr>
            <w:rStyle w:val="Hyperlink"/>
          </w:rPr>
          <w:t>Auditor reporting</w:t>
        </w:r>
        <w:r w:rsidR="00922652">
          <w:rPr>
            <w:webHidden/>
          </w:rPr>
          <w:tab/>
        </w:r>
        <w:r w:rsidR="00922652">
          <w:rPr>
            <w:webHidden/>
          </w:rPr>
          <w:fldChar w:fldCharType="begin"/>
        </w:r>
        <w:r w:rsidR="00922652">
          <w:rPr>
            <w:webHidden/>
          </w:rPr>
          <w:instrText xml:space="preserve"> PAGEREF _Toc455582224 \h </w:instrText>
        </w:r>
        <w:r w:rsidR="00922652">
          <w:rPr>
            <w:webHidden/>
          </w:rPr>
        </w:r>
        <w:r w:rsidR="00922652">
          <w:rPr>
            <w:webHidden/>
          </w:rPr>
          <w:fldChar w:fldCharType="separate"/>
        </w:r>
        <w:r>
          <w:rPr>
            <w:webHidden/>
          </w:rPr>
          <w:t>27</w:t>
        </w:r>
        <w:r w:rsidR="00922652">
          <w:rPr>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5" w:history="1">
        <w:r w:rsidR="00922652" w:rsidRPr="00833672">
          <w:rPr>
            <w:rStyle w:val="Hyperlink"/>
            <w:noProof/>
          </w:rPr>
          <w:t>Schedule of reporting responsibilities</w:t>
        </w:r>
        <w:r w:rsidR="00922652">
          <w:rPr>
            <w:noProof/>
            <w:webHidden/>
          </w:rPr>
          <w:tab/>
        </w:r>
        <w:r w:rsidR="00922652">
          <w:rPr>
            <w:noProof/>
            <w:webHidden/>
          </w:rPr>
          <w:fldChar w:fldCharType="begin"/>
        </w:r>
        <w:r w:rsidR="00922652">
          <w:rPr>
            <w:noProof/>
            <w:webHidden/>
          </w:rPr>
          <w:instrText xml:space="preserve"> PAGEREF _Toc455582225 \h </w:instrText>
        </w:r>
        <w:r w:rsidR="00922652">
          <w:rPr>
            <w:noProof/>
            <w:webHidden/>
          </w:rPr>
        </w:r>
        <w:r w:rsidR="00922652">
          <w:rPr>
            <w:noProof/>
            <w:webHidden/>
          </w:rPr>
          <w:fldChar w:fldCharType="separate"/>
        </w:r>
        <w:r>
          <w:rPr>
            <w:noProof/>
            <w:webHidden/>
          </w:rPr>
          <w:t>27</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6" w:history="1">
        <w:r w:rsidR="00922652" w:rsidRPr="00833672">
          <w:rPr>
            <w:rStyle w:val="Hyperlink"/>
            <w:noProof/>
          </w:rPr>
          <w:t>Preparing of the annual financial statements by the board of trustees</w:t>
        </w:r>
        <w:r w:rsidR="00922652">
          <w:rPr>
            <w:noProof/>
            <w:webHidden/>
          </w:rPr>
          <w:tab/>
        </w:r>
        <w:r w:rsidR="00922652">
          <w:rPr>
            <w:noProof/>
            <w:webHidden/>
          </w:rPr>
          <w:fldChar w:fldCharType="begin"/>
        </w:r>
        <w:r w:rsidR="00922652">
          <w:rPr>
            <w:noProof/>
            <w:webHidden/>
          </w:rPr>
          <w:instrText xml:space="preserve"> PAGEREF _Toc455582226 \h </w:instrText>
        </w:r>
        <w:r w:rsidR="00922652">
          <w:rPr>
            <w:noProof/>
            <w:webHidden/>
          </w:rPr>
        </w:r>
        <w:r w:rsidR="00922652">
          <w:rPr>
            <w:noProof/>
            <w:webHidden/>
          </w:rPr>
          <w:fldChar w:fldCharType="separate"/>
        </w:r>
        <w:r>
          <w:rPr>
            <w:noProof/>
            <w:webHidden/>
          </w:rPr>
          <w:t>28</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7" w:history="1">
        <w:r w:rsidR="00922652" w:rsidRPr="00833672">
          <w:rPr>
            <w:rStyle w:val="Hyperlink"/>
            <w:noProof/>
          </w:rPr>
          <w:t>Report of the board of trustees</w:t>
        </w:r>
        <w:r w:rsidR="00922652">
          <w:rPr>
            <w:noProof/>
            <w:webHidden/>
          </w:rPr>
          <w:tab/>
        </w:r>
        <w:r w:rsidR="00922652">
          <w:rPr>
            <w:noProof/>
            <w:webHidden/>
          </w:rPr>
          <w:fldChar w:fldCharType="begin"/>
        </w:r>
        <w:r w:rsidR="00922652">
          <w:rPr>
            <w:noProof/>
            <w:webHidden/>
          </w:rPr>
          <w:instrText xml:space="preserve"> PAGEREF _Toc455582227 \h </w:instrText>
        </w:r>
        <w:r w:rsidR="00922652">
          <w:rPr>
            <w:noProof/>
            <w:webHidden/>
          </w:rPr>
        </w:r>
        <w:r w:rsidR="00922652">
          <w:rPr>
            <w:noProof/>
            <w:webHidden/>
          </w:rPr>
          <w:fldChar w:fldCharType="separate"/>
        </w:r>
        <w:r>
          <w:rPr>
            <w:noProof/>
            <w:webHidden/>
          </w:rPr>
          <w:t>30</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8" w:history="1">
        <w:r w:rsidR="00922652" w:rsidRPr="00833672">
          <w:rPr>
            <w:rStyle w:val="Hyperlink"/>
            <w:noProof/>
          </w:rPr>
          <w:t>Reporting on the annual financial statements</w:t>
        </w:r>
        <w:r w:rsidR="00922652">
          <w:rPr>
            <w:noProof/>
            <w:webHidden/>
          </w:rPr>
          <w:tab/>
        </w:r>
        <w:r w:rsidR="00922652">
          <w:rPr>
            <w:noProof/>
            <w:webHidden/>
          </w:rPr>
          <w:fldChar w:fldCharType="begin"/>
        </w:r>
        <w:r w:rsidR="00922652">
          <w:rPr>
            <w:noProof/>
            <w:webHidden/>
          </w:rPr>
          <w:instrText xml:space="preserve"> PAGEREF _Toc455582228 \h </w:instrText>
        </w:r>
        <w:r w:rsidR="00922652">
          <w:rPr>
            <w:noProof/>
            <w:webHidden/>
          </w:rPr>
        </w:r>
        <w:r w:rsidR="00922652">
          <w:rPr>
            <w:noProof/>
            <w:webHidden/>
          </w:rPr>
          <w:fldChar w:fldCharType="separate"/>
        </w:r>
        <w:r>
          <w:rPr>
            <w:noProof/>
            <w:webHidden/>
          </w:rPr>
          <w:t>30</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29" w:history="1">
        <w:r w:rsidR="00922652" w:rsidRPr="00833672">
          <w:rPr>
            <w:rStyle w:val="Hyperlink"/>
            <w:noProof/>
          </w:rPr>
          <w:t>Reporting on Parts 4 to 10 of the annual statutory return</w:t>
        </w:r>
        <w:r w:rsidR="00922652">
          <w:rPr>
            <w:noProof/>
            <w:webHidden/>
          </w:rPr>
          <w:tab/>
        </w:r>
        <w:r w:rsidR="00922652">
          <w:rPr>
            <w:noProof/>
            <w:webHidden/>
          </w:rPr>
          <w:fldChar w:fldCharType="begin"/>
        </w:r>
        <w:r w:rsidR="00922652">
          <w:rPr>
            <w:noProof/>
            <w:webHidden/>
          </w:rPr>
          <w:instrText xml:space="preserve"> PAGEREF _Toc455582229 \h </w:instrText>
        </w:r>
        <w:r w:rsidR="00922652">
          <w:rPr>
            <w:noProof/>
            <w:webHidden/>
          </w:rPr>
        </w:r>
        <w:r w:rsidR="00922652">
          <w:rPr>
            <w:noProof/>
            <w:webHidden/>
          </w:rPr>
          <w:fldChar w:fldCharType="separate"/>
        </w:r>
        <w:r>
          <w:rPr>
            <w:noProof/>
            <w:webHidden/>
          </w:rPr>
          <w:t>30</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30" w:history="1">
        <w:r w:rsidR="00922652" w:rsidRPr="00833672">
          <w:rPr>
            <w:rStyle w:val="Hyperlink"/>
            <w:noProof/>
          </w:rPr>
          <w:t>Reporting on non-compliance by both an auditor and a board of trustees of a medical scheme</w:t>
        </w:r>
        <w:r w:rsidR="00922652">
          <w:rPr>
            <w:noProof/>
            <w:webHidden/>
          </w:rPr>
          <w:tab/>
        </w:r>
        <w:r w:rsidR="00922652">
          <w:rPr>
            <w:noProof/>
            <w:webHidden/>
          </w:rPr>
          <w:fldChar w:fldCharType="begin"/>
        </w:r>
        <w:r w:rsidR="00922652">
          <w:rPr>
            <w:noProof/>
            <w:webHidden/>
          </w:rPr>
          <w:instrText xml:space="preserve"> PAGEREF _Toc455582230 \h </w:instrText>
        </w:r>
        <w:r w:rsidR="00922652">
          <w:rPr>
            <w:noProof/>
            <w:webHidden/>
          </w:rPr>
        </w:r>
        <w:r w:rsidR="00922652">
          <w:rPr>
            <w:noProof/>
            <w:webHidden/>
          </w:rPr>
          <w:fldChar w:fldCharType="separate"/>
        </w:r>
        <w:r>
          <w:rPr>
            <w:noProof/>
            <w:webHidden/>
          </w:rPr>
          <w:t>32</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31" w:history="1">
        <w:r w:rsidR="00922652" w:rsidRPr="00833672">
          <w:rPr>
            <w:rStyle w:val="Hyperlink"/>
            <w:noProof/>
          </w:rPr>
          <w:t>Reporting on summary financial statements</w:t>
        </w:r>
        <w:r w:rsidR="00922652">
          <w:rPr>
            <w:noProof/>
            <w:webHidden/>
          </w:rPr>
          <w:tab/>
        </w:r>
        <w:r w:rsidR="00922652">
          <w:rPr>
            <w:noProof/>
            <w:webHidden/>
          </w:rPr>
          <w:fldChar w:fldCharType="begin"/>
        </w:r>
        <w:r w:rsidR="00922652">
          <w:rPr>
            <w:noProof/>
            <w:webHidden/>
          </w:rPr>
          <w:instrText xml:space="preserve"> PAGEREF _Toc455582231 \h </w:instrText>
        </w:r>
        <w:r w:rsidR="00922652">
          <w:rPr>
            <w:noProof/>
            <w:webHidden/>
          </w:rPr>
        </w:r>
        <w:r w:rsidR="00922652">
          <w:rPr>
            <w:noProof/>
            <w:webHidden/>
          </w:rPr>
          <w:fldChar w:fldCharType="separate"/>
        </w:r>
        <w:r>
          <w:rPr>
            <w:noProof/>
            <w:webHidden/>
          </w:rPr>
          <w:t>34</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32" w:history="1">
        <w:r w:rsidR="00922652" w:rsidRPr="00833672">
          <w:rPr>
            <w:rStyle w:val="Hyperlink"/>
            <w:noProof/>
          </w:rPr>
          <w:t>Reporting on reportable irregularities</w:t>
        </w:r>
        <w:r w:rsidR="00922652">
          <w:rPr>
            <w:noProof/>
            <w:webHidden/>
          </w:rPr>
          <w:tab/>
        </w:r>
        <w:r w:rsidR="00922652">
          <w:rPr>
            <w:noProof/>
            <w:webHidden/>
          </w:rPr>
          <w:fldChar w:fldCharType="begin"/>
        </w:r>
        <w:r w:rsidR="00922652">
          <w:rPr>
            <w:noProof/>
            <w:webHidden/>
          </w:rPr>
          <w:instrText xml:space="preserve"> PAGEREF _Toc455582232 \h </w:instrText>
        </w:r>
        <w:r w:rsidR="00922652">
          <w:rPr>
            <w:noProof/>
            <w:webHidden/>
          </w:rPr>
        </w:r>
        <w:r w:rsidR="00922652">
          <w:rPr>
            <w:noProof/>
            <w:webHidden/>
          </w:rPr>
          <w:fldChar w:fldCharType="separate"/>
        </w:r>
        <w:r>
          <w:rPr>
            <w:noProof/>
            <w:webHidden/>
          </w:rPr>
          <w:t>35</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33" w:history="1">
        <w:r w:rsidR="00922652" w:rsidRPr="00833672">
          <w:rPr>
            <w:rStyle w:val="Hyperlink"/>
            <w:noProof/>
          </w:rPr>
          <w:t>Other reporting responsibilities to the Council</w:t>
        </w:r>
        <w:r w:rsidR="00922652">
          <w:rPr>
            <w:noProof/>
            <w:webHidden/>
          </w:rPr>
          <w:tab/>
        </w:r>
        <w:r w:rsidR="00922652">
          <w:rPr>
            <w:noProof/>
            <w:webHidden/>
          </w:rPr>
          <w:fldChar w:fldCharType="begin"/>
        </w:r>
        <w:r w:rsidR="00922652">
          <w:rPr>
            <w:noProof/>
            <w:webHidden/>
          </w:rPr>
          <w:instrText xml:space="preserve"> PAGEREF _Toc455582233 \h </w:instrText>
        </w:r>
        <w:r w:rsidR="00922652">
          <w:rPr>
            <w:noProof/>
            <w:webHidden/>
          </w:rPr>
        </w:r>
        <w:r w:rsidR="00922652">
          <w:rPr>
            <w:noProof/>
            <w:webHidden/>
          </w:rPr>
          <w:fldChar w:fldCharType="separate"/>
        </w:r>
        <w:r>
          <w:rPr>
            <w:noProof/>
            <w:webHidden/>
          </w:rPr>
          <w:t>35</w:t>
        </w:r>
        <w:r w:rsidR="00922652">
          <w:rPr>
            <w:noProof/>
            <w:webHidden/>
          </w:rPr>
          <w:fldChar w:fldCharType="end"/>
        </w:r>
      </w:hyperlink>
    </w:p>
    <w:p w:rsidR="00922652" w:rsidRDefault="00C86F03">
      <w:pPr>
        <w:pStyle w:val="TOC2"/>
        <w:rPr>
          <w:rFonts w:asciiTheme="minorHAnsi" w:eastAsiaTheme="minorEastAsia" w:hAnsiTheme="minorHAnsi" w:cstheme="minorBidi"/>
          <w:noProof/>
          <w:szCs w:val="22"/>
          <w:lang w:eastAsia="en-ZA"/>
        </w:rPr>
      </w:pPr>
      <w:hyperlink w:anchor="_Toc455582234" w:history="1">
        <w:r w:rsidR="00922652" w:rsidRPr="00833672">
          <w:rPr>
            <w:rStyle w:val="Hyperlink"/>
            <w:noProof/>
          </w:rPr>
          <w:t>Communication with those charged with governance</w:t>
        </w:r>
        <w:r w:rsidR="00922652">
          <w:rPr>
            <w:noProof/>
            <w:webHidden/>
          </w:rPr>
          <w:tab/>
        </w:r>
        <w:r w:rsidR="00922652">
          <w:rPr>
            <w:noProof/>
            <w:webHidden/>
          </w:rPr>
          <w:fldChar w:fldCharType="begin"/>
        </w:r>
        <w:r w:rsidR="00922652">
          <w:rPr>
            <w:noProof/>
            <w:webHidden/>
          </w:rPr>
          <w:instrText xml:space="preserve"> PAGEREF _Toc455582234 \h </w:instrText>
        </w:r>
        <w:r w:rsidR="00922652">
          <w:rPr>
            <w:noProof/>
            <w:webHidden/>
          </w:rPr>
        </w:r>
        <w:r w:rsidR="00922652">
          <w:rPr>
            <w:noProof/>
            <w:webHidden/>
          </w:rPr>
          <w:fldChar w:fldCharType="separate"/>
        </w:r>
        <w:r>
          <w:rPr>
            <w:noProof/>
            <w:webHidden/>
          </w:rPr>
          <w:t>36</w:t>
        </w:r>
        <w:r w:rsidR="00922652">
          <w:rPr>
            <w:noProof/>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35" w:history="1">
        <w:r w:rsidR="00922652" w:rsidRPr="00833672">
          <w:rPr>
            <w:rStyle w:val="Hyperlink"/>
          </w:rPr>
          <w:t>Appendix 1 – Definitions</w:t>
        </w:r>
        <w:r w:rsidR="00922652">
          <w:rPr>
            <w:webHidden/>
          </w:rPr>
          <w:tab/>
        </w:r>
        <w:r w:rsidR="00922652">
          <w:rPr>
            <w:webHidden/>
          </w:rPr>
          <w:fldChar w:fldCharType="begin"/>
        </w:r>
        <w:r w:rsidR="00922652">
          <w:rPr>
            <w:webHidden/>
          </w:rPr>
          <w:instrText xml:space="preserve"> PAGEREF _Toc455582235 \h </w:instrText>
        </w:r>
        <w:r w:rsidR="00922652">
          <w:rPr>
            <w:webHidden/>
          </w:rPr>
        </w:r>
        <w:r w:rsidR="00922652">
          <w:rPr>
            <w:webHidden/>
          </w:rPr>
          <w:fldChar w:fldCharType="separate"/>
        </w:r>
        <w:r>
          <w:rPr>
            <w:webHidden/>
          </w:rPr>
          <w:t>37</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36" w:history="1">
        <w:r w:rsidR="00922652" w:rsidRPr="00833672">
          <w:rPr>
            <w:rStyle w:val="Hyperlink"/>
          </w:rPr>
          <w:t>Appendix 2 – Understanding the business of a medical scheme</w:t>
        </w:r>
        <w:r w:rsidR="00922652">
          <w:rPr>
            <w:webHidden/>
          </w:rPr>
          <w:tab/>
        </w:r>
        <w:r w:rsidR="00922652">
          <w:rPr>
            <w:webHidden/>
          </w:rPr>
          <w:fldChar w:fldCharType="begin"/>
        </w:r>
        <w:r w:rsidR="00922652">
          <w:rPr>
            <w:webHidden/>
          </w:rPr>
          <w:instrText xml:space="preserve"> PAGEREF _Toc455582236 \h </w:instrText>
        </w:r>
        <w:r w:rsidR="00922652">
          <w:rPr>
            <w:webHidden/>
          </w:rPr>
        </w:r>
        <w:r w:rsidR="00922652">
          <w:rPr>
            <w:webHidden/>
          </w:rPr>
          <w:fldChar w:fldCharType="separate"/>
        </w:r>
        <w:r>
          <w:rPr>
            <w:webHidden/>
          </w:rPr>
          <w:t>48</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37" w:history="1">
        <w:r w:rsidR="00922652" w:rsidRPr="00833672">
          <w:rPr>
            <w:rStyle w:val="Hyperlink"/>
          </w:rPr>
          <w:t>Appendix 3 – Extracts from and commentary on the Medical Schemes Act and related Regulations</w:t>
        </w:r>
        <w:r w:rsidR="00922652">
          <w:rPr>
            <w:webHidden/>
          </w:rPr>
          <w:tab/>
        </w:r>
        <w:r w:rsidR="00922652">
          <w:rPr>
            <w:webHidden/>
          </w:rPr>
          <w:fldChar w:fldCharType="begin"/>
        </w:r>
        <w:r w:rsidR="00922652">
          <w:rPr>
            <w:webHidden/>
          </w:rPr>
          <w:instrText xml:space="preserve"> PAGEREF _Toc455582237 \h </w:instrText>
        </w:r>
        <w:r w:rsidR="00922652">
          <w:rPr>
            <w:webHidden/>
          </w:rPr>
        </w:r>
        <w:r w:rsidR="00922652">
          <w:rPr>
            <w:webHidden/>
          </w:rPr>
          <w:fldChar w:fldCharType="separate"/>
        </w:r>
        <w:r>
          <w:rPr>
            <w:webHidden/>
          </w:rPr>
          <w:t>56</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38" w:history="1">
        <w:r w:rsidR="00922652" w:rsidRPr="00833672">
          <w:rPr>
            <w:rStyle w:val="Hyperlink"/>
          </w:rPr>
          <w:t>Appendix 4 – Circulars relevant to financial statements</w:t>
        </w:r>
        <w:r w:rsidR="00922652">
          <w:rPr>
            <w:webHidden/>
          </w:rPr>
          <w:tab/>
        </w:r>
        <w:r w:rsidR="00922652">
          <w:rPr>
            <w:webHidden/>
          </w:rPr>
          <w:fldChar w:fldCharType="begin"/>
        </w:r>
        <w:r w:rsidR="00922652">
          <w:rPr>
            <w:webHidden/>
          </w:rPr>
          <w:instrText xml:space="preserve"> PAGEREF _Toc455582238 \h </w:instrText>
        </w:r>
        <w:r w:rsidR="00922652">
          <w:rPr>
            <w:webHidden/>
          </w:rPr>
        </w:r>
        <w:r w:rsidR="00922652">
          <w:rPr>
            <w:webHidden/>
          </w:rPr>
          <w:fldChar w:fldCharType="separate"/>
        </w:r>
        <w:r>
          <w:rPr>
            <w:webHidden/>
          </w:rPr>
          <w:t>61</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39" w:history="1">
        <w:r w:rsidR="00922652" w:rsidRPr="00833672">
          <w:rPr>
            <w:rStyle w:val="Hyperlink"/>
          </w:rPr>
          <w:t>Appendix 5 – Report on the Financial Statements (ISA 700 (Revised) Report)</w:t>
        </w:r>
        <w:r w:rsidR="00922652">
          <w:rPr>
            <w:webHidden/>
          </w:rPr>
          <w:tab/>
        </w:r>
        <w:r w:rsidR="00922652">
          <w:rPr>
            <w:webHidden/>
          </w:rPr>
          <w:fldChar w:fldCharType="begin"/>
        </w:r>
        <w:r w:rsidR="00922652">
          <w:rPr>
            <w:webHidden/>
          </w:rPr>
          <w:instrText xml:space="preserve"> PAGEREF _Toc455582239 \h </w:instrText>
        </w:r>
        <w:r w:rsidR="00922652">
          <w:rPr>
            <w:webHidden/>
          </w:rPr>
        </w:r>
        <w:r w:rsidR="00922652">
          <w:rPr>
            <w:webHidden/>
          </w:rPr>
          <w:fldChar w:fldCharType="separate"/>
        </w:r>
        <w:r>
          <w:rPr>
            <w:webHidden/>
          </w:rPr>
          <w:t>63</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40" w:history="1">
        <w:r w:rsidR="00922652" w:rsidRPr="00833672">
          <w:rPr>
            <w:rStyle w:val="Hyperlink"/>
          </w:rPr>
          <w:t>Appendix 6 – Report on Parts 4 to 10 of the Annual Statutory Return (combined ISA 800 (Revised) and ISRE 2410 Reports)</w:t>
        </w:r>
        <w:r w:rsidR="00922652">
          <w:rPr>
            <w:webHidden/>
          </w:rPr>
          <w:tab/>
        </w:r>
        <w:r w:rsidR="00922652">
          <w:rPr>
            <w:webHidden/>
          </w:rPr>
          <w:fldChar w:fldCharType="begin"/>
        </w:r>
        <w:r w:rsidR="00922652">
          <w:rPr>
            <w:webHidden/>
          </w:rPr>
          <w:instrText xml:space="preserve"> PAGEREF _Toc455582240 \h </w:instrText>
        </w:r>
        <w:r w:rsidR="00922652">
          <w:rPr>
            <w:webHidden/>
          </w:rPr>
        </w:r>
        <w:r w:rsidR="00922652">
          <w:rPr>
            <w:webHidden/>
          </w:rPr>
          <w:fldChar w:fldCharType="separate"/>
        </w:r>
        <w:r>
          <w:rPr>
            <w:webHidden/>
          </w:rPr>
          <w:t>68</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41" w:history="1">
        <w:r w:rsidR="00922652" w:rsidRPr="00833672">
          <w:rPr>
            <w:rStyle w:val="Hyperlink"/>
          </w:rPr>
          <w:t>Appendix 7 – Assurance Report on Compliance with Sections 36(5) and 36(8) of the Act (ISAE 3000 (Revised) Report)</w:t>
        </w:r>
        <w:r w:rsidR="00922652">
          <w:rPr>
            <w:webHidden/>
          </w:rPr>
          <w:tab/>
        </w:r>
        <w:r w:rsidR="00922652">
          <w:rPr>
            <w:webHidden/>
          </w:rPr>
          <w:fldChar w:fldCharType="begin"/>
        </w:r>
        <w:r w:rsidR="00922652">
          <w:rPr>
            <w:webHidden/>
          </w:rPr>
          <w:instrText xml:space="preserve"> PAGEREF _Toc455582241 \h </w:instrText>
        </w:r>
        <w:r w:rsidR="00922652">
          <w:rPr>
            <w:webHidden/>
          </w:rPr>
        </w:r>
        <w:r w:rsidR="00922652">
          <w:rPr>
            <w:webHidden/>
          </w:rPr>
          <w:fldChar w:fldCharType="separate"/>
        </w:r>
        <w:r>
          <w:rPr>
            <w:webHidden/>
          </w:rPr>
          <w:t>74</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42" w:history="1">
        <w:r w:rsidR="00922652" w:rsidRPr="00833672">
          <w:rPr>
            <w:rStyle w:val="Hyperlink"/>
          </w:rPr>
          <w:t>Appendix 8 – Report on the Summary Financial Statements (ISA 810 (Revised) Report)</w:t>
        </w:r>
        <w:r w:rsidR="00922652">
          <w:rPr>
            <w:webHidden/>
          </w:rPr>
          <w:tab/>
        </w:r>
        <w:r w:rsidR="00922652">
          <w:rPr>
            <w:webHidden/>
          </w:rPr>
          <w:fldChar w:fldCharType="begin"/>
        </w:r>
        <w:r w:rsidR="00922652">
          <w:rPr>
            <w:webHidden/>
          </w:rPr>
          <w:instrText xml:space="preserve"> PAGEREF _Toc455582242 \h </w:instrText>
        </w:r>
        <w:r w:rsidR="00922652">
          <w:rPr>
            <w:webHidden/>
          </w:rPr>
        </w:r>
        <w:r w:rsidR="00922652">
          <w:rPr>
            <w:webHidden/>
          </w:rPr>
          <w:fldChar w:fldCharType="separate"/>
        </w:r>
        <w:r>
          <w:rPr>
            <w:webHidden/>
          </w:rPr>
          <w:t>79</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43" w:history="1">
        <w:r w:rsidR="00922652" w:rsidRPr="00833672">
          <w:rPr>
            <w:rStyle w:val="Hyperlink"/>
          </w:rPr>
          <w:t>Appendix 9 – Non-compliance matters</w:t>
        </w:r>
        <w:r w:rsidR="00922652">
          <w:rPr>
            <w:webHidden/>
          </w:rPr>
          <w:tab/>
        </w:r>
        <w:r w:rsidR="00922652">
          <w:rPr>
            <w:webHidden/>
          </w:rPr>
          <w:fldChar w:fldCharType="begin"/>
        </w:r>
        <w:r w:rsidR="00922652">
          <w:rPr>
            <w:webHidden/>
          </w:rPr>
          <w:instrText xml:space="preserve"> PAGEREF _Toc455582243 \h </w:instrText>
        </w:r>
        <w:r w:rsidR="00922652">
          <w:rPr>
            <w:webHidden/>
          </w:rPr>
        </w:r>
        <w:r w:rsidR="00922652">
          <w:rPr>
            <w:webHidden/>
          </w:rPr>
          <w:fldChar w:fldCharType="separate"/>
        </w:r>
        <w:r>
          <w:rPr>
            <w:webHidden/>
          </w:rPr>
          <w:t>82</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44" w:history="1">
        <w:r w:rsidR="00922652" w:rsidRPr="00833672">
          <w:rPr>
            <w:rStyle w:val="Hyperlink"/>
          </w:rPr>
          <w:t>Appendix 10 – Claims CAATS</w:t>
        </w:r>
        <w:r w:rsidR="00922652">
          <w:rPr>
            <w:webHidden/>
          </w:rPr>
          <w:tab/>
        </w:r>
        <w:r w:rsidR="00922652">
          <w:rPr>
            <w:webHidden/>
          </w:rPr>
          <w:fldChar w:fldCharType="begin"/>
        </w:r>
        <w:r w:rsidR="00922652">
          <w:rPr>
            <w:webHidden/>
          </w:rPr>
          <w:instrText xml:space="preserve"> PAGEREF _Toc455582244 \h </w:instrText>
        </w:r>
        <w:r w:rsidR="00922652">
          <w:rPr>
            <w:webHidden/>
          </w:rPr>
        </w:r>
        <w:r w:rsidR="00922652">
          <w:rPr>
            <w:webHidden/>
          </w:rPr>
          <w:fldChar w:fldCharType="separate"/>
        </w:r>
        <w:r>
          <w:rPr>
            <w:webHidden/>
          </w:rPr>
          <w:t>89</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45" w:history="1">
        <w:r w:rsidR="00922652" w:rsidRPr="00833672">
          <w:rPr>
            <w:rStyle w:val="Hyperlink"/>
          </w:rPr>
          <w:t>Appendix 11 – Contribution CAATS</w:t>
        </w:r>
        <w:r w:rsidR="00922652">
          <w:rPr>
            <w:webHidden/>
          </w:rPr>
          <w:tab/>
        </w:r>
        <w:r w:rsidR="00922652">
          <w:rPr>
            <w:webHidden/>
          </w:rPr>
          <w:fldChar w:fldCharType="begin"/>
        </w:r>
        <w:r w:rsidR="00922652">
          <w:rPr>
            <w:webHidden/>
          </w:rPr>
          <w:instrText xml:space="preserve"> PAGEREF _Toc455582245 \h </w:instrText>
        </w:r>
        <w:r w:rsidR="00922652">
          <w:rPr>
            <w:webHidden/>
          </w:rPr>
        </w:r>
        <w:r w:rsidR="00922652">
          <w:rPr>
            <w:webHidden/>
          </w:rPr>
          <w:fldChar w:fldCharType="separate"/>
        </w:r>
        <w:r>
          <w:rPr>
            <w:webHidden/>
          </w:rPr>
          <w:t>91</w:t>
        </w:r>
        <w:r w:rsidR="00922652">
          <w:rPr>
            <w:webHidden/>
          </w:rPr>
          <w:fldChar w:fldCharType="end"/>
        </w:r>
      </w:hyperlink>
    </w:p>
    <w:p w:rsidR="00922652" w:rsidRDefault="00C86F03">
      <w:pPr>
        <w:pStyle w:val="TOC1"/>
        <w:rPr>
          <w:rFonts w:asciiTheme="minorHAnsi" w:eastAsiaTheme="minorEastAsia" w:hAnsiTheme="minorHAnsi" w:cstheme="minorBidi"/>
          <w:lang w:eastAsia="en-ZA"/>
        </w:rPr>
      </w:pPr>
      <w:hyperlink w:anchor="_Toc455582246" w:history="1">
        <w:r w:rsidR="00922652" w:rsidRPr="00833672">
          <w:rPr>
            <w:rStyle w:val="Hyperlink"/>
          </w:rPr>
          <w:t>Appendix 12 – List of resources</w:t>
        </w:r>
        <w:r w:rsidR="00922652">
          <w:rPr>
            <w:webHidden/>
          </w:rPr>
          <w:tab/>
        </w:r>
        <w:r w:rsidR="00922652">
          <w:rPr>
            <w:webHidden/>
          </w:rPr>
          <w:fldChar w:fldCharType="begin"/>
        </w:r>
        <w:r w:rsidR="00922652">
          <w:rPr>
            <w:webHidden/>
          </w:rPr>
          <w:instrText xml:space="preserve"> PAGEREF _Toc455582246 \h </w:instrText>
        </w:r>
        <w:r w:rsidR="00922652">
          <w:rPr>
            <w:webHidden/>
          </w:rPr>
        </w:r>
        <w:r w:rsidR="00922652">
          <w:rPr>
            <w:webHidden/>
          </w:rPr>
          <w:fldChar w:fldCharType="separate"/>
        </w:r>
        <w:r>
          <w:rPr>
            <w:webHidden/>
          </w:rPr>
          <w:t>92</w:t>
        </w:r>
        <w:r w:rsidR="00922652">
          <w:rPr>
            <w:webHidden/>
          </w:rPr>
          <w:fldChar w:fldCharType="end"/>
        </w:r>
      </w:hyperlink>
    </w:p>
    <w:p w:rsidR="00B669E2" w:rsidRPr="00F463BC" w:rsidRDefault="00707681" w:rsidP="00B82F08">
      <w:pPr>
        <w:spacing w:before="0" w:line="271" w:lineRule="auto"/>
        <w:rPr>
          <w:rFonts w:ascii="Arial" w:hAnsi="Arial" w:cs="Arial"/>
          <w:sz w:val="22"/>
          <w:szCs w:val="22"/>
        </w:rPr>
      </w:pPr>
      <w:r w:rsidRPr="00F463BC">
        <w:rPr>
          <w:rFonts w:ascii="Arial" w:hAnsi="Arial" w:cs="Arial"/>
          <w:noProof/>
          <w:sz w:val="22"/>
          <w:szCs w:val="22"/>
        </w:rPr>
        <w:fldChar w:fldCharType="end"/>
      </w:r>
      <w:r w:rsidR="002B0E59" w:rsidRPr="00F463BC">
        <w:rPr>
          <w:rFonts w:ascii="Arial" w:hAnsi="Arial" w:cs="Arial"/>
        </w:rPr>
        <w:t xml:space="preserve"> </w:t>
      </w:r>
    </w:p>
    <w:p w:rsidR="0065717F" w:rsidRPr="00F463BC" w:rsidRDefault="00E85187"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t>This Guide for Registered A</w:t>
      </w:r>
      <w:r w:rsidR="0065717F" w:rsidRPr="00F463BC">
        <w:rPr>
          <w:rFonts w:ascii="Arial" w:hAnsi="Arial" w:cs="Arial"/>
          <w:sz w:val="22"/>
          <w:szCs w:val="22"/>
        </w:rPr>
        <w:t xml:space="preserve">uditors: </w:t>
      </w:r>
      <w:r w:rsidR="00A10FE8" w:rsidRPr="00123E1C">
        <w:rPr>
          <w:rFonts w:ascii="Arial" w:hAnsi="Arial" w:cs="Arial"/>
          <w:i/>
          <w:sz w:val="22"/>
          <w:szCs w:val="22"/>
        </w:rPr>
        <w:t xml:space="preserve">Assurance </w:t>
      </w:r>
      <w:r w:rsidR="00102D26" w:rsidRPr="00F463BC">
        <w:rPr>
          <w:rFonts w:ascii="Arial" w:hAnsi="Arial" w:cs="Arial"/>
          <w:i/>
          <w:sz w:val="22"/>
          <w:szCs w:val="22"/>
        </w:rPr>
        <w:t xml:space="preserve">Engagements on the </w:t>
      </w:r>
      <w:r w:rsidR="00B47D3A" w:rsidRPr="00F463BC">
        <w:rPr>
          <w:rFonts w:ascii="Arial" w:hAnsi="Arial" w:cs="Arial"/>
          <w:i/>
          <w:sz w:val="22"/>
          <w:szCs w:val="22"/>
        </w:rPr>
        <w:t xml:space="preserve">Annual </w:t>
      </w:r>
      <w:r w:rsidR="00102D26" w:rsidRPr="00F463BC">
        <w:rPr>
          <w:rFonts w:ascii="Arial" w:hAnsi="Arial" w:cs="Arial"/>
          <w:i/>
          <w:sz w:val="22"/>
          <w:szCs w:val="22"/>
        </w:rPr>
        <w:t xml:space="preserve">Financial Statements and </w:t>
      </w:r>
      <w:r w:rsidR="002B7489" w:rsidRPr="00F463BC">
        <w:rPr>
          <w:rFonts w:ascii="Arial" w:hAnsi="Arial" w:cs="Arial"/>
          <w:i/>
          <w:sz w:val="22"/>
          <w:szCs w:val="22"/>
        </w:rPr>
        <w:t>Annual Statutory</w:t>
      </w:r>
      <w:r w:rsidR="00102D26" w:rsidRPr="00F463BC">
        <w:rPr>
          <w:rFonts w:ascii="Arial" w:hAnsi="Arial" w:cs="Arial"/>
          <w:i/>
          <w:sz w:val="22"/>
          <w:szCs w:val="22"/>
        </w:rPr>
        <w:t xml:space="preserve"> Returns</w:t>
      </w:r>
      <w:r w:rsidRPr="00F463BC">
        <w:rPr>
          <w:rFonts w:ascii="Arial" w:hAnsi="Arial" w:cs="Arial"/>
          <w:i/>
          <w:sz w:val="22"/>
          <w:szCs w:val="22"/>
        </w:rPr>
        <w:t xml:space="preserve"> of a Medical Scheme</w:t>
      </w:r>
      <w:r w:rsidR="0065717F" w:rsidRPr="00F463BC">
        <w:rPr>
          <w:rFonts w:ascii="Arial" w:hAnsi="Arial" w:cs="Arial"/>
          <w:sz w:val="22"/>
          <w:szCs w:val="22"/>
        </w:rPr>
        <w:t xml:space="preserve"> provides guidance to a </w:t>
      </w:r>
      <w:r w:rsidR="00A94B63" w:rsidRPr="00F463BC">
        <w:rPr>
          <w:rFonts w:ascii="Arial" w:hAnsi="Arial" w:cs="Arial"/>
          <w:sz w:val="22"/>
          <w:szCs w:val="22"/>
        </w:rPr>
        <w:t xml:space="preserve">registered auditor of a medical scheme </w:t>
      </w:r>
      <w:r w:rsidR="0065717F" w:rsidRPr="00F463BC">
        <w:rPr>
          <w:rFonts w:ascii="Arial" w:hAnsi="Arial" w:cs="Arial"/>
          <w:sz w:val="22"/>
          <w:szCs w:val="22"/>
        </w:rPr>
        <w:t xml:space="preserve">in implementing the audit requirements in the relevant International Standards to meet the additional regulatory reporting requirements </w:t>
      </w:r>
      <w:r w:rsidR="00A94B63" w:rsidRPr="00F463BC">
        <w:rPr>
          <w:rFonts w:ascii="Arial" w:hAnsi="Arial" w:cs="Arial"/>
          <w:sz w:val="22"/>
          <w:szCs w:val="22"/>
        </w:rPr>
        <w:t>of the Council for Medical Schemes</w:t>
      </w:r>
      <w:r w:rsidR="00517DCB" w:rsidRPr="00F463BC">
        <w:rPr>
          <w:rFonts w:ascii="Arial" w:hAnsi="Arial" w:cs="Arial"/>
          <w:sz w:val="22"/>
          <w:szCs w:val="22"/>
        </w:rPr>
        <w:t xml:space="preserve"> (the Council)</w:t>
      </w:r>
      <w:r w:rsidR="0065717F" w:rsidRPr="00F463BC">
        <w:rPr>
          <w:rFonts w:ascii="Arial" w:hAnsi="Arial" w:cs="Arial"/>
          <w:sz w:val="22"/>
          <w:szCs w:val="22"/>
        </w:rPr>
        <w:t xml:space="preserve">. </w:t>
      </w:r>
    </w:p>
    <w:p w:rsidR="0065717F" w:rsidRPr="00F463BC" w:rsidRDefault="0065717F"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t xml:space="preserve">Guides are developed and issued by the IRBA to provide guidance to auditors in meeting specific legislative requirements imposed by a Regulator. Guides do not impose requirements on auditors beyond those included in the International or South African Standard/s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rsidR="0065717F" w:rsidRPr="00F463BC" w:rsidRDefault="0065717F"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t xml:space="preserve">An auditor is required to 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p>
    <w:p w:rsidR="003215AA" w:rsidRPr="00F463BC" w:rsidRDefault="00F92448"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t>I</w:t>
      </w:r>
      <w:r w:rsidR="0065717F" w:rsidRPr="00F463BC">
        <w:rPr>
          <w:rFonts w:ascii="Arial" w:hAnsi="Arial" w:cs="Arial"/>
          <w:sz w:val="22"/>
          <w:szCs w:val="22"/>
        </w:rPr>
        <w:t xml:space="preserve">n terms of section 1 of the Auditing Profession Act, No 26 of 2005 (the Act), a Guide is included in the definition of “auditing pronouncements” in the Act, and in terms of the Act, the auditor must, in the performance of an audit, comply with those standards, practice statements, guidelines and circulars developed, adopted, issued or prescribed by the Regulatory Board. </w:t>
      </w:r>
    </w:p>
    <w:p w:rsidR="004D16D5" w:rsidRPr="00F463BC" w:rsidRDefault="004D16D5"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sectPr w:rsidR="004D16D5" w:rsidRPr="00F463BC" w:rsidSect="00044CFC">
          <w:headerReference w:type="default" r:id="rId12"/>
          <w:pgSz w:w="11909" w:h="16834" w:code="9"/>
          <w:pgMar w:top="1440" w:right="1440" w:bottom="1440" w:left="1440" w:header="720" w:footer="720" w:gutter="0"/>
          <w:cols w:space="720"/>
          <w:noEndnote/>
          <w:docGrid w:linePitch="326"/>
        </w:sectPr>
      </w:pPr>
    </w:p>
    <w:p w:rsidR="00726FC7" w:rsidRDefault="00726FC7">
      <w:pPr>
        <w:spacing w:before="0" w:after="0"/>
        <w:jc w:val="left"/>
        <w:rPr>
          <w:rFonts w:ascii="Arial" w:hAnsi="Arial" w:cs="Arial"/>
          <w:b/>
          <w:spacing w:val="-2"/>
          <w:sz w:val="28"/>
          <w:szCs w:val="28"/>
          <w:lang w:eastAsia="en-US"/>
        </w:rPr>
      </w:pPr>
      <w:bookmarkStart w:id="8" w:name="_Scope_and_status"/>
      <w:bookmarkStart w:id="9" w:name="_Toc300572937"/>
      <w:bookmarkStart w:id="10" w:name="_Toc304897884"/>
      <w:bookmarkStart w:id="11" w:name="_Toc305083332"/>
      <w:bookmarkEnd w:id="1"/>
      <w:bookmarkEnd w:id="8"/>
      <w:r>
        <w:br w:type="page"/>
      </w:r>
    </w:p>
    <w:p w:rsidR="000E794A" w:rsidRPr="00F463BC" w:rsidRDefault="000E794A" w:rsidP="00B82F08">
      <w:pPr>
        <w:pStyle w:val="Heading1"/>
        <w:spacing w:line="271" w:lineRule="auto"/>
      </w:pPr>
      <w:bookmarkStart w:id="12" w:name="_Toc455582202"/>
      <w:r w:rsidRPr="00F463BC">
        <w:lastRenderedPageBreak/>
        <w:t>Introduction</w:t>
      </w:r>
      <w:bookmarkEnd w:id="12"/>
    </w:p>
    <w:p w:rsidR="0057273C" w:rsidRPr="00F463BC" w:rsidRDefault="00F922E8" w:rsidP="00B82F08">
      <w:pPr>
        <w:pStyle w:val="Heading2"/>
        <w:spacing w:before="0" w:line="271" w:lineRule="auto"/>
      </w:pPr>
      <w:bookmarkStart w:id="13" w:name="_Toc455582203"/>
      <w:r w:rsidRPr="00F463BC">
        <w:t xml:space="preserve">Scope </w:t>
      </w:r>
      <w:r w:rsidR="000E794A" w:rsidRPr="00F463BC">
        <w:t>of this</w:t>
      </w:r>
      <w:r w:rsidR="00510EC8" w:rsidRPr="00F463BC">
        <w:t xml:space="preserve"> </w:t>
      </w:r>
      <w:bookmarkEnd w:id="2"/>
      <w:bookmarkEnd w:id="3"/>
      <w:bookmarkEnd w:id="4"/>
      <w:bookmarkEnd w:id="5"/>
      <w:bookmarkEnd w:id="6"/>
      <w:bookmarkEnd w:id="7"/>
      <w:bookmarkEnd w:id="9"/>
      <w:bookmarkEnd w:id="10"/>
      <w:bookmarkEnd w:id="11"/>
      <w:r w:rsidR="003D5695" w:rsidRPr="00F463BC">
        <w:t>Guide</w:t>
      </w:r>
      <w:bookmarkEnd w:id="13"/>
    </w:p>
    <w:p w:rsidR="00432D5A" w:rsidRPr="00F463BC" w:rsidRDefault="008A08F3"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w:t>
      </w:r>
      <w:r w:rsidR="005354B1">
        <w:rPr>
          <w:rFonts w:ascii="Arial" w:hAnsi="Arial" w:cs="Arial"/>
          <w:sz w:val="22"/>
          <w:szCs w:val="22"/>
        </w:rPr>
        <w:t>purpose</w:t>
      </w:r>
      <w:r w:rsidR="005354B1" w:rsidRPr="00F463BC">
        <w:rPr>
          <w:rFonts w:ascii="Arial" w:hAnsi="Arial" w:cs="Arial"/>
          <w:sz w:val="22"/>
          <w:szCs w:val="22"/>
        </w:rPr>
        <w:t xml:space="preserve"> </w:t>
      </w:r>
      <w:r w:rsidRPr="00F463BC">
        <w:rPr>
          <w:rFonts w:ascii="Arial" w:hAnsi="Arial" w:cs="Arial"/>
          <w:sz w:val="22"/>
          <w:szCs w:val="22"/>
        </w:rPr>
        <w:t xml:space="preserve">of this Guide is to provide guidance to a registered auditor on </w:t>
      </w:r>
      <w:r w:rsidR="004171B7" w:rsidRPr="00F463BC">
        <w:rPr>
          <w:rFonts w:ascii="Arial" w:hAnsi="Arial" w:cs="Arial"/>
          <w:sz w:val="22"/>
          <w:szCs w:val="22"/>
        </w:rPr>
        <w:t xml:space="preserve">conducting an </w:t>
      </w:r>
      <w:r w:rsidR="00A10FE8">
        <w:rPr>
          <w:rFonts w:ascii="Arial" w:hAnsi="Arial" w:cs="Arial"/>
          <w:sz w:val="22"/>
          <w:szCs w:val="22"/>
        </w:rPr>
        <w:t xml:space="preserve">assurance </w:t>
      </w:r>
      <w:r w:rsidR="004171B7" w:rsidRPr="00F463BC">
        <w:rPr>
          <w:rFonts w:ascii="Arial" w:hAnsi="Arial" w:cs="Arial"/>
          <w:sz w:val="22"/>
          <w:szCs w:val="22"/>
        </w:rPr>
        <w:t xml:space="preserve">engagement on the </w:t>
      </w:r>
      <w:r w:rsidR="00B47D3A" w:rsidRPr="00F463BC">
        <w:rPr>
          <w:rFonts w:ascii="Arial" w:hAnsi="Arial" w:cs="Arial"/>
          <w:sz w:val="22"/>
          <w:szCs w:val="22"/>
        </w:rPr>
        <w:t xml:space="preserve">annual </w:t>
      </w:r>
      <w:r w:rsidR="004171B7" w:rsidRPr="00F463BC">
        <w:rPr>
          <w:rFonts w:ascii="Arial" w:hAnsi="Arial" w:cs="Arial"/>
          <w:sz w:val="22"/>
          <w:szCs w:val="22"/>
        </w:rPr>
        <w:t xml:space="preserve">financial statements and </w:t>
      </w:r>
      <w:r w:rsidR="002B7489" w:rsidRPr="00F463BC">
        <w:rPr>
          <w:rFonts w:ascii="Arial" w:hAnsi="Arial" w:cs="Arial"/>
          <w:sz w:val="22"/>
          <w:szCs w:val="22"/>
        </w:rPr>
        <w:t xml:space="preserve">annual statutory </w:t>
      </w:r>
      <w:r w:rsidR="004171B7" w:rsidRPr="00F463BC">
        <w:rPr>
          <w:rFonts w:ascii="Arial" w:hAnsi="Arial" w:cs="Arial"/>
          <w:sz w:val="22"/>
          <w:szCs w:val="22"/>
        </w:rPr>
        <w:t>returns of a medical scheme</w:t>
      </w:r>
      <w:r w:rsidR="001E3D4D" w:rsidRPr="00F463BC">
        <w:rPr>
          <w:rFonts w:ascii="Arial" w:hAnsi="Arial" w:cs="Arial"/>
          <w:sz w:val="22"/>
          <w:szCs w:val="22"/>
        </w:rPr>
        <w:t>.</w:t>
      </w:r>
    </w:p>
    <w:p w:rsidR="0029675D" w:rsidRPr="00F463BC" w:rsidRDefault="007E755D"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South African medical schemes are regulated by the </w:t>
      </w:r>
      <w:r w:rsidR="004C7F55" w:rsidRPr="00F463BC">
        <w:rPr>
          <w:rFonts w:ascii="Arial" w:hAnsi="Arial" w:cs="Arial"/>
          <w:sz w:val="22"/>
          <w:szCs w:val="22"/>
        </w:rPr>
        <w:t>Council for Medical Schemes (the Council</w:t>
      </w:r>
      <w:r w:rsidRPr="00F463BC">
        <w:rPr>
          <w:rFonts w:ascii="Arial" w:hAnsi="Arial" w:cs="Arial"/>
          <w:sz w:val="22"/>
          <w:szCs w:val="22"/>
        </w:rPr>
        <w:t xml:space="preserve">) and there </w:t>
      </w:r>
      <w:r w:rsidR="00432D5A" w:rsidRPr="00F463BC">
        <w:rPr>
          <w:rFonts w:ascii="Arial" w:hAnsi="Arial" w:cs="Arial"/>
          <w:sz w:val="22"/>
          <w:szCs w:val="22"/>
        </w:rPr>
        <w:t xml:space="preserve">are significant </w:t>
      </w:r>
      <w:r w:rsidRPr="00F463BC">
        <w:rPr>
          <w:rFonts w:ascii="Arial" w:hAnsi="Arial" w:cs="Arial"/>
          <w:sz w:val="22"/>
          <w:szCs w:val="22"/>
        </w:rPr>
        <w:t>regulatory requirements imposed by the Medical Schemes Act, No. 131 of 1998</w:t>
      </w:r>
      <w:r w:rsidR="00B47D3A" w:rsidRPr="00F463BC">
        <w:rPr>
          <w:rFonts w:ascii="Arial" w:hAnsi="Arial" w:cs="Arial"/>
          <w:sz w:val="22"/>
          <w:szCs w:val="22"/>
        </w:rPr>
        <w:t xml:space="preserve"> and the </w:t>
      </w:r>
      <w:r w:rsidR="00D4343E">
        <w:rPr>
          <w:rFonts w:ascii="Arial" w:hAnsi="Arial" w:cs="Arial"/>
          <w:sz w:val="22"/>
          <w:szCs w:val="22"/>
        </w:rPr>
        <w:t xml:space="preserve">related </w:t>
      </w:r>
      <w:r w:rsidR="00B47D3A" w:rsidRPr="00F463BC">
        <w:rPr>
          <w:rFonts w:ascii="Arial" w:hAnsi="Arial" w:cs="Arial"/>
          <w:sz w:val="22"/>
          <w:szCs w:val="22"/>
        </w:rPr>
        <w:t>Regulations thereto,</w:t>
      </w:r>
      <w:r w:rsidRPr="00F463BC">
        <w:rPr>
          <w:rFonts w:ascii="Arial" w:hAnsi="Arial" w:cs="Arial"/>
          <w:sz w:val="22"/>
          <w:szCs w:val="22"/>
        </w:rPr>
        <w:t xml:space="preserve"> and Circulars. </w:t>
      </w:r>
    </w:p>
    <w:p w:rsidR="0057273C" w:rsidRPr="00F463BC" w:rsidRDefault="008A08F3"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guidance relates to understanding the nature and characteristics of a medical scheme and the nature and extent of work in the engagement, and </w:t>
      </w:r>
      <w:r w:rsidR="00AD27DE" w:rsidRPr="00F463BC">
        <w:rPr>
          <w:rFonts w:ascii="Arial" w:hAnsi="Arial" w:cs="Arial"/>
          <w:sz w:val="22"/>
          <w:szCs w:val="22"/>
        </w:rPr>
        <w:t xml:space="preserve">as a consequence </w:t>
      </w:r>
      <w:r w:rsidRPr="00F463BC">
        <w:rPr>
          <w:rFonts w:ascii="Arial" w:hAnsi="Arial" w:cs="Arial"/>
          <w:sz w:val="22"/>
          <w:szCs w:val="22"/>
        </w:rPr>
        <w:t>emphasises professional competencies and professional scepticism.</w:t>
      </w:r>
      <w:r w:rsidR="00F72E7C" w:rsidRPr="00F463BC">
        <w:rPr>
          <w:rFonts w:ascii="Arial" w:hAnsi="Arial" w:cs="Arial"/>
          <w:sz w:val="22"/>
          <w:szCs w:val="22"/>
        </w:rPr>
        <w:t xml:space="preserve"> </w:t>
      </w:r>
      <w:r w:rsidR="0057273C" w:rsidRPr="00F463BC">
        <w:rPr>
          <w:rFonts w:ascii="Arial" w:hAnsi="Arial" w:cs="Arial"/>
          <w:sz w:val="22"/>
          <w:szCs w:val="22"/>
        </w:rPr>
        <w:t>Th</w:t>
      </w:r>
      <w:r w:rsidR="00A02736" w:rsidRPr="00F463BC">
        <w:rPr>
          <w:rFonts w:ascii="Arial" w:hAnsi="Arial" w:cs="Arial"/>
          <w:sz w:val="22"/>
          <w:szCs w:val="22"/>
        </w:rPr>
        <w:t>is</w:t>
      </w:r>
      <w:r w:rsidR="0057273C" w:rsidRPr="00F463BC">
        <w:rPr>
          <w:rFonts w:ascii="Arial" w:hAnsi="Arial" w:cs="Arial"/>
          <w:sz w:val="22"/>
          <w:szCs w:val="22"/>
        </w:rPr>
        <w:t xml:space="preserve"> </w:t>
      </w:r>
      <w:r w:rsidR="002C6F4B" w:rsidRPr="00F463BC">
        <w:rPr>
          <w:rFonts w:ascii="Arial" w:hAnsi="Arial" w:cs="Arial"/>
          <w:sz w:val="22"/>
          <w:szCs w:val="22"/>
        </w:rPr>
        <w:t xml:space="preserve">Guide </w:t>
      </w:r>
      <w:r w:rsidR="00510EC8" w:rsidRPr="00F463BC">
        <w:rPr>
          <w:rFonts w:ascii="Arial" w:hAnsi="Arial" w:cs="Arial"/>
          <w:sz w:val="22"/>
          <w:szCs w:val="22"/>
        </w:rPr>
        <w:t xml:space="preserve">provides implementation guidance on the application of </w:t>
      </w:r>
      <w:r w:rsidR="00282C20" w:rsidRPr="00F463BC">
        <w:rPr>
          <w:rFonts w:ascii="Arial" w:hAnsi="Arial" w:cs="Arial"/>
          <w:sz w:val="22"/>
          <w:szCs w:val="22"/>
        </w:rPr>
        <w:t>International Standards of Auditing (</w:t>
      </w:r>
      <w:r w:rsidR="0057273C" w:rsidRPr="00F463BC">
        <w:rPr>
          <w:rFonts w:ascii="Arial" w:hAnsi="Arial" w:cs="Arial"/>
          <w:sz w:val="22"/>
          <w:szCs w:val="22"/>
        </w:rPr>
        <w:t>ISAs</w:t>
      </w:r>
      <w:r w:rsidR="00282C20" w:rsidRPr="00F463BC">
        <w:rPr>
          <w:rFonts w:ascii="Arial" w:hAnsi="Arial" w:cs="Arial"/>
          <w:sz w:val="22"/>
          <w:szCs w:val="22"/>
        </w:rPr>
        <w:t>)</w:t>
      </w:r>
      <w:r w:rsidR="0057273C" w:rsidRPr="00F463BC">
        <w:rPr>
          <w:rFonts w:ascii="Arial" w:hAnsi="Arial" w:cs="Arial"/>
          <w:sz w:val="22"/>
          <w:szCs w:val="22"/>
        </w:rPr>
        <w:t xml:space="preserve">, </w:t>
      </w:r>
      <w:r w:rsidR="00510EC8" w:rsidRPr="00F463BC">
        <w:rPr>
          <w:rFonts w:ascii="Arial" w:hAnsi="Arial" w:cs="Arial"/>
          <w:sz w:val="22"/>
          <w:szCs w:val="22"/>
        </w:rPr>
        <w:t>in respect of matters</w:t>
      </w:r>
      <w:r w:rsidR="0057273C" w:rsidRPr="00F463BC">
        <w:rPr>
          <w:rFonts w:ascii="Arial" w:hAnsi="Arial" w:cs="Arial"/>
          <w:sz w:val="22"/>
          <w:szCs w:val="22"/>
        </w:rPr>
        <w:t xml:space="preserve"> </w:t>
      </w:r>
      <w:r w:rsidR="00233A74" w:rsidRPr="00F463BC">
        <w:rPr>
          <w:rFonts w:ascii="Arial" w:hAnsi="Arial" w:cs="Arial"/>
          <w:sz w:val="22"/>
          <w:szCs w:val="22"/>
        </w:rPr>
        <w:t>unique</w:t>
      </w:r>
      <w:r w:rsidR="0057273C" w:rsidRPr="00F463BC">
        <w:rPr>
          <w:rFonts w:ascii="Arial" w:hAnsi="Arial" w:cs="Arial"/>
          <w:sz w:val="22"/>
          <w:szCs w:val="22"/>
        </w:rPr>
        <w:t xml:space="preserve"> to </w:t>
      </w:r>
      <w:r w:rsidR="00510EC8" w:rsidRPr="00F463BC">
        <w:rPr>
          <w:rFonts w:ascii="Arial" w:hAnsi="Arial" w:cs="Arial"/>
          <w:sz w:val="22"/>
          <w:szCs w:val="22"/>
        </w:rPr>
        <w:t xml:space="preserve">the </w:t>
      </w:r>
      <w:r w:rsidR="00F74FA0" w:rsidRPr="00F463BC">
        <w:rPr>
          <w:rFonts w:ascii="Arial" w:hAnsi="Arial" w:cs="Arial"/>
          <w:sz w:val="22"/>
          <w:szCs w:val="22"/>
        </w:rPr>
        <w:t xml:space="preserve">audit of </w:t>
      </w:r>
      <w:r w:rsidR="00F01F9A" w:rsidRPr="00F463BC">
        <w:rPr>
          <w:rFonts w:ascii="Arial" w:hAnsi="Arial" w:cs="Arial"/>
          <w:sz w:val="22"/>
          <w:szCs w:val="22"/>
        </w:rPr>
        <w:t xml:space="preserve">a </w:t>
      </w:r>
      <w:r w:rsidR="0009014E" w:rsidRPr="00F463BC">
        <w:rPr>
          <w:rFonts w:ascii="Arial" w:hAnsi="Arial" w:cs="Arial"/>
          <w:sz w:val="22"/>
          <w:szCs w:val="22"/>
        </w:rPr>
        <w:t>medical scheme</w:t>
      </w:r>
      <w:r w:rsidR="00F74FA0" w:rsidRPr="00F463BC">
        <w:rPr>
          <w:rFonts w:ascii="Arial" w:hAnsi="Arial" w:cs="Arial"/>
          <w:sz w:val="22"/>
          <w:szCs w:val="22"/>
        </w:rPr>
        <w:t>.</w:t>
      </w:r>
      <w:r w:rsidR="002B3A79" w:rsidRPr="00F463BC">
        <w:rPr>
          <w:rFonts w:ascii="Arial" w:hAnsi="Arial" w:cs="Arial"/>
          <w:sz w:val="22"/>
          <w:szCs w:val="22"/>
        </w:rPr>
        <w:t xml:space="preserve"> In conducting the audit in accordance with the ISAs an auditor complies with all the requirements of all the ISAs.</w:t>
      </w:r>
    </w:p>
    <w:p w:rsidR="00CD1687" w:rsidRPr="00F463BC" w:rsidRDefault="000210C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This </w:t>
      </w:r>
      <w:r w:rsidR="002C6F4B" w:rsidRPr="00F463BC">
        <w:rPr>
          <w:rFonts w:ascii="Arial" w:hAnsi="Arial" w:cs="Arial"/>
          <w:sz w:val="22"/>
          <w:szCs w:val="22"/>
        </w:rPr>
        <w:t xml:space="preserve">Guide </w:t>
      </w:r>
      <w:r w:rsidR="00F01F9A" w:rsidRPr="00F463BC">
        <w:rPr>
          <w:rFonts w:ascii="Arial" w:hAnsi="Arial" w:cs="Arial"/>
          <w:sz w:val="22"/>
          <w:szCs w:val="22"/>
        </w:rPr>
        <w:t>only provides audit</w:t>
      </w:r>
      <w:r w:rsidR="00310505" w:rsidRPr="00F463BC">
        <w:rPr>
          <w:rFonts w:ascii="Arial" w:hAnsi="Arial" w:cs="Arial"/>
          <w:sz w:val="22"/>
          <w:szCs w:val="22"/>
        </w:rPr>
        <w:t xml:space="preserve"> and assurance</w:t>
      </w:r>
      <w:r w:rsidR="00F01F9A" w:rsidRPr="00F463BC">
        <w:rPr>
          <w:rFonts w:ascii="Arial" w:hAnsi="Arial" w:cs="Arial"/>
          <w:sz w:val="22"/>
          <w:szCs w:val="22"/>
        </w:rPr>
        <w:t xml:space="preserve"> guidance</w:t>
      </w:r>
      <w:r w:rsidR="00CD1687" w:rsidRPr="00F463BC">
        <w:rPr>
          <w:rFonts w:ascii="Arial" w:hAnsi="Arial" w:cs="Arial"/>
          <w:sz w:val="22"/>
          <w:szCs w:val="22"/>
        </w:rPr>
        <w:t>. An</w:t>
      </w:r>
      <w:r w:rsidR="00F01F9A" w:rsidRPr="00F463BC">
        <w:rPr>
          <w:rFonts w:ascii="Arial" w:hAnsi="Arial" w:cs="Arial"/>
          <w:sz w:val="22"/>
          <w:szCs w:val="22"/>
        </w:rPr>
        <w:t xml:space="preserve"> auditor </w:t>
      </w:r>
      <w:r w:rsidR="00324DF0" w:rsidRPr="00F463BC">
        <w:rPr>
          <w:rFonts w:ascii="Arial" w:hAnsi="Arial" w:cs="Arial"/>
          <w:sz w:val="22"/>
          <w:szCs w:val="22"/>
        </w:rPr>
        <w:t>re</w:t>
      </w:r>
      <w:r w:rsidR="00F849B4" w:rsidRPr="00F463BC">
        <w:rPr>
          <w:rFonts w:ascii="Arial" w:hAnsi="Arial" w:cs="Arial"/>
          <w:sz w:val="22"/>
          <w:szCs w:val="22"/>
        </w:rPr>
        <w:t>fer</w:t>
      </w:r>
      <w:r w:rsidR="00F01F9A" w:rsidRPr="00F463BC">
        <w:rPr>
          <w:rFonts w:ascii="Arial" w:hAnsi="Arial" w:cs="Arial"/>
          <w:sz w:val="22"/>
          <w:szCs w:val="22"/>
        </w:rPr>
        <w:t>s</w:t>
      </w:r>
      <w:r w:rsidR="00F849B4" w:rsidRPr="00F463BC">
        <w:rPr>
          <w:rFonts w:ascii="Arial" w:hAnsi="Arial" w:cs="Arial"/>
          <w:sz w:val="22"/>
          <w:szCs w:val="22"/>
        </w:rPr>
        <w:t xml:space="preserve"> to t</w:t>
      </w:r>
      <w:r w:rsidR="0039174D" w:rsidRPr="00F463BC">
        <w:rPr>
          <w:rFonts w:ascii="Arial" w:hAnsi="Arial" w:cs="Arial"/>
          <w:sz w:val="22"/>
          <w:szCs w:val="22"/>
        </w:rPr>
        <w:t>he South African Institute of Chartered Accountants</w:t>
      </w:r>
      <w:r w:rsidR="003F44BE" w:rsidRPr="00F463BC">
        <w:rPr>
          <w:rFonts w:ascii="Arial" w:hAnsi="Arial" w:cs="Arial"/>
          <w:sz w:val="22"/>
          <w:szCs w:val="22"/>
        </w:rPr>
        <w:t>’</w:t>
      </w:r>
      <w:r w:rsidR="0039174D" w:rsidRPr="00F463BC">
        <w:rPr>
          <w:rFonts w:ascii="Arial" w:hAnsi="Arial" w:cs="Arial"/>
          <w:sz w:val="22"/>
          <w:szCs w:val="22"/>
        </w:rPr>
        <w:t xml:space="preserve"> (SAICA)</w:t>
      </w:r>
      <w:r w:rsidR="00F849B4" w:rsidRPr="00F463BC">
        <w:rPr>
          <w:rFonts w:ascii="Arial" w:hAnsi="Arial" w:cs="Arial"/>
          <w:sz w:val="22"/>
          <w:szCs w:val="22"/>
        </w:rPr>
        <w:t xml:space="preserve"> </w:t>
      </w:r>
      <w:r w:rsidR="00F849B4" w:rsidRPr="00F463BC">
        <w:rPr>
          <w:rFonts w:ascii="Arial" w:hAnsi="Arial" w:cs="Arial"/>
          <w:i/>
          <w:sz w:val="22"/>
          <w:szCs w:val="22"/>
        </w:rPr>
        <w:t>Medical Scheme</w:t>
      </w:r>
      <w:r w:rsidR="00982061" w:rsidRPr="00F463BC">
        <w:rPr>
          <w:rFonts w:ascii="Arial" w:hAnsi="Arial" w:cs="Arial"/>
          <w:i/>
          <w:sz w:val="22"/>
          <w:szCs w:val="22"/>
        </w:rPr>
        <w:t>s</w:t>
      </w:r>
      <w:r w:rsidR="00F849B4" w:rsidRPr="00F463BC">
        <w:rPr>
          <w:rFonts w:ascii="Arial" w:hAnsi="Arial" w:cs="Arial"/>
          <w:i/>
          <w:sz w:val="22"/>
          <w:szCs w:val="22"/>
        </w:rPr>
        <w:t xml:space="preserve"> Accounting Guide </w:t>
      </w:r>
      <w:r w:rsidR="00F849B4" w:rsidRPr="00F463BC">
        <w:rPr>
          <w:rFonts w:ascii="Arial" w:hAnsi="Arial" w:cs="Arial"/>
          <w:sz w:val="22"/>
          <w:szCs w:val="22"/>
        </w:rPr>
        <w:t>for</w:t>
      </w:r>
      <w:r w:rsidR="0039174D" w:rsidRPr="00F463BC">
        <w:rPr>
          <w:rFonts w:ascii="Arial" w:hAnsi="Arial" w:cs="Arial"/>
          <w:sz w:val="22"/>
          <w:szCs w:val="22"/>
        </w:rPr>
        <w:t xml:space="preserve"> </w:t>
      </w:r>
      <w:r w:rsidR="00F849B4" w:rsidRPr="00F463BC">
        <w:rPr>
          <w:rFonts w:ascii="Arial" w:hAnsi="Arial" w:cs="Arial"/>
          <w:sz w:val="22"/>
          <w:szCs w:val="22"/>
        </w:rPr>
        <w:t>accounting guidance</w:t>
      </w:r>
      <w:r w:rsidR="00CD1687" w:rsidRPr="00F463BC">
        <w:rPr>
          <w:rFonts w:ascii="Arial" w:hAnsi="Arial" w:cs="Arial"/>
          <w:sz w:val="22"/>
          <w:szCs w:val="22"/>
        </w:rPr>
        <w:t xml:space="preserve"> and the application of International Financial Reporting Standards (IFRS), the applicable financial reporting framework.</w:t>
      </w:r>
      <w:r w:rsidR="00CD1687" w:rsidRPr="00766953">
        <w:rPr>
          <w:rFonts w:ascii="Arial" w:hAnsi="Arial" w:cs="Arial"/>
          <w:sz w:val="22"/>
          <w:szCs w:val="22"/>
          <w:vertAlign w:val="superscript"/>
        </w:rPr>
        <w:footnoteReference w:id="1"/>
      </w:r>
    </w:p>
    <w:p w:rsidR="00022DF7" w:rsidRPr="00F463BC" w:rsidRDefault="002B3A79" w:rsidP="00B82F08">
      <w:pPr>
        <w:pStyle w:val="Bulletnrs"/>
        <w:spacing w:before="0" w:line="271" w:lineRule="auto"/>
        <w:ind w:left="567" w:hanging="567"/>
        <w:rPr>
          <w:rFonts w:ascii="Arial" w:hAnsi="Arial" w:cs="Arial"/>
          <w:sz w:val="22"/>
          <w:szCs w:val="22"/>
        </w:rPr>
      </w:pPr>
      <w:bookmarkStart w:id="14" w:name="_Toc231027707"/>
      <w:bookmarkStart w:id="15" w:name="_Toc275178273"/>
      <w:bookmarkStart w:id="16" w:name="_Toc275178337"/>
      <w:bookmarkStart w:id="17" w:name="_Toc275178444"/>
      <w:bookmarkStart w:id="18" w:name="_Toc277749788"/>
      <w:bookmarkStart w:id="19" w:name="_Toc277750658"/>
      <w:bookmarkStart w:id="20" w:name="_Toc277750839"/>
      <w:bookmarkStart w:id="21" w:name="_Toc231027706"/>
      <w:bookmarkStart w:id="22" w:name="_Toc275178272"/>
      <w:bookmarkStart w:id="23" w:name="_Toc275178336"/>
      <w:bookmarkStart w:id="24" w:name="_Toc275178443"/>
      <w:r w:rsidRPr="00F463BC">
        <w:rPr>
          <w:rFonts w:ascii="Arial" w:hAnsi="Arial" w:cs="Arial"/>
          <w:sz w:val="22"/>
          <w:szCs w:val="22"/>
        </w:rPr>
        <w:t xml:space="preserve">This </w:t>
      </w:r>
      <w:r w:rsidR="002C6F4B" w:rsidRPr="00F463BC">
        <w:rPr>
          <w:rFonts w:ascii="Arial" w:hAnsi="Arial" w:cs="Arial"/>
          <w:sz w:val="22"/>
          <w:szCs w:val="22"/>
        </w:rPr>
        <w:t>Guide</w:t>
      </w:r>
      <w:r w:rsidRPr="00F463BC">
        <w:rPr>
          <w:rFonts w:ascii="Arial" w:hAnsi="Arial" w:cs="Arial"/>
          <w:sz w:val="22"/>
          <w:szCs w:val="22"/>
        </w:rPr>
        <w:t xml:space="preserve"> p</w:t>
      </w:r>
      <w:r w:rsidR="00433C07" w:rsidRPr="00F463BC">
        <w:rPr>
          <w:rFonts w:ascii="Arial" w:hAnsi="Arial" w:cs="Arial"/>
          <w:sz w:val="22"/>
          <w:szCs w:val="22"/>
        </w:rPr>
        <w:t>rovide</w:t>
      </w:r>
      <w:r w:rsidR="00F01F9A" w:rsidRPr="00F463BC">
        <w:rPr>
          <w:rFonts w:ascii="Arial" w:hAnsi="Arial" w:cs="Arial"/>
          <w:sz w:val="22"/>
          <w:szCs w:val="22"/>
        </w:rPr>
        <w:t>s</w:t>
      </w:r>
      <w:r w:rsidR="00433C07" w:rsidRPr="00F463BC">
        <w:rPr>
          <w:rFonts w:ascii="Arial" w:hAnsi="Arial" w:cs="Arial"/>
          <w:sz w:val="22"/>
          <w:szCs w:val="22"/>
        </w:rPr>
        <w:t xml:space="preserve"> </w:t>
      </w:r>
      <w:r w:rsidR="00022DF7" w:rsidRPr="00F463BC">
        <w:rPr>
          <w:rFonts w:ascii="Arial" w:hAnsi="Arial" w:cs="Arial"/>
          <w:sz w:val="22"/>
          <w:szCs w:val="22"/>
        </w:rPr>
        <w:t xml:space="preserve">certain </w:t>
      </w:r>
      <w:r w:rsidR="00433C07" w:rsidRPr="00F463BC">
        <w:rPr>
          <w:rFonts w:ascii="Arial" w:hAnsi="Arial" w:cs="Arial"/>
          <w:sz w:val="22"/>
          <w:szCs w:val="22"/>
        </w:rPr>
        <w:t xml:space="preserve">practical </w:t>
      </w:r>
      <w:r w:rsidRPr="00F463BC">
        <w:rPr>
          <w:rFonts w:ascii="Arial" w:hAnsi="Arial" w:cs="Arial"/>
          <w:sz w:val="22"/>
          <w:szCs w:val="22"/>
        </w:rPr>
        <w:t>guidance</w:t>
      </w:r>
      <w:r w:rsidR="00433C07" w:rsidRPr="00F463BC">
        <w:rPr>
          <w:rFonts w:ascii="Arial" w:hAnsi="Arial" w:cs="Arial"/>
          <w:sz w:val="22"/>
          <w:szCs w:val="22"/>
        </w:rPr>
        <w:t xml:space="preserve"> to be considered in developing audit programmes. </w:t>
      </w:r>
      <w:r w:rsidR="00C4466C" w:rsidRPr="00F463BC">
        <w:rPr>
          <w:rFonts w:ascii="Arial" w:hAnsi="Arial" w:cs="Arial"/>
          <w:sz w:val="22"/>
          <w:szCs w:val="22"/>
        </w:rPr>
        <w:t>This Guide does not override the requirements of the ISAs; nor does it purport to deal with all special considerations that may be relevant in the circumstances of the engagement</w:t>
      </w:r>
      <w:r w:rsidR="00153A1C" w:rsidRPr="00F463BC">
        <w:rPr>
          <w:rFonts w:ascii="Arial" w:hAnsi="Arial" w:cs="Arial"/>
          <w:sz w:val="22"/>
          <w:szCs w:val="22"/>
        </w:rPr>
        <w:t>.</w:t>
      </w:r>
    </w:p>
    <w:p w:rsidR="00AF0C1A" w:rsidRPr="00F463BC" w:rsidRDefault="00AF0C1A" w:rsidP="00AF0C1A">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1_–" w:history="1">
        <w:r w:rsidRPr="00F463BC">
          <w:rPr>
            <w:rStyle w:val="Hyperlink"/>
            <w:rFonts w:ascii="Arial" w:hAnsi="Arial" w:cs="Arial"/>
            <w:sz w:val="22"/>
            <w:szCs w:val="22"/>
          </w:rPr>
          <w:t>Appendix 1 – Definitions</w:t>
        </w:r>
      </w:hyperlink>
      <w:r w:rsidRPr="00F463BC">
        <w:rPr>
          <w:rFonts w:ascii="Arial" w:hAnsi="Arial" w:cs="Arial"/>
          <w:sz w:val="22"/>
          <w:szCs w:val="22"/>
        </w:rPr>
        <w:t xml:space="preserve"> for medical schemes related definitions.</w:t>
      </w:r>
      <w:r w:rsidR="00EC7975">
        <w:rPr>
          <w:rFonts w:ascii="Arial" w:hAnsi="Arial" w:cs="Arial"/>
          <w:sz w:val="22"/>
          <w:szCs w:val="22"/>
        </w:rPr>
        <w:t xml:space="preserve"> Audit related definitions can be found in the APA and in the relevant pronouncements of the IRBA.</w:t>
      </w:r>
    </w:p>
    <w:p w:rsidR="00FC4B18" w:rsidRPr="00F463BC" w:rsidRDefault="00FC4B18" w:rsidP="00B82F08">
      <w:pPr>
        <w:pStyle w:val="Bulletnrs"/>
        <w:numPr>
          <w:ilvl w:val="0"/>
          <w:numId w:val="0"/>
        </w:numPr>
        <w:spacing w:before="0" w:line="271" w:lineRule="auto"/>
        <w:ind w:left="567"/>
        <w:rPr>
          <w:rFonts w:ascii="Arial" w:hAnsi="Arial" w:cs="Arial"/>
          <w:sz w:val="22"/>
          <w:szCs w:val="22"/>
        </w:rPr>
      </w:pPr>
    </w:p>
    <w:p w:rsidR="00D4539E" w:rsidRPr="00F463BC" w:rsidRDefault="00D4539E" w:rsidP="00B82F08">
      <w:pPr>
        <w:pStyle w:val="Heading2"/>
        <w:keepNext/>
        <w:spacing w:before="0" w:line="271" w:lineRule="auto"/>
      </w:pPr>
      <w:bookmarkStart w:id="25" w:name="_Objective"/>
      <w:bookmarkStart w:id="26" w:name="_Toc300572938"/>
      <w:bookmarkStart w:id="27" w:name="_Toc304897885"/>
      <w:bookmarkStart w:id="28" w:name="_Toc305083333"/>
      <w:bookmarkStart w:id="29" w:name="_Toc455582204"/>
      <w:bookmarkEnd w:id="25"/>
      <w:r w:rsidRPr="00F463BC">
        <w:t>Objectiv</w:t>
      </w:r>
      <w:r w:rsidR="00022DF7" w:rsidRPr="00F463BC">
        <w:t>es</w:t>
      </w:r>
      <w:bookmarkEnd w:id="14"/>
      <w:bookmarkEnd w:id="15"/>
      <w:bookmarkEnd w:id="16"/>
      <w:bookmarkEnd w:id="17"/>
      <w:bookmarkEnd w:id="18"/>
      <w:bookmarkEnd w:id="19"/>
      <w:bookmarkEnd w:id="20"/>
      <w:bookmarkEnd w:id="26"/>
      <w:bookmarkEnd w:id="27"/>
      <w:bookmarkEnd w:id="28"/>
      <w:bookmarkEnd w:id="29"/>
    </w:p>
    <w:p w:rsidR="005E40F1" w:rsidRPr="00F463BC" w:rsidRDefault="00EC7975" w:rsidP="00B82F08">
      <w:pPr>
        <w:pStyle w:val="Bulletnrs"/>
        <w:keepNext/>
        <w:spacing w:before="0" w:line="271" w:lineRule="auto"/>
        <w:ind w:left="567" w:hanging="567"/>
        <w:rPr>
          <w:rFonts w:ascii="Arial" w:hAnsi="Arial" w:cs="Arial"/>
          <w:sz w:val="22"/>
          <w:szCs w:val="22"/>
        </w:rPr>
      </w:pPr>
      <w:bookmarkStart w:id="30" w:name="_Definitions"/>
      <w:bookmarkStart w:id="31" w:name="_Toc277749789"/>
      <w:bookmarkStart w:id="32" w:name="_Toc277750659"/>
      <w:bookmarkStart w:id="33" w:name="_Toc277750840"/>
      <w:bookmarkStart w:id="34" w:name="_Toc300572939"/>
      <w:bookmarkStart w:id="35" w:name="_Toc304897886"/>
      <w:bookmarkStart w:id="36" w:name="_Toc305083334"/>
      <w:bookmarkEnd w:id="30"/>
      <w:r>
        <w:rPr>
          <w:rFonts w:ascii="Arial" w:hAnsi="Arial" w:cs="Arial"/>
          <w:sz w:val="22"/>
          <w:szCs w:val="22"/>
        </w:rPr>
        <w:t>T</w:t>
      </w:r>
      <w:r w:rsidR="00BD7B5C" w:rsidRPr="00F463BC">
        <w:rPr>
          <w:rFonts w:ascii="Arial" w:hAnsi="Arial" w:cs="Arial"/>
          <w:sz w:val="22"/>
          <w:szCs w:val="22"/>
        </w:rPr>
        <w:t>his Guide is intended to assist an auditor of a medical scheme to:</w:t>
      </w:r>
    </w:p>
    <w:p w:rsidR="00194443" w:rsidRPr="00F463BC" w:rsidRDefault="003263D4" w:rsidP="00B82F08">
      <w:pPr>
        <w:pStyle w:val="Bulletsa"/>
        <w:keepNext/>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O</w:t>
      </w:r>
      <w:r w:rsidR="005E40F1" w:rsidRPr="00F463BC">
        <w:rPr>
          <w:rFonts w:ascii="Arial" w:hAnsi="Arial" w:cs="Arial"/>
          <w:sz w:val="22"/>
          <w:szCs w:val="22"/>
        </w:rPr>
        <w:t xml:space="preserve">btain an understanding of the </w:t>
      </w:r>
      <w:r w:rsidR="00094FA2" w:rsidRPr="00F463BC">
        <w:rPr>
          <w:rFonts w:ascii="Arial" w:hAnsi="Arial" w:cs="Arial"/>
          <w:sz w:val="22"/>
          <w:szCs w:val="22"/>
        </w:rPr>
        <w:t xml:space="preserve">business </w:t>
      </w:r>
      <w:r w:rsidR="005E40F1" w:rsidRPr="00F463BC">
        <w:rPr>
          <w:rFonts w:ascii="Arial" w:hAnsi="Arial" w:cs="Arial"/>
          <w:sz w:val="22"/>
          <w:szCs w:val="22"/>
        </w:rPr>
        <w:t>of the medical scheme</w:t>
      </w:r>
      <w:r w:rsidR="00194443" w:rsidRPr="00F463BC">
        <w:rPr>
          <w:rFonts w:ascii="Arial" w:hAnsi="Arial" w:cs="Arial"/>
          <w:sz w:val="22"/>
          <w:szCs w:val="22"/>
        </w:rPr>
        <w:t>;</w:t>
      </w:r>
      <w:r w:rsidR="005E40F1" w:rsidRPr="00F463BC">
        <w:rPr>
          <w:rFonts w:ascii="Arial" w:hAnsi="Arial" w:cs="Arial"/>
          <w:sz w:val="22"/>
          <w:szCs w:val="22"/>
        </w:rPr>
        <w:t xml:space="preserve"> </w:t>
      </w:r>
    </w:p>
    <w:p w:rsidR="005E40F1" w:rsidRPr="00F463BC" w:rsidRDefault="003263D4" w:rsidP="00B82F08">
      <w:pPr>
        <w:pStyle w:val="Bulletsa"/>
        <w:keepNext/>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w:t>
      </w:r>
      <w:r w:rsidR="00194443" w:rsidRPr="00F463BC">
        <w:rPr>
          <w:rFonts w:ascii="Arial" w:hAnsi="Arial" w:cs="Arial"/>
          <w:sz w:val="22"/>
          <w:szCs w:val="22"/>
        </w:rPr>
        <w:t>ake judgements</w:t>
      </w:r>
      <w:r w:rsidR="005E40F1" w:rsidRPr="00F463BC">
        <w:rPr>
          <w:rFonts w:ascii="Arial" w:hAnsi="Arial" w:cs="Arial"/>
          <w:sz w:val="22"/>
          <w:szCs w:val="22"/>
        </w:rPr>
        <w:t xml:space="preserve"> about the identification and assessment of risks of material misstatement; </w:t>
      </w:r>
    </w:p>
    <w:p w:rsidR="005E40F1" w:rsidRPr="00F463BC" w:rsidRDefault="003263D4" w:rsidP="00B82F08">
      <w:pPr>
        <w:pStyle w:val="Bulletsa"/>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w:t>
      </w:r>
      <w:r w:rsidR="00BD7B5C" w:rsidRPr="00F463BC">
        <w:rPr>
          <w:rFonts w:ascii="Arial" w:hAnsi="Arial" w:cs="Arial"/>
          <w:sz w:val="22"/>
          <w:szCs w:val="22"/>
        </w:rPr>
        <w:t>ake judgements</w:t>
      </w:r>
      <w:r w:rsidR="005E40F1" w:rsidRPr="00F463BC">
        <w:rPr>
          <w:rFonts w:ascii="Arial" w:hAnsi="Arial" w:cs="Arial"/>
          <w:sz w:val="22"/>
          <w:szCs w:val="22"/>
        </w:rPr>
        <w:t xml:space="preserve"> about how to respond to assessed risks; and</w:t>
      </w:r>
    </w:p>
    <w:p w:rsidR="00BD7B5C" w:rsidRPr="00F463BC" w:rsidRDefault="003263D4" w:rsidP="00B82F08">
      <w:pPr>
        <w:pStyle w:val="Bulletsa"/>
        <w:keepNext/>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A</w:t>
      </w:r>
      <w:r w:rsidR="00BD7B5C" w:rsidRPr="00F463BC">
        <w:rPr>
          <w:rFonts w:ascii="Arial" w:hAnsi="Arial" w:cs="Arial"/>
          <w:sz w:val="22"/>
          <w:szCs w:val="22"/>
        </w:rPr>
        <w:t>ddress</w:t>
      </w:r>
      <w:r w:rsidR="005E40F1" w:rsidRPr="00F463BC">
        <w:rPr>
          <w:rFonts w:ascii="Arial" w:hAnsi="Arial" w:cs="Arial"/>
          <w:sz w:val="22"/>
          <w:szCs w:val="22"/>
        </w:rPr>
        <w:t xml:space="preserve"> reporting considerations, including</w:t>
      </w:r>
      <w:r w:rsidR="00BD7B5C" w:rsidRPr="00F463BC">
        <w:rPr>
          <w:rFonts w:ascii="Arial" w:hAnsi="Arial" w:cs="Arial"/>
          <w:sz w:val="22"/>
          <w:szCs w:val="22"/>
        </w:rPr>
        <w:t>:</w:t>
      </w:r>
    </w:p>
    <w:p w:rsidR="00BD7B5C" w:rsidRPr="00F463BC" w:rsidRDefault="003263D4" w:rsidP="00B82F08">
      <w:pPr>
        <w:pStyle w:val="Bulletsa"/>
        <w:keepNext/>
        <w:numPr>
          <w:ilvl w:val="1"/>
          <w:numId w:val="255"/>
        </w:numPr>
        <w:tabs>
          <w:tab w:val="clear" w:pos="1800"/>
          <w:tab w:val="num" w:pos="1418"/>
        </w:tabs>
        <w:spacing w:before="0" w:line="271" w:lineRule="auto"/>
        <w:ind w:left="1418" w:hanging="425"/>
        <w:rPr>
          <w:rFonts w:ascii="Arial" w:hAnsi="Arial" w:cs="Arial"/>
          <w:sz w:val="22"/>
          <w:szCs w:val="22"/>
        </w:rPr>
      </w:pPr>
      <w:r w:rsidRPr="00F463BC">
        <w:rPr>
          <w:rFonts w:ascii="Arial" w:hAnsi="Arial" w:cs="Arial"/>
          <w:sz w:val="22"/>
          <w:szCs w:val="22"/>
        </w:rPr>
        <w:t>F</w:t>
      </w:r>
      <w:r w:rsidR="005E40F1" w:rsidRPr="00F463BC">
        <w:rPr>
          <w:rFonts w:ascii="Arial" w:hAnsi="Arial" w:cs="Arial"/>
          <w:sz w:val="22"/>
          <w:szCs w:val="22"/>
        </w:rPr>
        <w:t>orming an opinion on the financial statements</w:t>
      </w:r>
      <w:r w:rsidR="00BD7B5C" w:rsidRPr="00F463BC">
        <w:rPr>
          <w:rFonts w:ascii="Arial" w:hAnsi="Arial" w:cs="Arial"/>
          <w:sz w:val="22"/>
          <w:szCs w:val="22"/>
        </w:rPr>
        <w:t>;</w:t>
      </w:r>
      <w:r w:rsidR="00235758" w:rsidRPr="00F463BC">
        <w:rPr>
          <w:rFonts w:ascii="Arial" w:hAnsi="Arial" w:cs="Arial"/>
          <w:sz w:val="22"/>
          <w:szCs w:val="22"/>
        </w:rPr>
        <w:t xml:space="preserve"> and</w:t>
      </w:r>
    </w:p>
    <w:p w:rsidR="005E40F1" w:rsidRPr="00F463BC" w:rsidRDefault="003263D4" w:rsidP="00B82F08">
      <w:pPr>
        <w:pStyle w:val="Bulletsa"/>
        <w:keepNext/>
        <w:numPr>
          <w:ilvl w:val="1"/>
          <w:numId w:val="255"/>
        </w:numPr>
        <w:tabs>
          <w:tab w:val="clear" w:pos="1800"/>
          <w:tab w:val="num" w:pos="1418"/>
        </w:tabs>
        <w:spacing w:before="0" w:line="271" w:lineRule="auto"/>
        <w:ind w:left="1418" w:hanging="425"/>
        <w:rPr>
          <w:rFonts w:ascii="Arial" w:hAnsi="Arial" w:cs="Arial"/>
          <w:sz w:val="22"/>
          <w:szCs w:val="22"/>
        </w:rPr>
      </w:pPr>
      <w:r w:rsidRPr="00F463BC">
        <w:rPr>
          <w:rFonts w:ascii="Arial" w:hAnsi="Arial" w:cs="Arial"/>
          <w:sz w:val="22"/>
          <w:szCs w:val="22"/>
        </w:rPr>
        <w:t>R</w:t>
      </w:r>
      <w:r w:rsidR="005E40F1" w:rsidRPr="00F463BC">
        <w:rPr>
          <w:rFonts w:ascii="Arial" w:hAnsi="Arial" w:cs="Arial"/>
          <w:sz w:val="22"/>
          <w:szCs w:val="22"/>
        </w:rPr>
        <w:t xml:space="preserve">eporting on the </w:t>
      </w:r>
      <w:r w:rsidR="002B7489" w:rsidRPr="00F463BC">
        <w:rPr>
          <w:rFonts w:ascii="Arial" w:hAnsi="Arial" w:cs="Arial"/>
          <w:sz w:val="22"/>
          <w:szCs w:val="22"/>
        </w:rPr>
        <w:t xml:space="preserve">annual statutory </w:t>
      </w:r>
      <w:r w:rsidR="00BD7B5C" w:rsidRPr="00F463BC">
        <w:rPr>
          <w:rFonts w:ascii="Arial" w:hAnsi="Arial" w:cs="Arial"/>
          <w:sz w:val="22"/>
          <w:szCs w:val="22"/>
        </w:rPr>
        <w:t>returns</w:t>
      </w:r>
      <w:r w:rsidR="005E40F1" w:rsidRPr="00F463BC">
        <w:rPr>
          <w:rFonts w:ascii="Arial" w:hAnsi="Arial" w:cs="Arial"/>
          <w:sz w:val="22"/>
          <w:szCs w:val="22"/>
        </w:rPr>
        <w:t xml:space="preserve">. </w:t>
      </w:r>
    </w:p>
    <w:p w:rsidR="005E40F1" w:rsidRPr="00F463BC" w:rsidRDefault="005E40F1" w:rsidP="00B82F08">
      <w:pPr>
        <w:pStyle w:val="Bulletnrs"/>
        <w:spacing w:before="0" w:line="271" w:lineRule="auto"/>
        <w:ind w:left="567" w:hanging="567"/>
        <w:rPr>
          <w:rFonts w:ascii="Arial" w:hAnsi="Arial" w:cs="Arial"/>
        </w:rPr>
      </w:pPr>
      <w:r w:rsidRPr="00F463BC">
        <w:rPr>
          <w:rFonts w:ascii="Arial" w:hAnsi="Arial" w:cs="Arial"/>
          <w:sz w:val="22"/>
          <w:szCs w:val="22"/>
        </w:rPr>
        <w:t xml:space="preserve">This Guide is not intended to provide guidance on all audit responses to assessed risks as an auditor is required to comply with the ISAs in all respects. </w:t>
      </w:r>
    </w:p>
    <w:p w:rsidR="00864552" w:rsidRPr="00F463BC" w:rsidRDefault="00864552" w:rsidP="00B82F08">
      <w:pPr>
        <w:pStyle w:val="Heading2"/>
        <w:spacing w:before="0" w:line="271" w:lineRule="auto"/>
      </w:pPr>
    </w:p>
    <w:p w:rsidR="00B47521" w:rsidRPr="00F463BC" w:rsidRDefault="00D02793" w:rsidP="00B82F08">
      <w:pPr>
        <w:pStyle w:val="Heading2"/>
        <w:spacing w:before="0" w:line="271" w:lineRule="auto"/>
      </w:pPr>
      <w:bookmarkStart w:id="37" w:name="_Toc367347018"/>
      <w:bookmarkStart w:id="38" w:name="_Toc455582205"/>
      <w:r w:rsidRPr="00F463BC">
        <w:t xml:space="preserve">Nature </w:t>
      </w:r>
      <w:r w:rsidR="00B47521" w:rsidRPr="00F463BC">
        <w:t xml:space="preserve">of an engagement on </w:t>
      </w:r>
      <w:r w:rsidR="008F61DC" w:rsidRPr="00F463BC">
        <w:t>a medical scheme</w:t>
      </w:r>
      <w:bookmarkEnd w:id="37"/>
      <w:bookmarkEnd w:id="38"/>
    </w:p>
    <w:p w:rsidR="009938C2" w:rsidRPr="00944A95" w:rsidRDefault="009938C2" w:rsidP="00944A95">
      <w:pPr>
        <w:pStyle w:val="Bulletnrs"/>
        <w:spacing w:before="0" w:line="271" w:lineRule="auto"/>
        <w:ind w:left="567" w:hanging="567"/>
        <w:rPr>
          <w:sz w:val="22"/>
          <w:szCs w:val="22"/>
        </w:rPr>
      </w:pPr>
      <w:r w:rsidRPr="00944A95">
        <w:rPr>
          <w:rFonts w:ascii="Arial" w:hAnsi="Arial" w:cs="Arial"/>
          <w:sz w:val="22"/>
          <w:szCs w:val="22"/>
        </w:rPr>
        <w:t>An engagement on a medical scheme includes:</w:t>
      </w:r>
    </w:p>
    <w:p w:rsidR="00596891" w:rsidRPr="00976129" w:rsidRDefault="00DF3AE4" w:rsidP="00976129">
      <w:pPr>
        <w:pStyle w:val="Bulletsa"/>
        <w:numPr>
          <w:ilvl w:val="0"/>
          <w:numId w:val="311"/>
        </w:numPr>
        <w:tabs>
          <w:tab w:val="left" w:pos="993"/>
        </w:tabs>
        <w:spacing w:before="0" w:line="271" w:lineRule="auto"/>
        <w:ind w:left="993" w:hanging="426"/>
        <w:rPr>
          <w:rFonts w:ascii="Arial" w:hAnsi="Arial" w:cs="Arial"/>
          <w:b/>
          <w:i/>
          <w:sz w:val="22"/>
          <w:szCs w:val="22"/>
        </w:rPr>
      </w:pPr>
      <w:r w:rsidRPr="00FF2B5F">
        <w:rPr>
          <w:rFonts w:ascii="Arial" w:hAnsi="Arial" w:cs="Arial"/>
          <w:b/>
          <w:i/>
          <w:sz w:val="22"/>
          <w:szCs w:val="22"/>
        </w:rPr>
        <w:t xml:space="preserve">An </w:t>
      </w:r>
      <w:r w:rsidR="00596891" w:rsidRPr="00FF2B5F">
        <w:rPr>
          <w:rFonts w:ascii="Arial" w:hAnsi="Arial" w:cs="Arial"/>
          <w:b/>
          <w:i/>
          <w:sz w:val="22"/>
          <w:szCs w:val="22"/>
        </w:rPr>
        <w:t>ISA 700 engagement – reporting on the financial statements</w:t>
      </w:r>
    </w:p>
    <w:p w:rsidR="00B47521" w:rsidRPr="00F463BC" w:rsidRDefault="00DF3AE4" w:rsidP="00944A95">
      <w:pPr>
        <w:pStyle w:val="Bulletnrs"/>
        <w:numPr>
          <w:ilvl w:val="0"/>
          <w:numId w:val="0"/>
        </w:numPr>
        <w:spacing w:before="0" w:line="271" w:lineRule="auto"/>
        <w:ind w:left="993"/>
        <w:rPr>
          <w:rFonts w:ascii="Arial" w:hAnsi="Arial" w:cs="Arial"/>
          <w:sz w:val="22"/>
          <w:szCs w:val="22"/>
        </w:rPr>
      </w:pPr>
      <w:r w:rsidRPr="00F463BC">
        <w:rPr>
          <w:rFonts w:ascii="Arial" w:hAnsi="Arial" w:cs="Arial"/>
          <w:sz w:val="22"/>
          <w:szCs w:val="22"/>
        </w:rPr>
        <w:t>A</w:t>
      </w:r>
      <w:r w:rsidR="00ED57E8" w:rsidRPr="00F463BC">
        <w:rPr>
          <w:rFonts w:ascii="Arial" w:hAnsi="Arial" w:cs="Arial"/>
          <w:sz w:val="22"/>
          <w:szCs w:val="22"/>
        </w:rPr>
        <w:t xml:space="preserve">n </w:t>
      </w:r>
      <w:r w:rsidR="00B47521" w:rsidRPr="00F463BC">
        <w:rPr>
          <w:rFonts w:ascii="Arial" w:hAnsi="Arial" w:cs="Arial"/>
          <w:sz w:val="22"/>
          <w:szCs w:val="22"/>
        </w:rPr>
        <w:t xml:space="preserve">auditor </w:t>
      </w:r>
      <w:r w:rsidRPr="00F463BC">
        <w:rPr>
          <w:rFonts w:ascii="Arial" w:hAnsi="Arial" w:cs="Arial"/>
          <w:sz w:val="22"/>
          <w:szCs w:val="22"/>
        </w:rPr>
        <w:t>expresses</w:t>
      </w:r>
      <w:r w:rsidR="00B47521" w:rsidRPr="00F463BC">
        <w:rPr>
          <w:rFonts w:ascii="Arial" w:hAnsi="Arial" w:cs="Arial"/>
          <w:sz w:val="22"/>
          <w:szCs w:val="22"/>
        </w:rPr>
        <w:t xml:space="preserve"> a reasonable assurance opinion on whether, for the relevant </w:t>
      </w:r>
      <w:r w:rsidR="00472B1F" w:rsidRPr="00F463BC">
        <w:rPr>
          <w:rFonts w:ascii="Arial" w:hAnsi="Arial" w:cs="Arial"/>
          <w:sz w:val="22"/>
          <w:szCs w:val="22"/>
        </w:rPr>
        <w:t>accounting</w:t>
      </w:r>
      <w:r w:rsidR="00B47521" w:rsidRPr="00F463BC">
        <w:rPr>
          <w:rFonts w:ascii="Arial" w:hAnsi="Arial" w:cs="Arial"/>
          <w:sz w:val="22"/>
          <w:szCs w:val="22"/>
        </w:rPr>
        <w:t xml:space="preserve"> period, </w:t>
      </w:r>
      <w:r w:rsidR="00695CBA" w:rsidRPr="00F463BC">
        <w:rPr>
          <w:rFonts w:ascii="Arial" w:hAnsi="Arial" w:cs="Arial"/>
          <w:sz w:val="22"/>
          <w:szCs w:val="22"/>
        </w:rPr>
        <w:t xml:space="preserve">a medical scheme’s financial statements are fairly presented in accordance with </w:t>
      </w:r>
      <w:r w:rsidR="00596891" w:rsidRPr="00F463BC">
        <w:rPr>
          <w:rFonts w:ascii="Arial" w:hAnsi="Arial" w:cs="Arial"/>
          <w:sz w:val="22"/>
          <w:szCs w:val="22"/>
        </w:rPr>
        <w:t>IFRSs</w:t>
      </w:r>
      <w:r w:rsidR="00695CBA" w:rsidRPr="00F463BC">
        <w:rPr>
          <w:rFonts w:ascii="Arial" w:hAnsi="Arial" w:cs="Arial"/>
          <w:sz w:val="22"/>
          <w:szCs w:val="22"/>
        </w:rPr>
        <w:t xml:space="preserve"> and the requirements of the Medical Schemes Act</w:t>
      </w:r>
      <w:r w:rsidR="004948EE" w:rsidRPr="00F463BC">
        <w:rPr>
          <w:rFonts w:ascii="Arial" w:hAnsi="Arial" w:cs="Arial"/>
          <w:sz w:val="22"/>
          <w:szCs w:val="22"/>
        </w:rPr>
        <w:t>.</w:t>
      </w:r>
      <w:r w:rsidR="00194D86" w:rsidRPr="00F463BC">
        <w:rPr>
          <w:rFonts w:ascii="Arial" w:hAnsi="Arial" w:cs="Arial"/>
          <w:sz w:val="22"/>
          <w:szCs w:val="22"/>
        </w:rPr>
        <w:t xml:space="preserve"> </w:t>
      </w:r>
      <w:r w:rsidR="00EC7975">
        <w:rPr>
          <w:rFonts w:ascii="Arial" w:hAnsi="Arial" w:cs="Arial"/>
          <w:sz w:val="22"/>
          <w:szCs w:val="22"/>
        </w:rPr>
        <w:t>For this purpose, an auditor will issue an ISA 700</w:t>
      </w:r>
      <w:r w:rsidR="00EC7975" w:rsidRPr="00F463BC">
        <w:rPr>
          <w:rStyle w:val="FootnoteReference"/>
          <w:rFonts w:ascii="Arial" w:hAnsi="Arial" w:cs="Arial"/>
          <w:sz w:val="22"/>
          <w:szCs w:val="22"/>
        </w:rPr>
        <w:footnoteReference w:id="2"/>
      </w:r>
      <w:r w:rsidR="00EC7975">
        <w:rPr>
          <w:rFonts w:ascii="Arial" w:hAnsi="Arial" w:cs="Arial"/>
          <w:sz w:val="22"/>
          <w:szCs w:val="22"/>
        </w:rPr>
        <w:t xml:space="preserve"> report. </w:t>
      </w:r>
      <w:r w:rsidR="00194D86" w:rsidRPr="00F463BC">
        <w:rPr>
          <w:rFonts w:ascii="Arial" w:hAnsi="Arial" w:cs="Arial"/>
          <w:sz w:val="22"/>
          <w:szCs w:val="22"/>
        </w:rPr>
        <w:t xml:space="preserve">The ISA 700 report </w:t>
      </w:r>
      <w:r w:rsidR="00DB030D" w:rsidRPr="00F463BC">
        <w:rPr>
          <w:rFonts w:ascii="Arial" w:hAnsi="Arial" w:cs="Arial"/>
          <w:sz w:val="22"/>
          <w:szCs w:val="22"/>
        </w:rPr>
        <w:t xml:space="preserve">has two components: </w:t>
      </w:r>
      <w:r w:rsidR="00194D86" w:rsidRPr="00F463BC">
        <w:rPr>
          <w:rFonts w:ascii="Arial" w:hAnsi="Arial" w:cs="Arial"/>
          <w:sz w:val="22"/>
          <w:szCs w:val="22"/>
        </w:rPr>
        <w:t>“Reporting on the Financial Statements</w:t>
      </w:r>
      <w:r w:rsidR="00A82E93" w:rsidRPr="00F463BC">
        <w:rPr>
          <w:rFonts w:ascii="Arial" w:hAnsi="Arial" w:cs="Arial"/>
          <w:sz w:val="22"/>
          <w:szCs w:val="22"/>
        </w:rPr>
        <w:t>”</w:t>
      </w:r>
      <w:r w:rsidR="00194D86" w:rsidRPr="00F463BC">
        <w:rPr>
          <w:rFonts w:ascii="Arial" w:hAnsi="Arial" w:cs="Arial"/>
          <w:sz w:val="22"/>
          <w:szCs w:val="22"/>
        </w:rPr>
        <w:t xml:space="preserve"> and “Report on Other Legal and Regulatory Requirements”.</w:t>
      </w:r>
    </w:p>
    <w:p w:rsidR="00A82E93" w:rsidRPr="00F463BC" w:rsidRDefault="00A82E93" w:rsidP="00A82E93">
      <w:pPr>
        <w:pStyle w:val="Heading3"/>
        <w:spacing w:before="0" w:line="271" w:lineRule="auto"/>
      </w:pPr>
    </w:p>
    <w:p w:rsidR="00FE5042" w:rsidRPr="00976129" w:rsidRDefault="00FE5042" w:rsidP="00976129">
      <w:pPr>
        <w:pStyle w:val="Bulletsa"/>
        <w:numPr>
          <w:ilvl w:val="0"/>
          <w:numId w:val="311"/>
        </w:numPr>
        <w:tabs>
          <w:tab w:val="left" w:pos="993"/>
        </w:tabs>
        <w:spacing w:before="0" w:line="271" w:lineRule="auto"/>
        <w:ind w:left="993" w:hanging="426"/>
        <w:rPr>
          <w:rFonts w:ascii="Arial" w:hAnsi="Arial" w:cs="Arial"/>
          <w:b/>
          <w:i/>
          <w:sz w:val="22"/>
          <w:szCs w:val="22"/>
        </w:rPr>
      </w:pPr>
      <w:r w:rsidRPr="00FF2B5F">
        <w:rPr>
          <w:rFonts w:ascii="Arial" w:hAnsi="Arial" w:cs="Arial"/>
          <w:b/>
          <w:i/>
          <w:sz w:val="22"/>
          <w:szCs w:val="22"/>
        </w:rPr>
        <w:t xml:space="preserve">ISAE 3000 </w:t>
      </w:r>
      <w:r w:rsidR="00D656C2">
        <w:rPr>
          <w:rFonts w:ascii="Arial" w:hAnsi="Arial" w:cs="Arial"/>
          <w:b/>
          <w:i/>
          <w:sz w:val="22"/>
          <w:szCs w:val="22"/>
        </w:rPr>
        <w:t xml:space="preserve">(Revised) </w:t>
      </w:r>
      <w:r w:rsidRPr="00FF2B5F">
        <w:rPr>
          <w:rFonts w:ascii="Arial" w:hAnsi="Arial" w:cs="Arial"/>
          <w:b/>
          <w:i/>
          <w:sz w:val="22"/>
          <w:szCs w:val="22"/>
        </w:rPr>
        <w:t xml:space="preserve">engagement </w:t>
      </w:r>
      <w:r w:rsidR="00542B0F" w:rsidRPr="00FF2B5F">
        <w:rPr>
          <w:rFonts w:ascii="Arial" w:hAnsi="Arial" w:cs="Arial"/>
          <w:b/>
          <w:i/>
          <w:sz w:val="22"/>
          <w:szCs w:val="22"/>
        </w:rPr>
        <w:t>–</w:t>
      </w:r>
      <w:r w:rsidRPr="00FF2B5F">
        <w:rPr>
          <w:rFonts w:ascii="Arial" w:hAnsi="Arial" w:cs="Arial"/>
          <w:b/>
          <w:i/>
          <w:sz w:val="22"/>
          <w:szCs w:val="22"/>
        </w:rPr>
        <w:t xml:space="preserve"> </w:t>
      </w:r>
      <w:r w:rsidR="00DF453B" w:rsidRPr="00FF2B5F">
        <w:rPr>
          <w:rFonts w:ascii="Arial" w:hAnsi="Arial" w:cs="Arial"/>
          <w:b/>
          <w:i/>
          <w:sz w:val="22"/>
          <w:szCs w:val="22"/>
        </w:rPr>
        <w:t>r</w:t>
      </w:r>
      <w:r w:rsidR="00542B0F" w:rsidRPr="00FF2B5F">
        <w:rPr>
          <w:rFonts w:ascii="Arial" w:hAnsi="Arial" w:cs="Arial"/>
          <w:b/>
          <w:i/>
          <w:sz w:val="22"/>
          <w:szCs w:val="22"/>
        </w:rPr>
        <w:t>eport</w:t>
      </w:r>
      <w:r w:rsidR="00DF453B" w:rsidRPr="00FF2B5F">
        <w:rPr>
          <w:rFonts w:ascii="Arial" w:hAnsi="Arial" w:cs="Arial"/>
          <w:b/>
          <w:i/>
          <w:sz w:val="22"/>
          <w:szCs w:val="22"/>
        </w:rPr>
        <w:t>ing</w:t>
      </w:r>
      <w:r w:rsidR="00542B0F" w:rsidRPr="00FF2B5F">
        <w:rPr>
          <w:rFonts w:ascii="Arial" w:hAnsi="Arial" w:cs="Arial"/>
          <w:b/>
          <w:i/>
          <w:sz w:val="22"/>
          <w:szCs w:val="22"/>
        </w:rPr>
        <w:t xml:space="preserve"> on </w:t>
      </w:r>
      <w:r w:rsidR="00DF453B" w:rsidRPr="00FF2B5F">
        <w:rPr>
          <w:rFonts w:ascii="Arial" w:hAnsi="Arial" w:cs="Arial"/>
          <w:b/>
          <w:i/>
          <w:sz w:val="22"/>
          <w:szCs w:val="22"/>
        </w:rPr>
        <w:t>c</w:t>
      </w:r>
      <w:r w:rsidR="00542B0F" w:rsidRPr="00FF2B5F">
        <w:rPr>
          <w:rFonts w:ascii="Arial" w:hAnsi="Arial" w:cs="Arial"/>
          <w:b/>
          <w:i/>
          <w:sz w:val="22"/>
          <w:szCs w:val="22"/>
        </w:rPr>
        <w:t>ompliance with Sections 36(5) and 36(8) of the Act</w:t>
      </w:r>
    </w:p>
    <w:p w:rsidR="00FE5042" w:rsidRPr="00F463BC" w:rsidRDefault="00446A74" w:rsidP="00944A95">
      <w:pPr>
        <w:pStyle w:val="Bulletnrs"/>
        <w:numPr>
          <w:ilvl w:val="0"/>
          <w:numId w:val="0"/>
        </w:numPr>
        <w:spacing w:before="0" w:line="271" w:lineRule="auto"/>
        <w:ind w:left="993"/>
        <w:rPr>
          <w:rFonts w:ascii="Arial" w:hAnsi="Arial" w:cs="Arial"/>
          <w:sz w:val="22"/>
          <w:szCs w:val="22"/>
        </w:rPr>
      </w:pPr>
      <w:r w:rsidRPr="00F463BC">
        <w:rPr>
          <w:rFonts w:ascii="Arial" w:hAnsi="Arial" w:cs="Arial"/>
          <w:sz w:val="22"/>
          <w:szCs w:val="22"/>
        </w:rPr>
        <w:t>An auditor performs</w:t>
      </w:r>
      <w:r w:rsidR="00FE5042" w:rsidRPr="00F463BC">
        <w:rPr>
          <w:rFonts w:ascii="Arial" w:hAnsi="Arial" w:cs="Arial"/>
          <w:sz w:val="22"/>
          <w:szCs w:val="22"/>
        </w:rPr>
        <w:t xml:space="preserve"> a compliance engagement in accordance with the requirements of sections 36(5) and 36(8) of the Medical Schemes Act in order to provide the Registrar with limited assurance regarding compliance by a medical scheme with the sections of the Act and related Regulations.</w:t>
      </w:r>
      <w:r w:rsidR="00E344E1">
        <w:rPr>
          <w:rFonts w:ascii="Arial" w:hAnsi="Arial" w:cs="Arial"/>
          <w:sz w:val="22"/>
          <w:szCs w:val="22"/>
        </w:rPr>
        <w:t xml:space="preserve"> </w:t>
      </w:r>
      <w:r w:rsidR="00FE5042" w:rsidRPr="00F463BC">
        <w:rPr>
          <w:rFonts w:ascii="Arial" w:hAnsi="Arial" w:cs="Arial"/>
          <w:sz w:val="22"/>
          <w:szCs w:val="22"/>
        </w:rPr>
        <w:t>This</w:t>
      </w:r>
      <w:r w:rsidR="0010712F">
        <w:rPr>
          <w:rFonts w:ascii="Arial" w:hAnsi="Arial" w:cs="Arial"/>
          <w:sz w:val="22"/>
          <w:szCs w:val="22"/>
        </w:rPr>
        <w:t xml:space="preserve"> engagement is conducted in accordance with </w:t>
      </w:r>
      <w:r w:rsidR="00FE5042" w:rsidRPr="00F463BC">
        <w:rPr>
          <w:rFonts w:ascii="Arial" w:hAnsi="Arial" w:cs="Arial"/>
          <w:sz w:val="22"/>
          <w:szCs w:val="22"/>
        </w:rPr>
        <w:t>ISAE 3000</w:t>
      </w:r>
      <w:r w:rsidR="00D656C2">
        <w:rPr>
          <w:rFonts w:ascii="Arial" w:hAnsi="Arial" w:cs="Arial"/>
          <w:sz w:val="22"/>
          <w:szCs w:val="22"/>
        </w:rPr>
        <w:t xml:space="preserve"> (Revised)</w:t>
      </w:r>
      <w:r w:rsidR="00256C6A" w:rsidRPr="00766953">
        <w:rPr>
          <w:rFonts w:ascii="Arial" w:hAnsi="Arial" w:cs="Arial"/>
          <w:sz w:val="22"/>
          <w:szCs w:val="22"/>
          <w:vertAlign w:val="superscript"/>
        </w:rPr>
        <w:footnoteReference w:id="3"/>
      </w:r>
      <w:r w:rsidR="00FE5042" w:rsidRPr="00F463BC">
        <w:rPr>
          <w:rFonts w:ascii="Arial" w:hAnsi="Arial" w:cs="Arial"/>
          <w:sz w:val="22"/>
          <w:szCs w:val="22"/>
        </w:rPr>
        <w:t>.</w:t>
      </w:r>
    </w:p>
    <w:p w:rsidR="00A82E93" w:rsidRPr="00F463BC" w:rsidRDefault="00A82E93" w:rsidP="00A82E93">
      <w:pPr>
        <w:pStyle w:val="Heading3"/>
        <w:spacing w:before="0" w:line="271" w:lineRule="auto"/>
      </w:pPr>
    </w:p>
    <w:p w:rsidR="00C8508D" w:rsidRPr="00976129" w:rsidRDefault="00A92FE0" w:rsidP="00976129">
      <w:pPr>
        <w:pStyle w:val="Bulletsa"/>
        <w:numPr>
          <w:ilvl w:val="0"/>
          <w:numId w:val="311"/>
        </w:numPr>
        <w:tabs>
          <w:tab w:val="left" w:pos="993"/>
        </w:tabs>
        <w:spacing w:before="0" w:line="271" w:lineRule="auto"/>
        <w:ind w:left="993" w:hanging="426"/>
        <w:rPr>
          <w:rFonts w:ascii="Arial" w:hAnsi="Arial" w:cs="Arial"/>
          <w:b/>
          <w:i/>
          <w:sz w:val="22"/>
          <w:szCs w:val="22"/>
        </w:rPr>
      </w:pPr>
      <w:r w:rsidRPr="00FF2B5F">
        <w:rPr>
          <w:rFonts w:ascii="Arial" w:hAnsi="Arial" w:cs="Arial"/>
          <w:b/>
          <w:i/>
          <w:sz w:val="22"/>
          <w:szCs w:val="22"/>
        </w:rPr>
        <w:t xml:space="preserve">ISA 800 engagement – reporting on </w:t>
      </w:r>
      <w:r w:rsidR="00C8508D" w:rsidRPr="00FF2B5F">
        <w:rPr>
          <w:rFonts w:ascii="Arial" w:hAnsi="Arial" w:cs="Arial"/>
          <w:b/>
          <w:i/>
          <w:sz w:val="22"/>
          <w:szCs w:val="22"/>
        </w:rPr>
        <w:t xml:space="preserve">Parts 4 to 6.1 and 6.3 to 10 </w:t>
      </w:r>
      <w:r w:rsidRPr="00FF2B5F">
        <w:rPr>
          <w:rFonts w:ascii="Arial" w:hAnsi="Arial" w:cs="Arial"/>
          <w:b/>
          <w:i/>
          <w:sz w:val="22"/>
          <w:szCs w:val="22"/>
        </w:rPr>
        <w:t>of the annual statutory return</w:t>
      </w:r>
      <w:r w:rsidR="00C8508D" w:rsidRPr="00FF2B5F">
        <w:rPr>
          <w:rFonts w:ascii="Arial" w:hAnsi="Arial" w:cs="Arial"/>
          <w:b/>
          <w:i/>
          <w:sz w:val="22"/>
          <w:szCs w:val="22"/>
        </w:rPr>
        <w:t xml:space="preserve">, and ISRE 2410 engagement – reporting on Part 6.2 of the </w:t>
      </w:r>
      <w:r w:rsidR="00AE1EAB">
        <w:rPr>
          <w:rFonts w:ascii="Arial" w:hAnsi="Arial" w:cs="Arial"/>
          <w:b/>
          <w:i/>
          <w:sz w:val="22"/>
          <w:szCs w:val="22"/>
        </w:rPr>
        <w:t>annual statutory return</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 xml:space="preserve">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w:t>
      </w:r>
      <w:r w:rsidR="00AE3B1E" w:rsidRPr="00E753ED">
        <w:rPr>
          <w:rFonts w:ascii="Arial" w:hAnsi="Arial" w:cs="Arial"/>
          <w:sz w:val="22"/>
          <w:szCs w:val="22"/>
        </w:rPr>
        <w:t xml:space="preserve">The term “certify” is not one that is used in the audit environment, </w:t>
      </w:r>
      <w:r w:rsidR="00AE3B1E">
        <w:rPr>
          <w:rFonts w:ascii="Arial" w:hAnsi="Arial" w:cs="Arial"/>
          <w:sz w:val="22"/>
          <w:szCs w:val="22"/>
        </w:rPr>
        <w:t xml:space="preserve">as this may </w:t>
      </w:r>
      <w:r w:rsidR="00AE3B1E">
        <w:rPr>
          <w:rFonts w:ascii="Arial" w:hAnsi="Arial" w:cs="Arial"/>
          <w:sz w:val="22"/>
          <w:szCs w:val="22"/>
        </w:rPr>
        <w:lastRenderedPageBreak/>
        <w:t>imply absolute assurance, and reasonable assurance is appropriate in the context of the Act</w:t>
      </w:r>
      <w:r w:rsidRPr="00B73792">
        <w:rPr>
          <w:rFonts w:ascii="Arial" w:hAnsi="Arial" w:cs="Arial"/>
          <w:sz w:val="22"/>
          <w:szCs w:val="22"/>
        </w:rPr>
        <w:t xml:space="preserve">. </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 xml:space="preserve">Section 37(2) of the Act states, inter alia, that the annual financial statements of a medical scheme include “such other returns as the Registrar may require”. This refers to the annual statutory return. </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 xml:space="preserve">As the annual statutory return is seen as part of the annual financial statements, the annual statutory return is therefore required to be audited in terms of section 37(3) of the Act. </w:t>
      </w:r>
    </w:p>
    <w:p w:rsidR="007B4F6F" w:rsidRDefault="007B4F6F" w:rsidP="00EB17A4">
      <w:pPr>
        <w:pStyle w:val="Bulletnrs"/>
        <w:numPr>
          <w:ilvl w:val="0"/>
          <w:numId w:val="0"/>
        </w:numPr>
        <w:spacing w:before="0" w:line="271" w:lineRule="auto"/>
        <w:ind w:left="993"/>
        <w:rPr>
          <w:rFonts w:ascii="Arial" w:hAnsi="Arial" w:cs="Arial"/>
          <w:sz w:val="22"/>
          <w:szCs w:val="22"/>
        </w:rPr>
      </w:pPr>
      <w:r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5B0DB9">
        <w:rPr>
          <w:rStyle w:val="FootnoteReference"/>
          <w:rFonts w:ascii="Arial" w:hAnsi="Arial" w:cs="Arial"/>
          <w:sz w:val="22"/>
          <w:szCs w:val="22"/>
        </w:rPr>
        <w:footnoteReference w:id="4"/>
      </w:r>
      <w:r w:rsidRPr="001B129E">
        <w:rPr>
          <w:rFonts w:ascii="Arial" w:hAnsi="Arial" w:cs="Arial"/>
          <w:sz w:val="22"/>
          <w:szCs w:val="22"/>
        </w:rPr>
        <w:t>.</w:t>
      </w:r>
    </w:p>
    <w:p w:rsidR="007B4F6F" w:rsidRPr="00B73792" w:rsidRDefault="00AE3B1E" w:rsidP="00EB17A4">
      <w:pPr>
        <w:pStyle w:val="Bulletnrs"/>
        <w:numPr>
          <w:ilvl w:val="0"/>
          <w:numId w:val="0"/>
        </w:numPr>
        <w:spacing w:before="0" w:line="271" w:lineRule="auto"/>
        <w:ind w:left="993"/>
        <w:rPr>
          <w:rFonts w:ascii="Arial" w:hAnsi="Arial" w:cs="Arial"/>
          <w:sz w:val="22"/>
          <w:szCs w:val="22"/>
        </w:rPr>
      </w:pPr>
      <w:r>
        <w:rPr>
          <w:rFonts w:ascii="Arial" w:hAnsi="Arial" w:cs="Arial"/>
          <w:sz w:val="22"/>
          <w:szCs w:val="22"/>
        </w:rPr>
        <w:t xml:space="preserve">However, </w:t>
      </w:r>
      <w:r w:rsidR="007B4F6F" w:rsidRPr="00B73792">
        <w:rPr>
          <w:rFonts w:ascii="Arial" w:hAnsi="Arial" w:cs="Arial"/>
          <w:sz w:val="22"/>
          <w:szCs w:val="22"/>
        </w:rPr>
        <w:t xml:space="preserve">Part 6.2 of the annual statutory return is the </w:t>
      </w:r>
      <w:r w:rsidR="007B4F6F">
        <w:rPr>
          <w:rFonts w:ascii="Arial" w:hAnsi="Arial" w:cs="Arial"/>
          <w:sz w:val="22"/>
          <w:szCs w:val="22"/>
        </w:rPr>
        <w:t>“</w:t>
      </w:r>
      <w:r w:rsidR="007B4F6F" w:rsidRPr="00B73792">
        <w:rPr>
          <w:rFonts w:ascii="Arial" w:hAnsi="Arial" w:cs="Arial"/>
          <w:sz w:val="22"/>
          <w:szCs w:val="22"/>
        </w:rPr>
        <w:t>Monthly Statement of Net Healthcare Result</w:t>
      </w:r>
      <w:r w:rsidR="007B4F6F">
        <w:rPr>
          <w:rFonts w:ascii="Arial" w:hAnsi="Arial" w:cs="Arial"/>
          <w:sz w:val="22"/>
          <w:szCs w:val="22"/>
        </w:rPr>
        <w:t>”</w:t>
      </w:r>
      <w:r w:rsidR="007B4F6F" w:rsidRPr="00B73792">
        <w:rPr>
          <w:rFonts w:ascii="Arial" w:hAnsi="Arial" w:cs="Arial"/>
          <w:sz w:val="22"/>
          <w:szCs w:val="22"/>
        </w:rPr>
        <w:t xml:space="preserve"> which contains monthly financial information that </w:t>
      </w:r>
      <w:r>
        <w:rPr>
          <w:rFonts w:ascii="Arial" w:hAnsi="Arial" w:cs="Arial"/>
          <w:sz w:val="22"/>
          <w:szCs w:val="22"/>
        </w:rPr>
        <w:t>is not</w:t>
      </w:r>
      <w:r w:rsidR="007B4F6F" w:rsidRPr="00B73792">
        <w:rPr>
          <w:rFonts w:ascii="Arial" w:hAnsi="Arial" w:cs="Arial"/>
          <w:sz w:val="22"/>
          <w:szCs w:val="22"/>
        </w:rPr>
        <w:t xml:space="preserve"> audited as part of the audit of the financial statements.</w:t>
      </w:r>
    </w:p>
    <w:p w:rsidR="00CE354E"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An auditor is able to express only a limited assurance conclusion on Part 6.2 of the annual statutory return.</w:t>
      </w:r>
      <w:r>
        <w:rPr>
          <w:rFonts w:ascii="Arial" w:hAnsi="Arial" w:cs="Arial"/>
          <w:sz w:val="22"/>
          <w:szCs w:val="22"/>
        </w:rPr>
        <w:t xml:space="preserve"> </w:t>
      </w:r>
      <w:r w:rsidRPr="001B129E">
        <w:rPr>
          <w:rFonts w:ascii="Arial" w:hAnsi="Arial" w:cs="Arial"/>
          <w:sz w:val="22"/>
          <w:szCs w:val="22"/>
        </w:rPr>
        <w:t>This review engagement is performed in terms of ISRE</w:t>
      </w:r>
      <w:r>
        <w:rPr>
          <w:rFonts w:ascii="Arial" w:hAnsi="Arial" w:cs="Arial"/>
          <w:sz w:val="22"/>
          <w:szCs w:val="22"/>
        </w:rPr>
        <w:t> </w:t>
      </w:r>
      <w:r w:rsidRPr="001B129E">
        <w:rPr>
          <w:rFonts w:ascii="Arial" w:hAnsi="Arial" w:cs="Arial"/>
          <w:sz w:val="22"/>
          <w:szCs w:val="22"/>
        </w:rPr>
        <w:t>2410</w:t>
      </w:r>
      <w:r w:rsidR="003B2CB1">
        <w:rPr>
          <w:rStyle w:val="FootnoteReference"/>
          <w:rFonts w:ascii="Arial" w:hAnsi="Arial" w:cs="Arial"/>
          <w:sz w:val="22"/>
          <w:szCs w:val="22"/>
        </w:rPr>
        <w:footnoteReference w:id="5"/>
      </w:r>
      <w:r w:rsidRPr="001B129E">
        <w:rPr>
          <w:rFonts w:ascii="Arial" w:hAnsi="Arial" w:cs="Arial"/>
          <w:sz w:val="22"/>
          <w:szCs w:val="22"/>
        </w:rPr>
        <w:t>.</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This auditor report is therefore a combined:</w:t>
      </w:r>
    </w:p>
    <w:p w:rsidR="007B4F6F" w:rsidRPr="00B73792" w:rsidRDefault="007B4F6F" w:rsidP="00EB17A4">
      <w:pPr>
        <w:pStyle w:val="Bulletnrs"/>
        <w:numPr>
          <w:ilvl w:val="0"/>
          <w:numId w:val="332"/>
        </w:numPr>
        <w:spacing w:before="0" w:line="271" w:lineRule="auto"/>
        <w:ind w:left="1418" w:hanging="425"/>
        <w:rPr>
          <w:rFonts w:ascii="Arial" w:hAnsi="Arial" w:cs="Arial"/>
          <w:sz w:val="22"/>
          <w:szCs w:val="22"/>
        </w:rPr>
      </w:pPr>
      <w:r w:rsidRPr="00B73792">
        <w:rPr>
          <w:rFonts w:ascii="Arial" w:hAnsi="Arial" w:cs="Arial"/>
          <w:sz w:val="22"/>
          <w:szCs w:val="22"/>
        </w:rPr>
        <w:t>ISA 800 assurance report on Parts 4 to 6.1 and 6.3 to 10 of the annual statutory return, providing a reasonable assurance opinion; and</w:t>
      </w:r>
    </w:p>
    <w:p w:rsidR="00CD2437" w:rsidRDefault="007B4F6F" w:rsidP="00EB17A4">
      <w:pPr>
        <w:pStyle w:val="Bulletnrs"/>
        <w:numPr>
          <w:ilvl w:val="0"/>
          <w:numId w:val="332"/>
        </w:numPr>
        <w:spacing w:before="0" w:line="271" w:lineRule="auto"/>
        <w:ind w:left="1418" w:hanging="425"/>
        <w:rPr>
          <w:rFonts w:ascii="Arial" w:hAnsi="Arial" w:cs="Arial"/>
          <w:sz w:val="22"/>
          <w:szCs w:val="22"/>
        </w:rPr>
      </w:pPr>
      <w:r w:rsidRPr="00B73792">
        <w:rPr>
          <w:rFonts w:ascii="Arial" w:hAnsi="Arial" w:cs="Arial"/>
          <w:sz w:val="22"/>
          <w:szCs w:val="22"/>
        </w:rPr>
        <w:t>ISRE 2410 review report on Part 6.2 of the annual statutory return, providing a limited assurance conclusion</w:t>
      </w:r>
      <w:r>
        <w:rPr>
          <w:rFonts w:ascii="Arial" w:hAnsi="Arial" w:cs="Arial"/>
          <w:sz w:val="22"/>
          <w:szCs w:val="22"/>
        </w:rPr>
        <w:t>.</w:t>
      </w:r>
    </w:p>
    <w:p w:rsidR="00530D98" w:rsidRDefault="00830438" w:rsidP="00EB17A4">
      <w:pPr>
        <w:pStyle w:val="Bulletsa"/>
        <w:spacing w:before="0" w:line="271" w:lineRule="auto"/>
        <w:ind w:left="993"/>
        <w:rPr>
          <w:rFonts w:ascii="Arial" w:hAnsi="Arial" w:cs="Arial"/>
          <w:sz w:val="22"/>
          <w:szCs w:val="22"/>
        </w:rPr>
      </w:pPr>
      <w:r>
        <w:rPr>
          <w:rFonts w:ascii="Arial" w:hAnsi="Arial" w:cs="Arial"/>
          <w:sz w:val="22"/>
          <w:szCs w:val="22"/>
        </w:rPr>
        <w:t xml:space="preserve">Refer also to the section </w:t>
      </w:r>
      <w:hyperlink w:anchor="_Reporting_on_Parts" w:history="1">
        <w:r w:rsidRPr="00830438">
          <w:rPr>
            <w:rStyle w:val="Hyperlink"/>
            <w:rFonts w:ascii="Arial" w:hAnsi="Arial" w:cs="Arial"/>
            <w:sz w:val="22"/>
            <w:szCs w:val="22"/>
          </w:rPr>
          <w:t>Reporting on Parts 4 to 10 of the annual statutory return</w:t>
        </w:r>
      </w:hyperlink>
      <w:r>
        <w:rPr>
          <w:rFonts w:ascii="Arial" w:hAnsi="Arial" w:cs="Arial"/>
          <w:sz w:val="22"/>
          <w:szCs w:val="22"/>
        </w:rPr>
        <w:t>.</w:t>
      </w:r>
    </w:p>
    <w:p w:rsidR="00830438" w:rsidRPr="00F463BC" w:rsidRDefault="00830438" w:rsidP="00944A95">
      <w:pPr>
        <w:pStyle w:val="Bulletsa"/>
        <w:spacing w:before="0" w:line="271" w:lineRule="auto"/>
        <w:ind w:left="1353"/>
        <w:rPr>
          <w:rFonts w:ascii="Arial" w:hAnsi="Arial" w:cs="Arial"/>
          <w:sz w:val="22"/>
          <w:szCs w:val="22"/>
        </w:rPr>
      </w:pPr>
    </w:p>
    <w:p w:rsidR="00BD04CF" w:rsidRPr="00976129" w:rsidRDefault="0004601D" w:rsidP="00944A95">
      <w:pPr>
        <w:pStyle w:val="Bulletsa"/>
        <w:numPr>
          <w:ilvl w:val="0"/>
          <w:numId w:val="311"/>
        </w:numPr>
        <w:tabs>
          <w:tab w:val="left" w:pos="993"/>
        </w:tabs>
        <w:spacing w:before="0" w:line="271" w:lineRule="auto"/>
        <w:ind w:left="993" w:hanging="426"/>
        <w:rPr>
          <w:rFonts w:ascii="Arial" w:hAnsi="Arial" w:cs="Arial"/>
          <w:b/>
          <w:i/>
          <w:sz w:val="22"/>
          <w:szCs w:val="22"/>
        </w:rPr>
      </w:pPr>
      <w:r w:rsidRPr="00976129">
        <w:rPr>
          <w:rFonts w:ascii="Arial" w:hAnsi="Arial" w:cs="Arial"/>
          <w:b/>
          <w:i/>
          <w:sz w:val="22"/>
          <w:szCs w:val="22"/>
        </w:rPr>
        <w:t>An ISA 810 engagement, i</w:t>
      </w:r>
      <w:r w:rsidR="00BD04CF" w:rsidRPr="00976129">
        <w:rPr>
          <w:rFonts w:ascii="Arial" w:hAnsi="Arial" w:cs="Arial"/>
          <w:b/>
          <w:i/>
          <w:sz w:val="22"/>
          <w:szCs w:val="22"/>
        </w:rPr>
        <w:t xml:space="preserve">f </w:t>
      </w:r>
      <w:r w:rsidRPr="00976129">
        <w:rPr>
          <w:rFonts w:ascii="Arial" w:hAnsi="Arial" w:cs="Arial"/>
          <w:b/>
          <w:i/>
          <w:sz w:val="22"/>
          <w:szCs w:val="22"/>
        </w:rPr>
        <w:t xml:space="preserve">summary financial statements are </w:t>
      </w:r>
      <w:r w:rsidR="00BD04CF" w:rsidRPr="00976129">
        <w:rPr>
          <w:rFonts w:ascii="Arial" w:hAnsi="Arial" w:cs="Arial"/>
          <w:b/>
          <w:i/>
          <w:sz w:val="22"/>
          <w:szCs w:val="22"/>
        </w:rPr>
        <w:t>required</w:t>
      </w:r>
      <w:r w:rsidRPr="00976129">
        <w:rPr>
          <w:rFonts w:ascii="Arial" w:hAnsi="Arial" w:cs="Arial"/>
          <w:b/>
          <w:i/>
          <w:sz w:val="22"/>
          <w:szCs w:val="22"/>
        </w:rPr>
        <w:t xml:space="preserve"> to be prepared</w:t>
      </w:r>
      <w:r w:rsidR="00BD04CF" w:rsidRPr="00976129">
        <w:rPr>
          <w:rFonts w:ascii="Arial" w:hAnsi="Arial" w:cs="Arial"/>
          <w:b/>
          <w:i/>
          <w:sz w:val="22"/>
          <w:szCs w:val="22"/>
        </w:rPr>
        <w:t xml:space="preserve"> by the Rules</w:t>
      </w:r>
    </w:p>
    <w:p w:rsidR="00E344E1" w:rsidRDefault="00BD04CF" w:rsidP="00944A95">
      <w:pPr>
        <w:pStyle w:val="Bulletnrs"/>
        <w:numPr>
          <w:ilvl w:val="0"/>
          <w:numId w:val="0"/>
        </w:numPr>
        <w:spacing w:before="0" w:line="271" w:lineRule="auto"/>
        <w:ind w:left="993"/>
        <w:rPr>
          <w:rFonts w:ascii="Arial" w:hAnsi="Arial" w:cs="Arial"/>
          <w:sz w:val="22"/>
          <w:szCs w:val="22"/>
        </w:rPr>
      </w:pPr>
      <w:r>
        <w:rPr>
          <w:rFonts w:ascii="Arial" w:hAnsi="Arial" w:cs="Arial"/>
          <w:sz w:val="22"/>
          <w:szCs w:val="22"/>
        </w:rPr>
        <w:t xml:space="preserve">An auditor </w:t>
      </w:r>
      <w:r w:rsidR="00E344E1">
        <w:rPr>
          <w:rFonts w:ascii="Arial" w:hAnsi="Arial" w:cs="Arial"/>
          <w:sz w:val="22"/>
          <w:szCs w:val="22"/>
        </w:rPr>
        <w:t xml:space="preserve">reports whether </w:t>
      </w:r>
      <w:r w:rsidR="00E344E1" w:rsidRPr="00EA1348">
        <w:rPr>
          <w:rFonts w:ascii="Arial" w:hAnsi="Arial" w:cs="Arial"/>
          <w:sz w:val="22"/>
          <w:szCs w:val="22"/>
        </w:rPr>
        <w:t xml:space="preserve">the summary financial statements derived from the audited financial statements are consistent, in all material respects, with those financial </w:t>
      </w:r>
      <w:r w:rsidR="00E344E1">
        <w:rPr>
          <w:rFonts w:ascii="Arial" w:hAnsi="Arial" w:cs="Arial"/>
          <w:sz w:val="22"/>
          <w:szCs w:val="22"/>
        </w:rPr>
        <w:t xml:space="preserve">statements, in accordance with </w:t>
      </w:r>
      <w:r w:rsidR="00E344E1" w:rsidRPr="00EA1348">
        <w:rPr>
          <w:rFonts w:ascii="Arial" w:hAnsi="Arial" w:cs="Arial"/>
          <w:sz w:val="22"/>
          <w:szCs w:val="22"/>
        </w:rPr>
        <w:t>the content and disclosure requirements of Circular 6 of 2013</w:t>
      </w:r>
      <w:r w:rsidR="004A046F">
        <w:rPr>
          <w:rStyle w:val="FootnoteReference"/>
          <w:rFonts w:ascii="Arial" w:hAnsi="Arial" w:cs="Arial"/>
          <w:sz w:val="22"/>
          <w:szCs w:val="22"/>
        </w:rPr>
        <w:footnoteReference w:id="6"/>
      </w:r>
      <w:r w:rsidR="00E344E1">
        <w:rPr>
          <w:rFonts w:ascii="Arial" w:hAnsi="Arial" w:cs="Arial"/>
          <w:sz w:val="22"/>
          <w:szCs w:val="22"/>
        </w:rPr>
        <w:t>. This is an ISA 810</w:t>
      </w:r>
      <w:r w:rsidR="00E344E1">
        <w:rPr>
          <w:rStyle w:val="FootnoteReference"/>
          <w:rFonts w:ascii="Arial" w:hAnsi="Arial" w:cs="Arial"/>
          <w:sz w:val="22"/>
          <w:szCs w:val="22"/>
        </w:rPr>
        <w:footnoteReference w:id="7"/>
      </w:r>
      <w:r w:rsidR="00E344E1">
        <w:rPr>
          <w:rFonts w:ascii="Arial" w:hAnsi="Arial" w:cs="Arial"/>
          <w:sz w:val="22"/>
          <w:szCs w:val="22"/>
        </w:rPr>
        <w:t xml:space="preserve"> engagement.</w:t>
      </w:r>
    </w:p>
    <w:p w:rsidR="00E344E1" w:rsidRDefault="00E344E1" w:rsidP="00944A95">
      <w:pPr>
        <w:pStyle w:val="Bulletnrs"/>
        <w:numPr>
          <w:ilvl w:val="0"/>
          <w:numId w:val="0"/>
        </w:numPr>
        <w:spacing w:before="0" w:line="271" w:lineRule="auto"/>
        <w:ind w:left="993"/>
        <w:rPr>
          <w:rFonts w:ascii="Arial" w:hAnsi="Arial" w:cs="Arial"/>
          <w:sz w:val="22"/>
          <w:szCs w:val="22"/>
        </w:rPr>
      </w:pPr>
    </w:p>
    <w:p w:rsidR="00986DE4" w:rsidRPr="00F463BC" w:rsidRDefault="00986DE4" w:rsidP="00F463BC">
      <w:pPr>
        <w:pStyle w:val="Heading1"/>
        <w:keepNext/>
        <w:spacing w:line="271" w:lineRule="auto"/>
      </w:pPr>
      <w:bookmarkStart w:id="39" w:name="_Toc455582206"/>
      <w:r w:rsidRPr="00F463BC">
        <w:lastRenderedPageBreak/>
        <w:t>Effective date</w:t>
      </w:r>
      <w:bookmarkEnd w:id="39"/>
      <w:r w:rsidRPr="00F463BC">
        <w:t xml:space="preserve"> </w:t>
      </w:r>
    </w:p>
    <w:p w:rsidR="00986DE4" w:rsidRDefault="00B47521" w:rsidP="00F463BC">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 xml:space="preserve">This Guide is effective for engagements </w:t>
      </w:r>
      <w:r w:rsidR="00577741" w:rsidRPr="00F463BC">
        <w:rPr>
          <w:rFonts w:ascii="Arial" w:hAnsi="Arial" w:cs="Arial"/>
          <w:sz w:val="22"/>
          <w:szCs w:val="22"/>
        </w:rPr>
        <w:t>on</w:t>
      </w:r>
      <w:r w:rsidR="005B16BD" w:rsidRPr="00F463BC">
        <w:rPr>
          <w:rFonts w:ascii="Arial" w:hAnsi="Arial" w:cs="Arial"/>
          <w:sz w:val="22"/>
          <w:szCs w:val="22"/>
        </w:rPr>
        <w:t xml:space="preserve"> accounting </w:t>
      </w:r>
      <w:r w:rsidR="00577741" w:rsidRPr="00F463BC">
        <w:rPr>
          <w:rFonts w:ascii="Arial" w:hAnsi="Arial" w:cs="Arial"/>
          <w:sz w:val="22"/>
          <w:szCs w:val="22"/>
        </w:rPr>
        <w:t>periods</w:t>
      </w:r>
      <w:r w:rsidR="005B16BD" w:rsidRPr="00F463BC">
        <w:rPr>
          <w:rFonts w:ascii="Arial" w:hAnsi="Arial" w:cs="Arial"/>
          <w:sz w:val="22"/>
          <w:szCs w:val="22"/>
        </w:rPr>
        <w:t xml:space="preserve"> ending on or after 31</w:t>
      </w:r>
      <w:r w:rsidR="00A92621">
        <w:rPr>
          <w:rFonts w:ascii="Arial" w:hAnsi="Arial" w:cs="Arial"/>
          <w:sz w:val="22"/>
          <w:szCs w:val="22"/>
        </w:rPr>
        <w:t> </w:t>
      </w:r>
      <w:r w:rsidR="005B16BD" w:rsidRPr="00F463BC">
        <w:rPr>
          <w:rFonts w:ascii="Arial" w:hAnsi="Arial" w:cs="Arial"/>
          <w:sz w:val="22"/>
          <w:szCs w:val="22"/>
        </w:rPr>
        <w:t>December 201</w:t>
      </w:r>
      <w:r w:rsidR="00876AA6" w:rsidRPr="00F463BC">
        <w:rPr>
          <w:rFonts w:ascii="Arial" w:hAnsi="Arial" w:cs="Arial"/>
          <w:sz w:val="22"/>
          <w:szCs w:val="22"/>
        </w:rPr>
        <w:t>5</w:t>
      </w:r>
      <w:r w:rsidR="005B16BD" w:rsidRPr="00F463BC">
        <w:rPr>
          <w:rFonts w:ascii="Arial" w:hAnsi="Arial" w:cs="Arial"/>
          <w:sz w:val="22"/>
          <w:szCs w:val="22"/>
        </w:rPr>
        <w:t xml:space="preserve">. </w:t>
      </w:r>
      <w:r w:rsidRPr="00F463BC">
        <w:rPr>
          <w:rFonts w:ascii="Arial" w:hAnsi="Arial" w:cs="Arial"/>
          <w:sz w:val="22"/>
          <w:szCs w:val="22"/>
        </w:rPr>
        <w:t>Early adoption is encouraged</w:t>
      </w:r>
      <w:r w:rsidR="00986DE4" w:rsidRPr="00F463BC">
        <w:rPr>
          <w:rFonts w:ascii="Arial" w:hAnsi="Arial" w:cs="Arial"/>
          <w:sz w:val="22"/>
          <w:szCs w:val="22"/>
        </w:rPr>
        <w:t>.</w:t>
      </w:r>
    </w:p>
    <w:p w:rsidR="00E70B32" w:rsidRPr="00F463BC" w:rsidRDefault="00E70B32" w:rsidP="00F463BC">
      <w:pPr>
        <w:pStyle w:val="Bulletnrs"/>
        <w:keepNext/>
        <w:spacing w:before="0" w:line="271" w:lineRule="auto"/>
        <w:ind w:left="567" w:hanging="567"/>
        <w:rPr>
          <w:rFonts w:ascii="Arial" w:hAnsi="Arial" w:cs="Arial"/>
          <w:sz w:val="22"/>
          <w:szCs w:val="22"/>
        </w:rPr>
      </w:pPr>
      <w:r w:rsidRPr="00995D2A">
        <w:rPr>
          <w:rFonts w:ascii="Arial" w:hAnsi="Arial" w:cs="Arial"/>
          <w:color w:val="000000"/>
          <w:sz w:val="22"/>
          <w:szCs w:val="22"/>
          <w:lang w:eastAsia="en-ZA"/>
        </w:rPr>
        <w:t xml:space="preserve">The auditor reports </w:t>
      </w:r>
      <w:r>
        <w:rPr>
          <w:rFonts w:ascii="Arial" w:hAnsi="Arial" w:cs="Arial"/>
          <w:color w:val="000000"/>
          <w:sz w:val="22"/>
          <w:szCs w:val="22"/>
          <w:lang w:eastAsia="en-ZA"/>
        </w:rPr>
        <w:t xml:space="preserve">included in this Guide </w:t>
      </w:r>
      <w:r w:rsidRPr="00995D2A">
        <w:rPr>
          <w:rFonts w:ascii="Arial" w:hAnsi="Arial" w:cs="Arial"/>
          <w:color w:val="000000"/>
          <w:sz w:val="22"/>
          <w:szCs w:val="22"/>
          <w:lang w:eastAsia="en-ZA"/>
        </w:rPr>
        <w:t xml:space="preserve">are effective for reporting on engagements for periods ending on or after 31 December 2014. </w:t>
      </w:r>
      <w:r w:rsidRPr="009A3C69">
        <w:rPr>
          <w:rFonts w:ascii="Arial" w:hAnsi="Arial" w:cs="Arial"/>
          <w:sz w:val="22"/>
          <w:szCs w:val="22"/>
        </w:rPr>
        <w:t>The auditor reports have been issued</w:t>
      </w:r>
      <w:r>
        <w:rPr>
          <w:rFonts w:ascii="Arial" w:hAnsi="Arial" w:cs="Arial"/>
          <w:sz w:val="22"/>
          <w:szCs w:val="22"/>
        </w:rPr>
        <w:t xml:space="preserve"> by the Council</w:t>
      </w:r>
      <w:r w:rsidRPr="009A3C69">
        <w:rPr>
          <w:rFonts w:ascii="Arial" w:hAnsi="Arial" w:cs="Arial"/>
          <w:color w:val="000000"/>
          <w:sz w:val="22"/>
          <w:szCs w:val="22"/>
          <w:lang w:eastAsia="en-ZA"/>
        </w:rPr>
        <w:t>.</w:t>
      </w:r>
    </w:p>
    <w:p w:rsidR="00986DE4" w:rsidRPr="00F463BC" w:rsidRDefault="00986DE4" w:rsidP="00F463BC">
      <w:pPr>
        <w:keepNext/>
        <w:spacing w:before="0" w:line="271" w:lineRule="auto"/>
        <w:rPr>
          <w:rFonts w:ascii="Arial" w:hAnsi="Arial" w:cs="Arial"/>
        </w:rPr>
      </w:pPr>
    </w:p>
    <w:p w:rsidR="00ED07BB" w:rsidRPr="00F463BC" w:rsidRDefault="00142F3F" w:rsidP="001B129E">
      <w:pPr>
        <w:pStyle w:val="Heading1"/>
        <w:keepNext/>
        <w:spacing w:line="271" w:lineRule="auto"/>
      </w:pPr>
      <w:bookmarkStart w:id="40" w:name="_Understanding_the_business"/>
      <w:bookmarkStart w:id="41" w:name="_Toc455582207"/>
      <w:bookmarkStart w:id="42" w:name="_Toc300572940"/>
      <w:bookmarkStart w:id="43" w:name="_Toc304897887"/>
      <w:bookmarkStart w:id="44" w:name="_Toc305083335"/>
      <w:bookmarkEnd w:id="21"/>
      <w:bookmarkEnd w:id="22"/>
      <w:bookmarkEnd w:id="23"/>
      <w:bookmarkEnd w:id="24"/>
      <w:bookmarkEnd w:id="31"/>
      <w:bookmarkEnd w:id="32"/>
      <w:bookmarkEnd w:id="33"/>
      <w:bookmarkEnd w:id="34"/>
      <w:bookmarkEnd w:id="35"/>
      <w:bookmarkEnd w:id="36"/>
      <w:bookmarkEnd w:id="40"/>
      <w:r w:rsidRPr="00F463BC">
        <w:t>Engagement</w:t>
      </w:r>
      <w:r w:rsidR="009703B2" w:rsidRPr="00F463BC">
        <w:t xml:space="preserve"> acceptance</w:t>
      </w:r>
      <w:bookmarkEnd w:id="41"/>
    </w:p>
    <w:p w:rsidR="00032167" w:rsidRPr="00944A95" w:rsidRDefault="00032167" w:rsidP="001B129E">
      <w:pPr>
        <w:pStyle w:val="Bulletnrs"/>
        <w:keepNext/>
        <w:tabs>
          <w:tab w:val="left" w:pos="567"/>
        </w:tabs>
        <w:spacing w:before="0" w:line="271" w:lineRule="auto"/>
        <w:ind w:left="567" w:hanging="567"/>
        <w:rPr>
          <w:rFonts w:ascii="Arial" w:hAnsi="Arial" w:cs="Arial"/>
          <w:sz w:val="22"/>
          <w:szCs w:val="22"/>
        </w:rPr>
      </w:pPr>
      <w:r>
        <w:rPr>
          <w:rFonts w:ascii="Arial" w:hAnsi="Arial" w:cs="Arial"/>
          <w:sz w:val="22"/>
          <w:szCs w:val="22"/>
          <w:lang w:eastAsia="en-US"/>
        </w:rPr>
        <w:t xml:space="preserve">An auditor </w:t>
      </w:r>
      <w:r w:rsidR="00B1650C">
        <w:rPr>
          <w:rFonts w:ascii="Arial" w:hAnsi="Arial" w:cs="Arial"/>
          <w:sz w:val="22"/>
          <w:szCs w:val="22"/>
          <w:lang w:eastAsia="en-US"/>
        </w:rPr>
        <w:t>applies</w:t>
      </w:r>
      <w:r>
        <w:rPr>
          <w:rFonts w:ascii="Arial" w:hAnsi="Arial" w:cs="Arial"/>
          <w:sz w:val="22"/>
          <w:szCs w:val="22"/>
          <w:lang w:eastAsia="en-US"/>
        </w:rPr>
        <w:t xml:space="preserve"> </w:t>
      </w:r>
      <w:r w:rsidRPr="00944A95">
        <w:rPr>
          <w:rFonts w:ascii="Arial" w:hAnsi="Arial" w:cs="Arial"/>
          <w:sz w:val="22"/>
          <w:szCs w:val="22"/>
          <w:lang w:eastAsia="en-US"/>
        </w:rPr>
        <w:t xml:space="preserve">ISA 210, </w:t>
      </w:r>
      <w:r w:rsidRPr="00944A95">
        <w:rPr>
          <w:rFonts w:ascii="Arial" w:hAnsi="Arial" w:cs="Arial"/>
          <w:i/>
          <w:sz w:val="22"/>
          <w:szCs w:val="22"/>
          <w:lang w:eastAsia="en-US"/>
        </w:rPr>
        <w:t xml:space="preserve">Agreeing the Terms of Audit Engagements </w:t>
      </w:r>
      <w:r w:rsidRPr="00944A95">
        <w:rPr>
          <w:rFonts w:ascii="Arial" w:hAnsi="Arial" w:cs="Arial"/>
          <w:sz w:val="22"/>
          <w:szCs w:val="22"/>
          <w:lang w:eastAsia="en-US"/>
        </w:rPr>
        <w:t xml:space="preserve">and ISA 220, </w:t>
      </w:r>
      <w:r w:rsidRPr="00944A95">
        <w:rPr>
          <w:rFonts w:ascii="Arial" w:hAnsi="Arial" w:cs="Arial"/>
          <w:i/>
          <w:sz w:val="22"/>
          <w:szCs w:val="22"/>
        </w:rPr>
        <w:t>Quality Control for an Audit of Financial Statements</w:t>
      </w:r>
      <w:r w:rsidRPr="00944A95">
        <w:rPr>
          <w:rFonts w:ascii="Arial" w:hAnsi="Arial" w:cs="Arial"/>
          <w:i/>
          <w:sz w:val="22"/>
          <w:szCs w:val="22"/>
          <w:lang w:eastAsia="en-US"/>
        </w:rPr>
        <w:t>.</w:t>
      </w:r>
    </w:p>
    <w:p w:rsidR="0025756C" w:rsidRPr="00F463BC" w:rsidRDefault="0025756C"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appointment and reappointment of, and reporting by, an auditor is dealt with in section 36 of the Act and </w:t>
      </w:r>
      <w:r w:rsidR="006134B1" w:rsidRPr="00F463BC">
        <w:rPr>
          <w:rFonts w:ascii="Arial" w:hAnsi="Arial" w:cs="Arial"/>
          <w:sz w:val="22"/>
          <w:szCs w:val="22"/>
        </w:rPr>
        <w:t xml:space="preserve">in </w:t>
      </w:r>
      <w:r w:rsidRPr="00F463BC">
        <w:rPr>
          <w:rFonts w:ascii="Arial" w:hAnsi="Arial" w:cs="Arial"/>
          <w:sz w:val="22"/>
          <w:szCs w:val="22"/>
        </w:rPr>
        <w:t xml:space="preserve">the </w:t>
      </w:r>
      <w:r w:rsidR="00EA3C6A" w:rsidRPr="00F463BC">
        <w:rPr>
          <w:rFonts w:ascii="Arial" w:hAnsi="Arial" w:cs="Arial"/>
          <w:sz w:val="22"/>
          <w:szCs w:val="22"/>
        </w:rPr>
        <w:t>Rule</w:t>
      </w:r>
      <w:r w:rsidRPr="00F463BC">
        <w:rPr>
          <w:rFonts w:ascii="Arial" w:hAnsi="Arial" w:cs="Arial"/>
          <w:sz w:val="22"/>
          <w:szCs w:val="22"/>
        </w:rPr>
        <w:t>s</w:t>
      </w:r>
      <w:r w:rsidR="006134B1" w:rsidRPr="00F463BC">
        <w:rPr>
          <w:rFonts w:ascii="Arial" w:hAnsi="Arial" w:cs="Arial"/>
          <w:sz w:val="22"/>
          <w:szCs w:val="22"/>
        </w:rPr>
        <w:t xml:space="preserve"> of the medical scheme</w:t>
      </w:r>
      <w:r w:rsidRPr="00F463BC">
        <w:rPr>
          <w:rFonts w:ascii="Arial" w:hAnsi="Arial" w:cs="Arial"/>
          <w:sz w:val="22"/>
          <w:szCs w:val="22"/>
        </w:rPr>
        <w:t xml:space="preserve">. In terms of section 36(2), the appointment and reappointment of an auditor (both individual and firm) </w:t>
      </w:r>
      <w:r w:rsidR="00AA4934">
        <w:rPr>
          <w:rFonts w:ascii="Arial" w:hAnsi="Arial" w:cs="Arial"/>
          <w:sz w:val="22"/>
          <w:szCs w:val="22"/>
        </w:rPr>
        <w:t>are</w:t>
      </w:r>
      <w:r w:rsidRPr="00F463BC">
        <w:rPr>
          <w:rFonts w:ascii="Arial" w:hAnsi="Arial" w:cs="Arial"/>
          <w:sz w:val="22"/>
          <w:szCs w:val="22"/>
        </w:rPr>
        <w:t xml:space="preserve"> approved by the Registrar. Section 36(3) of the Act prohibits the appointment of certain persons as auditor. The Council also issues, from time to time, guidelines, Circulars and Notices on these matters.</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terms of section 37(3) a medical scheme’s annual financial statements are subject to an audit by an auditor registered in accordance with the </w:t>
      </w:r>
      <w:r w:rsidR="00770C7D" w:rsidRPr="00F463BC">
        <w:rPr>
          <w:rFonts w:ascii="Arial" w:hAnsi="Arial" w:cs="Arial"/>
          <w:sz w:val="22"/>
          <w:szCs w:val="22"/>
        </w:rPr>
        <w:t>Auditing Profession Act</w:t>
      </w:r>
      <w:r w:rsidRPr="00F463BC">
        <w:rPr>
          <w:rFonts w:ascii="Arial" w:hAnsi="Arial" w:cs="Arial"/>
          <w:sz w:val="22"/>
          <w:szCs w:val="22"/>
        </w:rPr>
        <w:t>.</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is required to complete the annual </w:t>
      </w:r>
      <w:r w:rsidRPr="00F463BC">
        <w:rPr>
          <w:rFonts w:ascii="Arial" w:hAnsi="Arial" w:cs="Arial"/>
          <w:i/>
          <w:sz w:val="22"/>
          <w:szCs w:val="22"/>
        </w:rPr>
        <w:t>Auditor Approval Questionnaire</w:t>
      </w:r>
      <w:r w:rsidRPr="00F463BC">
        <w:rPr>
          <w:rFonts w:ascii="Arial" w:hAnsi="Arial" w:cs="Arial"/>
          <w:sz w:val="22"/>
          <w:szCs w:val="22"/>
          <w:vertAlign w:val="superscript"/>
        </w:rPr>
        <w:footnoteReference w:id="8"/>
      </w:r>
      <w:r w:rsidRPr="00F463BC">
        <w:rPr>
          <w:rFonts w:ascii="Arial" w:hAnsi="Arial" w:cs="Arial"/>
          <w:sz w:val="22"/>
          <w:szCs w:val="22"/>
        </w:rPr>
        <w:t xml:space="preserve"> issued by the </w:t>
      </w:r>
      <w:r w:rsidR="00FA00F8" w:rsidRPr="00F463BC">
        <w:rPr>
          <w:rFonts w:ascii="Arial" w:hAnsi="Arial" w:cs="Arial"/>
          <w:sz w:val="22"/>
          <w:szCs w:val="22"/>
        </w:rPr>
        <w:t>Council</w:t>
      </w:r>
      <w:r w:rsidRPr="00F463BC">
        <w:rPr>
          <w:rFonts w:ascii="Arial" w:hAnsi="Arial" w:cs="Arial"/>
          <w:sz w:val="22"/>
          <w:szCs w:val="22"/>
        </w:rPr>
        <w:t xml:space="preserve"> within the prescribed deadlines.  </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Registrar may appoint an auditor for a medical scheme if that medical scheme for any reason fails to appoint an auditor, and such auditor is deemed to have been appointed by a medical scheme.  </w:t>
      </w:r>
    </w:p>
    <w:p w:rsidR="003901F2" w:rsidRPr="00F463BC" w:rsidRDefault="003901F2" w:rsidP="00F463BC">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An auditor is required to have a working knowledge of the </w:t>
      </w:r>
      <w:r w:rsidR="00770C7D" w:rsidRPr="00F463BC">
        <w:rPr>
          <w:rFonts w:ascii="Arial" w:hAnsi="Arial" w:cs="Arial"/>
          <w:sz w:val="22"/>
          <w:szCs w:val="22"/>
        </w:rPr>
        <w:t>Act</w:t>
      </w:r>
      <w:r w:rsidRPr="00F463BC">
        <w:rPr>
          <w:rFonts w:ascii="Arial" w:hAnsi="Arial" w:cs="Arial"/>
          <w:sz w:val="22"/>
          <w:szCs w:val="22"/>
        </w:rPr>
        <w:t>, its Regulations, and Circulars issued by the</w:t>
      </w:r>
      <w:r w:rsidR="00FA00F8" w:rsidRPr="00F463BC">
        <w:rPr>
          <w:rFonts w:ascii="Arial" w:hAnsi="Arial" w:cs="Arial"/>
          <w:sz w:val="22"/>
          <w:szCs w:val="22"/>
        </w:rPr>
        <w:t xml:space="preserve"> Council</w:t>
      </w:r>
      <w:r w:rsidRPr="00F463BC">
        <w:rPr>
          <w:rFonts w:ascii="Arial" w:hAnsi="Arial" w:cs="Arial"/>
          <w:sz w:val="22"/>
          <w:szCs w:val="22"/>
        </w:rPr>
        <w:t>, in order to report on instances of non-compliance identified by an auditor</w:t>
      </w:r>
      <w:r w:rsidR="008876EE" w:rsidRPr="00F463BC">
        <w:rPr>
          <w:rFonts w:ascii="Arial" w:hAnsi="Arial" w:cs="Arial"/>
          <w:sz w:val="22"/>
          <w:szCs w:val="22"/>
        </w:rPr>
        <w:t>, in the regulatory report that accompanies the financial statements.</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is required to comply with the IRBA </w:t>
      </w:r>
      <w:r w:rsidRPr="00F463BC">
        <w:rPr>
          <w:rFonts w:ascii="Arial" w:hAnsi="Arial" w:cs="Arial"/>
          <w:i/>
          <w:sz w:val="22"/>
          <w:szCs w:val="22"/>
        </w:rPr>
        <w:t>Code of Professional Conduct for Registered Auditors</w:t>
      </w:r>
      <w:r w:rsidRPr="00F463BC">
        <w:rPr>
          <w:rFonts w:ascii="Arial" w:hAnsi="Arial" w:cs="Arial"/>
          <w:sz w:val="22"/>
          <w:szCs w:val="22"/>
        </w:rPr>
        <w:t xml:space="preserve"> (the Code), the requirement</w:t>
      </w:r>
      <w:r w:rsidR="00030C44" w:rsidRPr="00F463BC">
        <w:rPr>
          <w:rFonts w:ascii="Arial" w:hAnsi="Arial" w:cs="Arial"/>
          <w:sz w:val="22"/>
          <w:szCs w:val="22"/>
        </w:rPr>
        <w:t>s of the International Standard</w:t>
      </w:r>
      <w:r w:rsidRPr="00F463BC">
        <w:rPr>
          <w:rFonts w:ascii="Arial" w:hAnsi="Arial" w:cs="Arial"/>
          <w:sz w:val="22"/>
          <w:szCs w:val="22"/>
        </w:rPr>
        <w:t xml:space="preserve"> on Quality Control 1</w:t>
      </w:r>
      <w:r w:rsidR="00030C44" w:rsidRPr="00F463BC">
        <w:rPr>
          <w:rFonts w:ascii="Arial" w:hAnsi="Arial" w:cs="Arial"/>
          <w:sz w:val="22"/>
          <w:szCs w:val="22"/>
        </w:rPr>
        <w:t xml:space="preserve">, </w:t>
      </w:r>
      <w:r w:rsidRPr="00F463BC">
        <w:rPr>
          <w:rFonts w:ascii="Arial" w:hAnsi="Arial" w:cs="Arial"/>
          <w:i/>
          <w:sz w:val="22"/>
          <w:szCs w:val="22"/>
        </w:rPr>
        <w:t>Quality Control for Firms that Perform Audits and Reviews of Financial Statements and Other Assurance and Related Services Engagements</w:t>
      </w:r>
      <w:r w:rsidRPr="00F463BC">
        <w:rPr>
          <w:rFonts w:ascii="Arial" w:hAnsi="Arial" w:cs="Arial"/>
          <w:sz w:val="22"/>
          <w:szCs w:val="22"/>
        </w:rPr>
        <w:t xml:space="preserve"> (ISQC 1) and the </w:t>
      </w:r>
      <w:r w:rsidRPr="00F463BC">
        <w:rPr>
          <w:rFonts w:ascii="Arial" w:hAnsi="Arial" w:cs="Arial"/>
          <w:i/>
          <w:sz w:val="22"/>
          <w:szCs w:val="22"/>
        </w:rPr>
        <w:t>International Standards on Auditing</w:t>
      </w:r>
      <w:r w:rsidRPr="00F463BC">
        <w:rPr>
          <w:rFonts w:ascii="Arial" w:hAnsi="Arial" w:cs="Arial"/>
          <w:sz w:val="22"/>
          <w:szCs w:val="22"/>
        </w:rPr>
        <w:t xml:space="preserve"> (the ISAs) in the conduct of an audit of a medical scheme.</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When </w:t>
      </w:r>
      <w:r w:rsidR="006A2B75">
        <w:rPr>
          <w:rFonts w:ascii="Arial" w:hAnsi="Arial" w:cs="Arial"/>
          <w:sz w:val="22"/>
          <w:szCs w:val="22"/>
        </w:rPr>
        <w:t xml:space="preserve">a medical scheme utilises </w:t>
      </w:r>
      <w:r w:rsidRPr="00F463BC">
        <w:rPr>
          <w:rFonts w:ascii="Arial" w:hAnsi="Arial" w:cs="Arial"/>
          <w:sz w:val="22"/>
          <w:szCs w:val="22"/>
        </w:rPr>
        <w:t>a service organisation, an auditor applies ISA 402</w:t>
      </w:r>
      <w:r w:rsidR="00933471" w:rsidRPr="00F463BC">
        <w:rPr>
          <w:rFonts w:ascii="Arial" w:hAnsi="Arial" w:cs="Arial"/>
          <w:sz w:val="22"/>
          <w:szCs w:val="22"/>
        </w:rPr>
        <w:t xml:space="preserve">, </w:t>
      </w:r>
      <w:r w:rsidRPr="00F463BC">
        <w:rPr>
          <w:rFonts w:ascii="Arial" w:hAnsi="Arial" w:cs="Arial"/>
          <w:i/>
          <w:sz w:val="22"/>
          <w:szCs w:val="22"/>
        </w:rPr>
        <w:t xml:space="preserve">Audit Considerations Relating to an Entity Using a Service Organization, </w:t>
      </w:r>
      <w:r w:rsidRPr="00F463BC">
        <w:rPr>
          <w:rFonts w:ascii="Arial" w:hAnsi="Arial" w:cs="Arial"/>
          <w:sz w:val="22"/>
          <w:szCs w:val="22"/>
        </w:rPr>
        <w:t xml:space="preserve">which </w:t>
      </w:r>
      <w:r w:rsidRPr="00F463BC">
        <w:rPr>
          <w:rFonts w:ascii="Arial" w:hAnsi="Arial" w:cs="Arial"/>
          <w:sz w:val="22"/>
          <w:szCs w:val="22"/>
        </w:rPr>
        <w:lastRenderedPageBreak/>
        <w:t>requires an auditor to assess, before accepting the engagement, whether sufficient appropriate audit evidence can be obtained from that service organisation, in order to complete the audit. In other words, if sufficient appropriate evidence cannot be obtained from that service organisation, this is not a scope limitation imposed as a result of the audit, but rather a scope limitation that should have been considered before the engagement was accepted, and appropriate responses designed and implemented to address the assessed risks.</w:t>
      </w:r>
    </w:p>
    <w:p w:rsidR="00ED07BB" w:rsidRPr="00F463BC" w:rsidRDefault="00ED07B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If an auditor’s appointment is terminated for any reason, including resignation, that auditor is required in terms of </w:t>
      </w:r>
      <w:r w:rsidR="00FD2B90" w:rsidRPr="00F463BC">
        <w:rPr>
          <w:rFonts w:ascii="Arial" w:hAnsi="Arial" w:cs="Arial"/>
          <w:sz w:val="22"/>
          <w:szCs w:val="22"/>
        </w:rPr>
        <w:t>section 36(5)(c)</w:t>
      </w:r>
      <w:r w:rsidRPr="00F463BC">
        <w:rPr>
          <w:rFonts w:ascii="Arial" w:hAnsi="Arial" w:cs="Arial"/>
          <w:sz w:val="22"/>
          <w:szCs w:val="22"/>
        </w:rPr>
        <w:t xml:space="preserve"> </w:t>
      </w:r>
      <w:r w:rsidR="006134B1" w:rsidRPr="00F463BC">
        <w:rPr>
          <w:rFonts w:ascii="Arial" w:hAnsi="Arial" w:cs="Arial"/>
          <w:sz w:val="22"/>
          <w:szCs w:val="22"/>
        </w:rPr>
        <w:t xml:space="preserve">of the Act </w:t>
      </w:r>
      <w:r w:rsidRPr="00F463BC">
        <w:rPr>
          <w:rFonts w:ascii="Arial" w:hAnsi="Arial" w:cs="Arial"/>
          <w:sz w:val="22"/>
          <w:szCs w:val="22"/>
        </w:rPr>
        <w:t xml:space="preserve">to submit to the Registrar a statement by that auditor setting out that auditor’s understanding of the reason for the termination. </w:t>
      </w:r>
    </w:p>
    <w:p w:rsidR="00ED07BB" w:rsidRPr="00F463BC" w:rsidRDefault="00ED07BB" w:rsidP="00B82F08">
      <w:pPr>
        <w:pStyle w:val="Bulletnrs"/>
        <w:numPr>
          <w:ilvl w:val="0"/>
          <w:numId w:val="0"/>
        </w:numPr>
        <w:spacing w:before="0" w:line="271" w:lineRule="auto"/>
        <w:rPr>
          <w:rFonts w:ascii="Arial" w:hAnsi="Arial" w:cs="Arial"/>
          <w:sz w:val="22"/>
          <w:szCs w:val="22"/>
        </w:rPr>
      </w:pPr>
    </w:p>
    <w:p w:rsidR="00ED07BB" w:rsidRPr="00F463BC" w:rsidRDefault="00142F3F" w:rsidP="00B82F08">
      <w:pPr>
        <w:pStyle w:val="Heading1"/>
        <w:keepNext/>
        <w:spacing w:line="271" w:lineRule="auto"/>
      </w:pPr>
      <w:bookmarkStart w:id="45" w:name="_Toc455582208"/>
      <w:r w:rsidRPr="00F463BC">
        <w:t>P</w:t>
      </w:r>
      <w:r w:rsidR="009703B2" w:rsidRPr="00F463BC">
        <w:t>lanning of the engagement</w:t>
      </w:r>
      <w:r w:rsidR="008F0A9D" w:rsidRPr="00F463BC">
        <w:rPr>
          <w:rStyle w:val="FootnoteReference"/>
        </w:rPr>
        <w:footnoteReference w:id="9"/>
      </w:r>
      <w:bookmarkEnd w:id="45"/>
    </w:p>
    <w:p w:rsidR="0008215B" w:rsidRPr="00F463BC" w:rsidRDefault="0008215B" w:rsidP="00B82F08">
      <w:pPr>
        <w:pStyle w:val="Heading2"/>
        <w:keepNext/>
        <w:spacing w:before="0" w:line="271" w:lineRule="auto"/>
      </w:pPr>
      <w:bookmarkStart w:id="46" w:name="_Toc455582209"/>
      <w:r w:rsidRPr="00F463BC">
        <w:t>Fraud considerations</w:t>
      </w:r>
      <w:bookmarkEnd w:id="46"/>
    </w:p>
    <w:p w:rsidR="005F3B06" w:rsidRPr="005F3B06" w:rsidRDefault="005F3B06" w:rsidP="00B82F08">
      <w:pPr>
        <w:pStyle w:val="Bulletnrs"/>
        <w:keepNext/>
        <w:tabs>
          <w:tab w:val="left" w:pos="567"/>
        </w:tabs>
        <w:spacing w:before="0" w:line="271" w:lineRule="auto"/>
        <w:ind w:left="567" w:hanging="567"/>
        <w:rPr>
          <w:rFonts w:ascii="Arial" w:hAnsi="Arial" w:cs="Arial"/>
          <w:sz w:val="22"/>
          <w:szCs w:val="22"/>
        </w:rPr>
      </w:pPr>
      <w:r w:rsidRPr="005F3B06">
        <w:rPr>
          <w:rFonts w:ascii="Arial" w:hAnsi="Arial" w:cs="Arial"/>
          <w:sz w:val="22"/>
          <w:szCs w:val="22"/>
        </w:rPr>
        <w:t xml:space="preserve">An auditor </w:t>
      </w:r>
      <w:r w:rsidR="00B1650C">
        <w:rPr>
          <w:rFonts w:ascii="Arial" w:hAnsi="Arial" w:cs="Arial"/>
          <w:sz w:val="22"/>
          <w:szCs w:val="22"/>
        </w:rPr>
        <w:t>applies</w:t>
      </w:r>
      <w:r w:rsidRPr="005F3B06">
        <w:rPr>
          <w:rFonts w:ascii="Arial" w:hAnsi="Arial" w:cs="Arial"/>
          <w:sz w:val="22"/>
          <w:szCs w:val="22"/>
        </w:rPr>
        <w:t xml:space="preserve"> </w:t>
      </w:r>
      <w:r w:rsidRPr="00944A95">
        <w:rPr>
          <w:rFonts w:ascii="Arial" w:hAnsi="Arial" w:cs="Arial"/>
          <w:sz w:val="22"/>
          <w:szCs w:val="22"/>
        </w:rPr>
        <w:t xml:space="preserve">ISA 240, </w:t>
      </w:r>
      <w:r w:rsidRPr="00944A95">
        <w:rPr>
          <w:rFonts w:ascii="Arial" w:hAnsi="Arial" w:cs="Arial"/>
          <w:i/>
          <w:sz w:val="22"/>
          <w:szCs w:val="22"/>
        </w:rPr>
        <w:t>The Auditor's Responsibilities Relating to Fraud in an Audit of Financial Statements.</w:t>
      </w:r>
    </w:p>
    <w:p w:rsidR="0008215B" w:rsidRPr="00F463BC" w:rsidRDefault="0008215B"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considers common fraud indicators/types of transactions susceptible to fraud in a medical scheme environment, which may include:</w:t>
      </w:r>
    </w:p>
    <w:p w:rsidR="0008215B" w:rsidRPr="00F463BC" w:rsidRDefault="0008215B" w:rsidP="00B82F08">
      <w:pPr>
        <w:pStyle w:val="Bulletsa"/>
        <w:keepNext/>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Member</w:t>
      </w:r>
      <w:r w:rsidR="006134B1" w:rsidRPr="00F463BC">
        <w:rPr>
          <w:rFonts w:ascii="Arial" w:hAnsi="Arial" w:cs="Arial"/>
          <w:sz w:val="22"/>
          <w:szCs w:val="22"/>
        </w:rPr>
        <w:t xml:space="preserve"> and provider fraudulent claims</w:t>
      </w:r>
      <w:r w:rsidRPr="00F463BC">
        <w:rPr>
          <w:rFonts w:ascii="Arial" w:hAnsi="Arial" w:cs="Arial"/>
          <w:sz w:val="22"/>
          <w:szCs w:val="22"/>
        </w:rPr>
        <w:t xml:space="preserve"> (duplicate claims, inappropriate coding, invalid claims);</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 xml:space="preserve">Non-members using a member’s card to claim; </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Inappropriate expenditure and/or medical claims by trustees;</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Conflicts of interest, actual or perceived, particularly if members of the investment committee or the board of trustees have a financial interest</w:t>
      </w:r>
      <w:r w:rsidR="00721B9A">
        <w:rPr>
          <w:rFonts w:ascii="Arial" w:hAnsi="Arial" w:cs="Arial"/>
          <w:sz w:val="22"/>
          <w:szCs w:val="22"/>
        </w:rPr>
        <w:t xml:space="preserve"> in the medical scheme</w:t>
      </w:r>
      <w:r w:rsidRPr="00F463BC">
        <w:rPr>
          <w:rFonts w:ascii="Arial" w:hAnsi="Arial" w:cs="Arial"/>
          <w:sz w:val="22"/>
          <w:szCs w:val="22"/>
        </w:rPr>
        <w:t xml:space="preserve">; </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Poor corporate governance; and</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 xml:space="preserve">Fraud at </w:t>
      </w:r>
      <w:r w:rsidR="00462D49" w:rsidRPr="00F463BC">
        <w:rPr>
          <w:rFonts w:ascii="Arial" w:hAnsi="Arial" w:cs="Arial"/>
          <w:sz w:val="22"/>
          <w:szCs w:val="22"/>
        </w:rPr>
        <w:t xml:space="preserve">a </w:t>
      </w:r>
      <w:r w:rsidRPr="00F463BC">
        <w:rPr>
          <w:rFonts w:ascii="Arial" w:hAnsi="Arial" w:cs="Arial"/>
          <w:sz w:val="22"/>
          <w:szCs w:val="22"/>
        </w:rPr>
        <w:t xml:space="preserve">service organisation. See </w:t>
      </w:r>
      <w:r w:rsidR="006E6C6D" w:rsidRPr="00F463BC">
        <w:rPr>
          <w:rFonts w:ascii="Arial" w:hAnsi="Arial" w:cs="Arial"/>
          <w:sz w:val="22"/>
          <w:szCs w:val="22"/>
        </w:rPr>
        <w:t xml:space="preserve">the section </w:t>
      </w:r>
      <w:hyperlink w:anchor="_Part_F_–" w:history="1">
        <w:r w:rsidR="006E6C6D" w:rsidRPr="00F463BC">
          <w:rPr>
            <w:rStyle w:val="Hyperlink"/>
            <w:rFonts w:ascii="Arial" w:hAnsi="Arial" w:cs="Arial"/>
            <w:sz w:val="22"/>
            <w:szCs w:val="22"/>
          </w:rPr>
          <w:t>Service organisations</w:t>
        </w:r>
      </w:hyperlink>
      <w:r w:rsidRPr="00F463BC">
        <w:rPr>
          <w:rFonts w:ascii="Arial" w:hAnsi="Arial" w:cs="Arial"/>
          <w:i/>
          <w:sz w:val="22"/>
          <w:szCs w:val="22"/>
        </w:rPr>
        <w:t>.</w:t>
      </w:r>
    </w:p>
    <w:p w:rsidR="0008215B" w:rsidRPr="00F463BC" w:rsidRDefault="0008215B"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Fraud risk in a medical scheme environment may be mitigated by:</w:t>
      </w:r>
    </w:p>
    <w:p w:rsidR="00DD061D" w:rsidRDefault="00DD061D" w:rsidP="00B82F08">
      <w:pPr>
        <w:pStyle w:val="Bulletsa"/>
        <w:keepNext/>
        <w:numPr>
          <w:ilvl w:val="0"/>
          <w:numId w:val="39"/>
        </w:numPr>
        <w:tabs>
          <w:tab w:val="left" w:pos="993"/>
        </w:tabs>
        <w:spacing w:before="0" w:line="271" w:lineRule="auto"/>
        <w:ind w:left="993" w:hanging="426"/>
        <w:rPr>
          <w:rFonts w:ascii="Arial" w:hAnsi="Arial" w:cs="Arial"/>
          <w:sz w:val="22"/>
          <w:szCs w:val="22"/>
        </w:rPr>
      </w:pPr>
      <w:r>
        <w:rPr>
          <w:rFonts w:ascii="Arial" w:hAnsi="Arial" w:cs="Arial"/>
          <w:sz w:val="22"/>
          <w:szCs w:val="22"/>
        </w:rPr>
        <w:t>Internal controls;</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fraud policy approved by the board of trustees;</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activities of a forensic unit;</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hot-line facility (anonymous reporting); and</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Internal audit.</w:t>
      </w:r>
    </w:p>
    <w:p w:rsidR="0008215B" w:rsidRPr="00F463BC" w:rsidRDefault="0008215B" w:rsidP="00B82F08">
      <w:pPr>
        <w:pStyle w:val="Bulletnrs"/>
        <w:numPr>
          <w:ilvl w:val="0"/>
          <w:numId w:val="0"/>
        </w:numPr>
        <w:spacing w:before="0" w:line="271" w:lineRule="auto"/>
        <w:rPr>
          <w:rFonts w:ascii="Arial" w:hAnsi="Arial" w:cs="Arial"/>
          <w:sz w:val="22"/>
          <w:szCs w:val="22"/>
        </w:rPr>
      </w:pPr>
    </w:p>
    <w:p w:rsidR="0008215B" w:rsidRPr="00F463BC" w:rsidRDefault="0008215B" w:rsidP="00B82F08">
      <w:pPr>
        <w:pStyle w:val="Heading2"/>
        <w:keepNext/>
        <w:spacing w:before="0" w:line="271" w:lineRule="auto"/>
      </w:pPr>
      <w:bookmarkStart w:id="47" w:name="_Toc455582210"/>
      <w:r w:rsidRPr="00F463BC">
        <w:lastRenderedPageBreak/>
        <w:t xml:space="preserve">Laws, </w:t>
      </w:r>
      <w:r w:rsidR="00201178" w:rsidRPr="00F463BC">
        <w:t>the R</w:t>
      </w:r>
      <w:r w:rsidRPr="00F463BC">
        <w:t>egulations</w:t>
      </w:r>
      <w:r w:rsidR="00201178" w:rsidRPr="00F463BC">
        <w:t>, the Circulars</w:t>
      </w:r>
      <w:r w:rsidRPr="00F463BC">
        <w:t xml:space="preserve"> and the </w:t>
      </w:r>
      <w:r w:rsidR="00EA3C6A" w:rsidRPr="00F463BC">
        <w:t>Rule</w:t>
      </w:r>
      <w:r w:rsidRPr="00F463BC">
        <w:t>s</w:t>
      </w:r>
      <w:bookmarkEnd w:id="47"/>
    </w:p>
    <w:p w:rsidR="00232F5A" w:rsidRPr="00232F5A" w:rsidRDefault="00232F5A" w:rsidP="00B82F08">
      <w:pPr>
        <w:pStyle w:val="Bulletnrs"/>
        <w:keepNext/>
        <w:tabs>
          <w:tab w:val="left" w:pos="567"/>
        </w:tabs>
        <w:spacing w:before="0" w:line="271" w:lineRule="auto"/>
        <w:ind w:left="567" w:hanging="567"/>
        <w:rPr>
          <w:rFonts w:ascii="Arial" w:hAnsi="Arial" w:cs="Arial"/>
          <w:sz w:val="22"/>
          <w:szCs w:val="22"/>
        </w:rPr>
      </w:pPr>
      <w:r w:rsidRPr="00232F5A">
        <w:rPr>
          <w:rFonts w:ascii="Arial" w:hAnsi="Arial" w:cs="Arial"/>
          <w:sz w:val="22"/>
          <w:szCs w:val="22"/>
        </w:rPr>
        <w:t xml:space="preserve">An auditor </w:t>
      </w:r>
      <w:r w:rsidR="00692E7F">
        <w:rPr>
          <w:rFonts w:ascii="Arial" w:hAnsi="Arial" w:cs="Arial"/>
          <w:sz w:val="22"/>
          <w:szCs w:val="22"/>
        </w:rPr>
        <w:t>applies</w:t>
      </w:r>
      <w:r w:rsidRPr="00232F5A">
        <w:rPr>
          <w:rFonts w:ascii="Arial" w:hAnsi="Arial" w:cs="Arial"/>
          <w:sz w:val="22"/>
          <w:szCs w:val="22"/>
        </w:rPr>
        <w:t xml:space="preserve"> </w:t>
      </w:r>
      <w:r w:rsidRPr="00944A95">
        <w:rPr>
          <w:rFonts w:ascii="Arial" w:hAnsi="Arial" w:cs="Arial"/>
          <w:sz w:val="22"/>
          <w:szCs w:val="22"/>
        </w:rPr>
        <w:t xml:space="preserve">ISA 250, </w:t>
      </w:r>
      <w:r w:rsidRPr="00944A95">
        <w:rPr>
          <w:rFonts w:ascii="Arial" w:hAnsi="Arial" w:cs="Arial"/>
          <w:i/>
          <w:sz w:val="22"/>
          <w:szCs w:val="22"/>
        </w:rPr>
        <w:t>Consideration of Laws and Regulations in an Audit of Financial Statements.</w:t>
      </w:r>
    </w:p>
    <w:p w:rsidR="0008215B" w:rsidRPr="00F463BC" w:rsidRDefault="008171CE" w:rsidP="00AA611B">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For</w:t>
      </w:r>
      <w:r w:rsidRPr="00F463BC">
        <w:rPr>
          <w:rFonts w:ascii="Arial" w:hAnsi="Arial" w:cs="Arial"/>
          <w:sz w:val="22"/>
          <w:szCs w:val="22"/>
        </w:rPr>
        <w:t xml:space="preserve"> </w:t>
      </w:r>
      <w:r w:rsidR="009F2FFB" w:rsidRPr="00F463BC">
        <w:rPr>
          <w:rFonts w:ascii="Arial" w:hAnsi="Arial" w:cs="Arial"/>
          <w:sz w:val="22"/>
          <w:szCs w:val="22"/>
        </w:rPr>
        <w:t>i</w:t>
      </w:r>
      <w:r w:rsidR="0008215B" w:rsidRPr="00F463BC">
        <w:rPr>
          <w:rFonts w:ascii="Arial" w:hAnsi="Arial" w:cs="Arial"/>
          <w:sz w:val="22"/>
          <w:szCs w:val="22"/>
        </w:rPr>
        <w:t xml:space="preserve">nstances of non-compliance with </w:t>
      </w:r>
      <w:r w:rsidR="00201178" w:rsidRPr="00F463BC">
        <w:rPr>
          <w:rFonts w:ascii="Arial" w:hAnsi="Arial" w:cs="Arial"/>
          <w:sz w:val="22"/>
          <w:szCs w:val="22"/>
        </w:rPr>
        <w:t xml:space="preserve">laws, the Regulations, the Circulars and the </w:t>
      </w:r>
      <w:r w:rsidR="00EA3C6A" w:rsidRPr="00F463BC">
        <w:rPr>
          <w:rFonts w:ascii="Arial" w:hAnsi="Arial" w:cs="Arial"/>
          <w:sz w:val="22"/>
          <w:szCs w:val="22"/>
        </w:rPr>
        <w:t>Rule</w:t>
      </w:r>
      <w:r w:rsidR="00201178" w:rsidRPr="00F463BC">
        <w:rPr>
          <w:rFonts w:ascii="Arial" w:hAnsi="Arial" w:cs="Arial"/>
          <w:sz w:val="22"/>
          <w:szCs w:val="22"/>
        </w:rPr>
        <w:t>s of the medical scheme</w:t>
      </w:r>
      <w:r w:rsidR="00633908" w:rsidRPr="00F463BC">
        <w:rPr>
          <w:rFonts w:ascii="Arial" w:hAnsi="Arial" w:cs="Arial"/>
          <w:sz w:val="22"/>
          <w:szCs w:val="22"/>
        </w:rPr>
        <w:t xml:space="preserve">, detected </w:t>
      </w:r>
      <w:r w:rsidR="003D51CA">
        <w:rPr>
          <w:rFonts w:ascii="Arial" w:hAnsi="Arial" w:cs="Arial"/>
          <w:sz w:val="22"/>
          <w:szCs w:val="22"/>
        </w:rPr>
        <w:t xml:space="preserve">by an auditor </w:t>
      </w:r>
      <w:r w:rsidR="00633908" w:rsidRPr="00F463BC">
        <w:rPr>
          <w:rFonts w:ascii="Arial" w:hAnsi="Arial" w:cs="Arial"/>
          <w:sz w:val="22"/>
          <w:szCs w:val="22"/>
        </w:rPr>
        <w:t xml:space="preserve">during the course of performing </w:t>
      </w:r>
      <w:r w:rsidR="008C02DA" w:rsidRPr="00F463BC">
        <w:rPr>
          <w:rFonts w:ascii="Arial" w:hAnsi="Arial" w:cs="Arial"/>
          <w:sz w:val="22"/>
          <w:szCs w:val="22"/>
        </w:rPr>
        <w:t>assurance</w:t>
      </w:r>
      <w:r w:rsidR="00633908" w:rsidRPr="00F463BC">
        <w:rPr>
          <w:rFonts w:ascii="Arial" w:hAnsi="Arial" w:cs="Arial"/>
          <w:sz w:val="22"/>
          <w:szCs w:val="22"/>
        </w:rPr>
        <w:t xml:space="preserve"> procedures,</w:t>
      </w:r>
      <w:r w:rsidR="00201178" w:rsidRPr="00F463BC">
        <w:rPr>
          <w:rFonts w:ascii="Arial" w:hAnsi="Arial" w:cs="Arial"/>
          <w:sz w:val="22"/>
          <w:szCs w:val="22"/>
        </w:rPr>
        <w:t xml:space="preserve"> </w:t>
      </w:r>
      <w:r>
        <w:rPr>
          <w:rFonts w:ascii="Arial" w:hAnsi="Arial" w:cs="Arial"/>
          <w:sz w:val="22"/>
          <w:szCs w:val="22"/>
        </w:rPr>
        <w:t>r</w:t>
      </w:r>
      <w:r w:rsidR="00AA611B" w:rsidRPr="00AA611B">
        <w:rPr>
          <w:rFonts w:ascii="Arial" w:hAnsi="Arial" w:cs="Arial"/>
          <w:sz w:val="22"/>
          <w:szCs w:val="22"/>
        </w:rPr>
        <w:t>efer to the section</w:t>
      </w:r>
      <w:r w:rsidR="00AA611B">
        <w:rPr>
          <w:rFonts w:ascii="Arial" w:hAnsi="Arial" w:cs="Arial"/>
          <w:sz w:val="22"/>
          <w:szCs w:val="22"/>
        </w:rPr>
        <w:t xml:space="preserve"> </w:t>
      </w:r>
      <w:hyperlink w:anchor="_Reporting_on_non-compliance_1" w:history="1">
        <w:r w:rsidR="00AA611B" w:rsidRPr="00AA611B">
          <w:rPr>
            <w:rStyle w:val="Hyperlink"/>
            <w:rFonts w:ascii="Arial" w:hAnsi="Arial" w:cs="Arial"/>
            <w:sz w:val="22"/>
            <w:szCs w:val="22"/>
          </w:rPr>
          <w:t>Reporting on non-compliance by both an auditor and a board of trustees of a medical scheme</w:t>
        </w:r>
      </w:hyperlink>
      <w:r w:rsidR="00AA611B" w:rsidRPr="00AA611B">
        <w:rPr>
          <w:rFonts w:ascii="Arial" w:hAnsi="Arial" w:cs="Arial"/>
          <w:sz w:val="22"/>
          <w:szCs w:val="22"/>
        </w:rPr>
        <w:t>.</w:t>
      </w:r>
    </w:p>
    <w:p w:rsidR="0008215B" w:rsidRPr="00F463BC" w:rsidRDefault="0008215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considers the following laws and regulations which are particularly applicable to a medical scheme: </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 xml:space="preserve">Medical Schemes Act and </w:t>
      </w:r>
      <w:r w:rsidR="00D4343E">
        <w:rPr>
          <w:rFonts w:ascii="Arial" w:hAnsi="Arial" w:cs="Arial"/>
          <w:sz w:val="22"/>
          <w:szCs w:val="22"/>
        </w:rPr>
        <w:t xml:space="preserve">related </w:t>
      </w:r>
      <w:r w:rsidRPr="00F463BC">
        <w:rPr>
          <w:rFonts w:ascii="Arial" w:hAnsi="Arial" w:cs="Arial"/>
          <w:sz w:val="22"/>
          <w:szCs w:val="22"/>
        </w:rPr>
        <w:t>Regulations. Ref</w:t>
      </w:r>
      <w:r w:rsidR="00156E9F" w:rsidRPr="00F463BC">
        <w:rPr>
          <w:rFonts w:ascii="Arial" w:hAnsi="Arial" w:cs="Arial"/>
          <w:sz w:val="22"/>
          <w:szCs w:val="22"/>
        </w:rPr>
        <w:t xml:space="preserve">er to </w:t>
      </w:r>
      <w:hyperlink w:anchor="_Appendix_3_–_1" w:history="1">
        <w:r w:rsidR="0079390C" w:rsidRPr="00F463BC">
          <w:rPr>
            <w:rStyle w:val="Hyperlink"/>
            <w:rFonts w:ascii="Arial" w:hAnsi="Arial" w:cs="Arial"/>
            <w:sz w:val="22"/>
            <w:szCs w:val="22"/>
          </w:rPr>
          <w:t>Appendix 3 – Extracts from and commentary on the Medical Schemes Act and Regulations</w:t>
        </w:r>
      </w:hyperlink>
      <w:r w:rsidR="0079390C" w:rsidRPr="00F463BC">
        <w:rPr>
          <w:rFonts w:ascii="Arial" w:hAnsi="Arial" w:cs="Arial"/>
          <w:sz w:val="22"/>
          <w:szCs w:val="22"/>
        </w:rPr>
        <w:t xml:space="preserve">. </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Circulars issued by the Council. Refer to</w:t>
      </w:r>
      <w:r w:rsidR="00C26A5A" w:rsidRPr="00F463BC">
        <w:rPr>
          <w:rFonts w:ascii="Arial" w:hAnsi="Arial" w:cs="Arial"/>
          <w:sz w:val="22"/>
          <w:szCs w:val="22"/>
        </w:rPr>
        <w:t xml:space="preserve"> </w:t>
      </w:r>
      <w:hyperlink w:anchor="_Appendix_2_–" w:history="1">
        <w:r w:rsidR="00C26A5A" w:rsidRPr="00F463BC">
          <w:rPr>
            <w:rStyle w:val="Hyperlink"/>
            <w:rFonts w:ascii="Arial" w:hAnsi="Arial" w:cs="Arial"/>
            <w:sz w:val="22"/>
            <w:szCs w:val="22"/>
          </w:rPr>
          <w:t>Appendix 4 – Circulars relevant to financial statements</w:t>
        </w:r>
      </w:hyperlink>
      <w:r w:rsidR="00C26A5A" w:rsidRPr="00F463BC">
        <w:rPr>
          <w:rFonts w:ascii="Arial" w:hAnsi="Arial" w:cs="Arial"/>
          <w:sz w:val="22"/>
          <w:szCs w:val="22"/>
        </w:rPr>
        <w:t>.</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Companies Act, 2008, as amended;</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Consumer Protection Act, 2008;</w:t>
      </w:r>
    </w:p>
    <w:p w:rsidR="00651E81" w:rsidRPr="00F463BC" w:rsidRDefault="00651E81"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Protection of Personal Information Act 4 of 2013;</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Financial Advisory and Intermediary Services Act, 2002, as amended;</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Financial Intelligence Centre Act, 2001, as amended;</w:t>
      </w:r>
    </w:p>
    <w:p w:rsidR="00EC7A1E" w:rsidRPr="00F463BC" w:rsidRDefault="00EC7A1E"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Financial Institutions (Protection of Funds) Act, 2001;</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 xml:space="preserve">National Credit Act, 2005; </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Prescription Act, 1969, as amended; and</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Trust Property Control Act, 1988, as amended.</w:t>
      </w:r>
    </w:p>
    <w:p w:rsidR="0008215B" w:rsidRPr="00F463BC" w:rsidRDefault="0008215B" w:rsidP="00B82F08">
      <w:pPr>
        <w:pStyle w:val="Bulletnrs"/>
        <w:numPr>
          <w:ilvl w:val="0"/>
          <w:numId w:val="0"/>
        </w:numPr>
        <w:spacing w:before="0" w:line="271" w:lineRule="auto"/>
        <w:ind w:left="567"/>
        <w:rPr>
          <w:rFonts w:ascii="Arial" w:hAnsi="Arial" w:cs="Arial"/>
          <w:i/>
          <w:sz w:val="22"/>
          <w:szCs w:val="22"/>
        </w:rPr>
      </w:pPr>
      <w:r w:rsidRPr="00F463BC">
        <w:rPr>
          <w:rFonts w:ascii="Arial" w:hAnsi="Arial" w:cs="Arial"/>
          <w:i/>
          <w:sz w:val="22"/>
          <w:szCs w:val="22"/>
        </w:rPr>
        <w:t>This list is not necessarily exhaustive</w:t>
      </w:r>
      <w:r w:rsidR="00585F9F" w:rsidRPr="00F463BC">
        <w:rPr>
          <w:rFonts w:ascii="Arial" w:hAnsi="Arial" w:cs="Arial"/>
          <w:i/>
          <w:sz w:val="22"/>
          <w:szCs w:val="22"/>
        </w:rPr>
        <w:t>, and has been compiled to the date that this Guide was issued. For legislative changes after the date of issue of this Guide, refer to the websites of the relevant regulators.</w:t>
      </w:r>
    </w:p>
    <w:p w:rsidR="0008215B" w:rsidRPr="00F463BC" w:rsidRDefault="0008215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scheme may appoint a compliance officer to establish policies and procedures to ensure compliance with laws,</w:t>
      </w:r>
      <w:r w:rsidR="00591BD4" w:rsidRPr="00F463BC">
        <w:rPr>
          <w:rFonts w:ascii="Arial" w:hAnsi="Arial" w:cs="Arial"/>
          <w:sz w:val="22"/>
          <w:szCs w:val="22"/>
        </w:rPr>
        <w:t xml:space="preserve"> the R</w:t>
      </w:r>
      <w:r w:rsidRPr="00F463BC">
        <w:rPr>
          <w:rFonts w:ascii="Arial" w:hAnsi="Arial" w:cs="Arial"/>
          <w:sz w:val="22"/>
          <w:szCs w:val="22"/>
        </w:rPr>
        <w:t>egulations</w:t>
      </w:r>
      <w:r w:rsidR="00591BD4" w:rsidRPr="00F463BC">
        <w:rPr>
          <w:rFonts w:ascii="Arial" w:hAnsi="Arial" w:cs="Arial"/>
          <w:sz w:val="22"/>
          <w:szCs w:val="22"/>
        </w:rPr>
        <w:t>, the Circulars</w:t>
      </w:r>
      <w:r w:rsidRPr="00F463BC">
        <w:rPr>
          <w:rFonts w:ascii="Arial" w:hAnsi="Arial" w:cs="Arial"/>
          <w:sz w:val="22"/>
          <w:szCs w:val="22"/>
        </w:rPr>
        <w:t xml:space="preserve"> and the </w:t>
      </w:r>
      <w:r w:rsidR="00EA3C6A" w:rsidRPr="00F463BC">
        <w:rPr>
          <w:rFonts w:ascii="Arial" w:hAnsi="Arial" w:cs="Arial"/>
          <w:sz w:val="22"/>
          <w:szCs w:val="22"/>
        </w:rPr>
        <w:t>Rule</w:t>
      </w:r>
      <w:r w:rsidRPr="00F463BC">
        <w:rPr>
          <w:rFonts w:ascii="Arial" w:hAnsi="Arial" w:cs="Arial"/>
          <w:sz w:val="22"/>
          <w:szCs w:val="22"/>
        </w:rPr>
        <w:t>s.</w:t>
      </w:r>
      <w:r w:rsidR="00C64B62">
        <w:rPr>
          <w:rFonts w:ascii="Arial" w:hAnsi="Arial" w:cs="Arial"/>
          <w:sz w:val="22"/>
          <w:szCs w:val="22"/>
        </w:rPr>
        <w:t xml:space="preserve"> Certain medical schemes may also rely on the compliance functions at the administrator.</w:t>
      </w:r>
    </w:p>
    <w:p w:rsidR="0008215B" w:rsidRPr="00F463BC" w:rsidRDefault="00F43482" w:rsidP="004D6221">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Per section 3</w:t>
      </w:r>
      <w:r w:rsidR="00FC5E9E" w:rsidRPr="00F463BC">
        <w:rPr>
          <w:rFonts w:ascii="Arial" w:hAnsi="Arial" w:cs="Arial"/>
          <w:sz w:val="22"/>
          <w:szCs w:val="22"/>
        </w:rPr>
        <w:t>6</w:t>
      </w:r>
      <w:r w:rsidRPr="00F463BC">
        <w:rPr>
          <w:rFonts w:ascii="Arial" w:hAnsi="Arial" w:cs="Arial"/>
          <w:sz w:val="22"/>
          <w:szCs w:val="22"/>
        </w:rPr>
        <w:t>(5)(a) of the Act, i</w:t>
      </w:r>
      <w:r w:rsidR="0008215B" w:rsidRPr="00F463BC">
        <w:rPr>
          <w:rFonts w:ascii="Arial" w:hAnsi="Arial" w:cs="Arial"/>
          <w:sz w:val="22"/>
          <w:szCs w:val="22"/>
        </w:rPr>
        <w:t>f an auditor reports a reportable irregularity to the IRBA in terms of section 45 of the Auditing Profession Act</w:t>
      </w:r>
      <w:r w:rsidRPr="00F463BC">
        <w:rPr>
          <w:rFonts w:ascii="Arial" w:hAnsi="Arial" w:cs="Arial"/>
          <w:sz w:val="22"/>
          <w:szCs w:val="22"/>
        </w:rPr>
        <w:t>,</w:t>
      </w:r>
      <w:r w:rsidR="0008215B" w:rsidRPr="00F463BC" w:rsidDel="00770C7D">
        <w:rPr>
          <w:rFonts w:ascii="Arial" w:hAnsi="Arial" w:cs="Arial"/>
          <w:sz w:val="22"/>
          <w:szCs w:val="22"/>
        </w:rPr>
        <w:t xml:space="preserve"> </w:t>
      </w:r>
      <w:r w:rsidR="0008215B" w:rsidRPr="00F463BC">
        <w:rPr>
          <w:rFonts w:ascii="Arial" w:hAnsi="Arial" w:cs="Arial"/>
          <w:sz w:val="22"/>
          <w:szCs w:val="22"/>
        </w:rPr>
        <w:t xml:space="preserve">that auditor is required to submit the same report to the Registrar. </w:t>
      </w:r>
      <w:r w:rsidR="004D6221" w:rsidRPr="00F463BC">
        <w:rPr>
          <w:rFonts w:ascii="Arial" w:hAnsi="Arial" w:cs="Arial"/>
          <w:sz w:val="22"/>
          <w:szCs w:val="22"/>
        </w:rPr>
        <w:t xml:space="preserve">Refer to the section </w:t>
      </w:r>
      <w:hyperlink w:anchor="_Reporting_on_reportable" w:history="1">
        <w:r w:rsidR="004D6221" w:rsidRPr="00F463BC">
          <w:rPr>
            <w:rStyle w:val="Hyperlink"/>
            <w:rFonts w:ascii="Arial" w:hAnsi="Arial" w:cs="Arial"/>
            <w:sz w:val="22"/>
            <w:szCs w:val="22"/>
          </w:rPr>
          <w:t>Reporting on reportable irregularities</w:t>
        </w:r>
      </w:hyperlink>
      <w:r w:rsidR="004D6221" w:rsidRPr="00F463BC">
        <w:rPr>
          <w:rFonts w:ascii="Arial" w:hAnsi="Arial" w:cs="Arial"/>
          <w:sz w:val="22"/>
          <w:szCs w:val="22"/>
        </w:rPr>
        <w:t>.</w:t>
      </w:r>
      <w:r w:rsidR="0008215B" w:rsidRPr="00F463BC">
        <w:rPr>
          <w:rFonts w:ascii="Arial" w:hAnsi="Arial" w:cs="Arial"/>
          <w:sz w:val="22"/>
          <w:szCs w:val="22"/>
        </w:rPr>
        <w:t xml:space="preserve"> </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3798E" w:rsidRPr="00F463BC" w:rsidRDefault="0073798E" w:rsidP="00B82F08">
      <w:pPr>
        <w:pStyle w:val="Heading1"/>
        <w:keepNext/>
        <w:spacing w:line="271" w:lineRule="auto"/>
      </w:pPr>
      <w:bookmarkStart w:id="48" w:name="_Identifying_and_assessing"/>
      <w:bookmarkStart w:id="49" w:name="_Part_A_–"/>
      <w:bookmarkStart w:id="50" w:name="_Part_B_–"/>
      <w:bookmarkStart w:id="51" w:name="_Part_C_–"/>
      <w:bookmarkStart w:id="52" w:name="_Part_D_–"/>
      <w:bookmarkStart w:id="53" w:name="_Risk_assessment_considerations"/>
      <w:bookmarkStart w:id="54" w:name="_Risk_assessment"/>
      <w:bookmarkStart w:id="55" w:name="_Ref299642083"/>
      <w:bookmarkStart w:id="56" w:name="_Toc300572955"/>
      <w:bookmarkStart w:id="57" w:name="_Toc304897902"/>
      <w:bookmarkStart w:id="58" w:name="_Toc305083350"/>
      <w:bookmarkStart w:id="59" w:name="_Toc455582211"/>
      <w:bookmarkEnd w:id="42"/>
      <w:bookmarkEnd w:id="43"/>
      <w:bookmarkEnd w:id="44"/>
      <w:bookmarkEnd w:id="48"/>
      <w:bookmarkEnd w:id="49"/>
      <w:bookmarkEnd w:id="50"/>
      <w:bookmarkEnd w:id="51"/>
      <w:bookmarkEnd w:id="52"/>
      <w:bookmarkEnd w:id="53"/>
      <w:bookmarkEnd w:id="54"/>
      <w:r w:rsidRPr="00F463BC">
        <w:lastRenderedPageBreak/>
        <w:t>Risk assessment</w:t>
      </w:r>
      <w:bookmarkEnd w:id="55"/>
      <w:bookmarkEnd w:id="56"/>
      <w:bookmarkEnd w:id="57"/>
      <w:bookmarkEnd w:id="58"/>
      <w:bookmarkEnd w:id="59"/>
    </w:p>
    <w:p w:rsidR="006E6E3A" w:rsidRPr="00944A95" w:rsidRDefault="006E6E3A" w:rsidP="00B82F08">
      <w:pPr>
        <w:pStyle w:val="Bulletnrs"/>
        <w:keepNext/>
        <w:tabs>
          <w:tab w:val="left" w:pos="567"/>
        </w:tabs>
        <w:spacing w:before="0" w:line="271" w:lineRule="auto"/>
        <w:ind w:left="567" w:hanging="567"/>
        <w:rPr>
          <w:rFonts w:ascii="Arial" w:hAnsi="Arial" w:cs="Arial"/>
          <w:sz w:val="22"/>
          <w:szCs w:val="22"/>
        </w:rPr>
      </w:pPr>
      <w:bookmarkStart w:id="60" w:name="_Toc300572956"/>
      <w:bookmarkStart w:id="61" w:name="_Toc304897903"/>
      <w:bookmarkStart w:id="62" w:name="_Toc305083351"/>
      <w:r w:rsidRPr="00944A95">
        <w:rPr>
          <w:rFonts w:ascii="Arial" w:hAnsi="Arial" w:cs="Arial"/>
          <w:sz w:val="22"/>
          <w:szCs w:val="22"/>
        </w:rPr>
        <w:t xml:space="preserve">An auditor </w:t>
      </w:r>
      <w:r w:rsidR="00692E7F">
        <w:rPr>
          <w:rFonts w:ascii="Arial" w:hAnsi="Arial" w:cs="Arial"/>
          <w:sz w:val="22"/>
          <w:szCs w:val="22"/>
        </w:rPr>
        <w:t>applies</w:t>
      </w:r>
      <w:r w:rsidRPr="00944A95">
        <w:rPr>
          <w:rFonts w:ascii="Arial" w:hAnsi="Arial" w:cs="Arial"/>
          <w:sz w:val="22"/>
          <w:szCs w:val="22"/>
        </w:rPr>
        <w:t xml:space="preserve"> ISA 315, </w:t>
      </w:r>
      <w:r w:rsidRPr="00944A95">
        <w:rPr>
          <w:rFonts w:ascii="Arial" w:hAnsi="Arial" w:cs="Arial"/>
          <w:i/>
          <w:sz w:val="22"/>
          <w:szCs w:val="22"/>
        </w:rPr>
        <w:t>Identifying and Assessing the Risks of Material Misstatement through Understanding the Entity and Its Environment.</w:t>
      </w:r>
    </w:p>
    <w:p w:rsidR="00896D58" w:rsidRPr="00F463BC" w:rsidRDefault="00896D58"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2_–_2" w:history="1">
        <w:r w:rsidRPr="00F463BC">
          <w:rPr>
            <w:rStyle w:val="Hyperlink"/>
            <w:rFonts w:ascii="Arial" w:hAnsi="Arial" w:cs="Arial"/>
            <w:sz w:val="22"/>
            <w:szCs w:val="22"/>
          </w:rPr>
          <w:t>Appendix 2 – Understanding the business of a medical scheme</w:t>
        </w:r>
      </w:hyperlink>
      <w:r w:rsidRPr="00F463BC">
        <w:rPr>
          <w:rFonts w:ascii="Arial" w:hAnsi="Arial" w:cs="Arial"/>
          <w:sz w:val="22"/>
          <w:szCs w:val="22"/>
        </w:rPr>
        <w:t>.</w:t>
      </w:r>
    </w:p>
    <w:p w:rsidR="00D86B9A" w:rsidRPr="00F463BC" w:rsidRDefault="008171CE" w:rsidP="00896D58">
      <w:pPr>
        <w:pStyle w:val="Bulletnrs"/>
        <w:keepNext/>
        <w:tabs>
          <w:tab w:val="left" w:pos="567"/>
        </w:tabs>
        <w:spacing w:before="0" w:line="271" w:lineRule="auto"/>
        <w:ind w:left="567" w:hanging="567"/>
        <w:rPr>
          <w:rFonts w:ascii="Arial" w:hAnsi="Arial" w:cs="Arial"/>
          <w:sz w:val="22"/>
          <w:szCs w:val="22"/>
        </w:rPr>
      </w:pPr>
      <w:r>
        <w:rPr>
          <w:rFonts w:ascii="Arial" w:hAnsi="Arial" w:cs="Arial"/>
          <w:sz w:val="22"/>
          <w:szCs w:val="22"/>
        </w:rPr>
        <w:t>An auditor obtains</w:t>
      </w:r>
      <w:r w:rsidR="00D86B9A" w:rsidRPr="00F463BC">
        <w:rPr>
          <w:rFonts w:ascii="Arial" w:hAnsi="Arial" w:cs="Arial"/>
          <w:sz w:val="22"/>
          <w:szCs w:val="22"/>
        </w:rPr>
        <w:t xml:space="preserve"> an understanding of the </w:t>
      </w:r>
      <w:r w:rsidR="009F2FFB" w:rsidRPr="00F463BC">
        <w:rPr>
          <w:rFonts w:ascii="Arial" w:hAnsi="Arial" w:cs="Arial"/>
          <w:sz w:val="22"/>
          <w:szCs w:val="22"/>
        </w:rPr>
        <w:t xml:space="preserve">medical scheme </w:t>
      </w:r>
      <w:r w:rsidR="00D86B9A" w:rsidRPr="00F463BC">
        <w:rPr>
          <w:rFonts w:ascii="Arial" w:hAnsi="Arial" w:cs="Arial"/>
          <w:sz w:val="22"/>
          <w:szCs w:val="22"/>
        </w:rPr>
        <w:t>and its environment and identif</w:t>
      </w:r>
      <w:r>
        <w:rPr>
          <w:rFonts w:ascii="Arial" w:hAnsi="Arial" w:cs="Arial"/>
          <w:sz w:val="22"/>
          <w:szCs w:val="22"/>
        </w:rPr>
        <w:t>ies</w:t>
      </w:r>
      <w:r w:rsidR="00D86B9A" w:rsidRPr="00F463BC">
        <w:rPr>
          <w:rFonts w:ascii="Arial" w:hAnsi="Arial" w:cs="Arial"/>
          <w:sz w:val="22"/>
          <w:szCs w:val="22"/>
        </w:rPr>
        <w:t xml:space="preserve"> and assess</w:t>
      </w:r>
      <w:r>
        <w:rPr>
          <w:rFonts w:ascii="Arial" w:hAnsi="Arial" w:cs="Arial"/>
          <w:sz w:val="22"/>
          <w:szCs w:val="22"/>
        </w:rPr>
        <w:t>es</w:t>
      </w:r>
      <w:r w:rsidR="00D86B9A" w:rsidRPr="00F463BC">
        <w:rPr>
          <w:rFonts w:ascii="Arial" w:hAnsi="Arial" w:cs="Arial"/>
          <w:sz w:val="22"/>
          <w:szCs w:val="22"/>
        </w:rPr>
        <w:t xml:space="preserve"> risks of material misstatement</w:t>
      </w:r>
      <w:r>
        <w:rPr>
          <w:rFonts w:ascii="Arial" w:hAnsi="Arial" w:cs="Arial"/>
          <w:sz w:val="22"/>
          <w:szCs w:val="22"/>
        </w:rPr>
        <w:t>.</w:t>
      </w:r>
    </w:p>
    <w:p w:rsidR="00753A17" w:rsidRPr="00F463BC" w:rsidRDefault="00753A17" w:rsidP="00B82F08">
      <w:pPr>
        <w:pStyle w:val="Bulletnrs"/>
        <w:keepNext/>
        <w:numPr>
          <w:ilvl w:val="0"/>
          <w:numId w:val="0"/>
        </w:numPr>
        <w:tabs>
          <w:tab w:val="left" w:pos="567"/>
        </w:tabs>
        <w:spacing w:before="0" w:line="271" w:lineRule="auto"/>
        <w:ind w:left="567"/>
        <w:rPr>
          <w:rFonts w:ascii="Arial" w:hAnsi="Arial" w:cs="Arial"/>
          <w:sz w:val="22"/>
          <w:szCs w:val="22"/>
        </w:rPr>
      </w:pPr>
    </w:p>
    <w:p w:rsidR="00342888" w:rsidRPr="00F463BC" w:rsidRDefault="00CF77A2" w:rsidP="00B82F08">
      <w:pPr>
        <w:pStyle w:val="Heading2"/>
        <w:keepNext/>
        <w:spacing w:before="0" w:line="271" w:lineRule="auto"/>
      </w:pPr>
      <w:bookmarkStart w:id="63" w:name="_Toc455582212"/>
      <w:r w:rsidRPr="00F463BC">
        <w:t>IT control environment</w:t>
      </w:r>
      <w:bookmarkEnd w:id="60"/>
      <w:bookmarkEnd w:id="61"/>
      <w:bookmarkEnd w:id="62"/>
      <w:bookmarkEnd w:id="63"/>
    </w:p>
    <w:p w:rsidR="00274463" w:rsidRPr="00F463BC" w:rsidRDefault="001234DF"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Due to the complexity of the</w:t>
      </w:r>
      <w:r w:rsidR="00342888" w:rsidRPr="00F463BC">
        <w:rPr>
          <w:rFonts w:ascii="Arial" w:hAnsi="Arial" w:cs="Arial"/>
          <w:sz w:val="22"/>
          <w:szCs w:val="22"/>
        </w:rPr>
        <w:t xml:space="preserve"> </w:t>
      </w:r>
      <w:r w:rsidR="00274463" w:rsidRPr="00F463BC">
        <w:rPr>
          <w:rFonts w:ascii="Arial" w:hAnsi="Arial" w:cs="Arial"/>
          <w:sz w:val="22"/>
          <w:szCs w:val="22"/>
        </w:rPr>
        <w:t xml:space="preserve">business of a </w:t>
      </w:r>
      <w:r w:rsidR="00342888" w:rsidRPr="00F463BC">
        <w:rPr>
          <w:rFonts w:ascii="Arial" w:hAnsi="Arial" w:cs="Arial"/>
          <w:sz w:val="22"/>
          <w:szCs w:val="22"/>
        </w:rPr>
        <w:t>medical scheme</w:t>
      </w:r>
      <w:r w:rsidR="00274463" w:rsidRPr="00F463BC">
        <w:rPr>
          <w:rFonts w:ascii="Arial" w:hAnsi="Arial" w:cs="Arial"/>
          <w:sz w:val="22"/>
          <w:szCs w:val="22"/>
        </w:rPr>
        <w:t xml:space="preserve"> and the volume of transactions</w:t>
      </w:r>
      <w:r w:rsidRPr="00F463BC">
        <w:rPr>
          <w:rFonts w:ascii="Arial" w:hAnsi="Arial" w:cs="Arial"/>
          <w:sz w:val="22"/>
          <w:szCs w:val="22"/>
        </w:rPr>
        <w:t xml:space="preserve">, reliance is placed </w:t>
      </w:r>
      <w:r w:rsidR="00274463" w:rsidRPr="00F463BC">
        <w:rPr>
          <w:rFonts w:ascii="Arial" w:hAnsi="Arial" w:cs="Arial"/>
          <w:sz w:val="22"/>
          <w:szCs w:val="22"/>
        </w:rPr>
        <w:t xml:space="preserve">almost entirely </w:t>
      </w:r>
      <w:r w:rsidRPr="00F463BC">
        <w:rPr>
          <w:rFonts w:ascii="Arial" w:hAnsi="Arial" w:cs="Arial"/>
          <w:sz w:val="22"/>
          <w:szCs w:val="22"/>
        </w:rPr>
        <w:t>on the</w:t>
      </w:r>
      <w:r w:rsidR="00342888" w:rsidRPr="00F463BC">
        <w:rPr>
          <w:rFonts w:ascii="Arial" w:hAnsi="Arial" w:cs="Arial"/>
          <w:sz w:val="22"/>
          <w:szCs w:val="22"/>
        </w:rPr>
        <w:t xml:space="preserve"> IT infrastructure</w:t>
      </w:r>
      <w:r w:rsidRPr="00F463BC">
        <w:rPr>
          <w:rFonts w:ascii="Arial" w:hAnsi="Arial" w:cs="Arial"/>
          <w:sz w:val="22"/>
          <w:szCs w:val="22"/>
        </w:rPr>
        <w:t>, which poses risk of material misstatement</w:t>
      </w:r>
      <w:r w:rsidR="009F2FFB" w:rsidRPr="00F463BC">
        <w:rPr>
          <w:rFonts w:ascii="Arial" w:hAnsi="Arial" w:cs="Arial"/>
          <w:sz w:val="22"/>
          <w:szCs w:val="22"/>
        </w:rPr>
        <w:t xml:space="preserve"> and misappropriation of medical scheme assets</w:t>
      </w:r>
      <w:r w:rsidRPr="00F463BC">
        <w:rPr>
          <w:rFonts w:ascii="Arial" w:hAnsi="Arial" w:cs="Arial"/>
          <w:sz w:val="22"/>
          <w:szCs w:val="22"/>
        </w:rPr>
        <w:t xml:space="preserve"> if the IT </w:t>
      </w:r>
      <w:r w:rsidR="0012743D" w:rsidRPr="00F463BC">
        <w:rPr>
          <w:rFonts w:ascii="Arial" w:hAnsi="Arial" w:cs="Arial"/>
          <w:sz w:val="22"/>
          <w:szCs w:val="22"/>
        </w:rPr>
        <w:t xml:space="preserve">control environment </w:t>
      </w:r>
      <w:r w:rsidRPr="00F463BC">
        <w:rPr>
          <w:rFonts w:ascii="Arial" w:hAnsi="Arial" w:cs="Arial"/>
          <w:sz w:val="22"/>
          <w:szCs w:val="22"/>
        </w:rPr>
        <w:t xml:space="preserve">is not </w:t>
      </w:r>
      <w:r w:rsidR="00274463" w:rsidRPr="00F463BC">
        <w:rPr>
          <w:rFonts w:ascii="Arial" w:hAnsi="Arial" w:cs="Arial"/>
          <w:sz w:val="22"/>
          <w:szCs w:val="22"/>
        </w:rPr>
        <w:t>effective.</w:t>
      </w:r>
    </w:p>
    <w:p w:rsidR="00342888" w:rsidRPr="00F463BC" w:rsidRDefault="001234DF"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IT risks arise from manual and electronic interventions.</w:t>
      </w:r>
      <w:r w:rsidR="00342888" w:rsidRPr="00F463BC">
        <w:rPr>
          <w:rFonts w:ascii="Arial" w:hAnsi="Arial" w:cs="Arial"/>
          <w:sz w:val="22"/>
          <w:szCs w:val="22"/>
        </w:rPr>
        <w:t xml:space="preserve"> </w:t>
      </w:r>
      <w:r w:rsidR="005D1060" w:rsidRPr="00F463BC">
        <w:rPr>
          <w:rFonts w:ascii="Arial" w:hAnsi="Arial" w:cs="Arial"/>
          <w:sz w:val="22"/>
          <w:szCs w:val="22"/>
        </w:rPr>
        <w:t xml:space="preserve">An </w:t>
      </w:r>
      <w:r w:rsidR="00342888" w:rsidRPr="00F463BC">
        <w:rPr>
          <w:rFonts w:ascii="Arial" w:hAnsi="Arial" w:cs="Arial"/>
          <w:sz w:val="22"/>
          <w:szCs w:val="22"/>
        </w:rPr>
        <w:t>auditor consider</w:t>
      </w:r>
      <w:r w:rsidR="00274463" w:rsidRPr="00F463BC">
        <w:rPr>
          <w:rFonts w:ascii="Arial" w:hAnsi="Arial" w:cs="Arial"/>
          <w:sz w:val="22"/>
          <w:szCs w:val="22"/>
        </w:rPr>
        <w:t>s</w:t>
      </w:r>
      <w:r w:rsidR="00342888" w:rsidRPr="00F463BC">
        <w:rPr>
          <w:rFonts w:ascii="Arial" w:hAnsi="Arial" w:cs="Arial"/>
          <w:sz w:val="22"/>
          <w:szCs w:val="22"/>
        </w:rPr>
        <w:t xml:space="preserve"> the robustness of the IT environment and </w:t>
      </w:r>
      <w:r w:rsidR="00274463" w:rsidRPr="00F463BC">
        <w:rPr>
          <w:rFonts w:ascii="Arial" w:hAnsi="Arial" w:cs="Arial"/>
          <w:sz w:val="22"/>
          <w:szCs w:val="22"/>
        </w:rPr>
        <w:t>the</w:t>
      </w:r>
      <w:r w:rsidR="00342888" w:rsidRPr="00F463BC">
        <w:rPr>
          <w:rFonts w:ascii="Arial" w:hAnsi="Arial" w:cs="Arial"/>
          <w:sz w:val="22"/>
          <w:szCs w:val="22"/>
        </w:rPr>
        <w:t xml:space="preserve"> extent </w:t>
      </w:r>
      <w:r w:rsidR="00274463" w:rsidRPr="00F463BC">
        <w:rPr>
          <w:rFonts w:ascii="Arial" w:hAnsi="Arial" w:cs="Arial"/>
          <w:sz w:val="22"/>
          <w:szCs w:val="22"/>
        </w:rPr>
        <w:t xml:space="preserve">to which </w:t>
      </w:r>
      <w:r w:rsidR="00342888" w:rsidRPr="00F463BC">
        <w:rPr>
          <w:rFonts w:ascii="Arial" w:hAnsi="Arial" w:cs="Arial"/>
          <w:sz w:val="22"/>
          <w:szCs w:val="22"/>
        </w:rPr>
        <w:t>different platforms interface.</w:t>
      </w:r>
    </w:p>
    <w:p w:rsidR="00DB630D" w:rsidRPr="00F463BC" w:rsidRDefault="00721B9A"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I</w:t>
      </w:r>
      <w:r w:rsidR="00EF017F" w:rsidRPr="00F463BC">
        <w:rPr>
          <w:rFonts w:ascii="Arial" w:hAnsi="Arial" w:cs="Arial"/>
          <w:sz w:val="22"/>
          <w:szCs w:val="22"/>
        </w:rPr>
        <w:t>t is essential that reconciliation</w:t>
      </w:r>
      <w:r w:rsidR="007542B5" w:rsidRPr="00F463BC">
        <w:rPr>
          <w:rFonts w:ascii="Arial" w:hAnsi="Arial" w:cs="Arial"/>
          <w:sz w:val="22"/>
          <w:szCs w:val="22"/>
        </w:rPr>
        <w:t>s</w:t>
      </w:r>
      <w:r w:rsidR="00EF017F" w:rsidRPr="00F463BC">
        <w:rPr>
          <w:rFonts w:ascii="Arial" w:hAnsi="Arial" w:cs="Arial"/>
          <w:sz w:val="22"/>
          <w:szCs w:val="22"/>
        </w:rPr>
        <w:t xml:space="preserve"> be performed </w:t>
      </w:r>
      <w:r w:rsidR="0012743D" w:rsidRPr="00F463BC">
        <w:rPr>
          <w:rFonts w:ascii="Arial" w:hAnsi="Arial" w:cs="Arial"/>
          <w:sz w:val="22"/>
          <w:szCs w:val="22"/>
        </w:rPr>
        <w:t>on a regular basis</w:t>
      </w:r>
      <w:r w:rsidR="00EF017F" w:rsidRPr="00F463BC">
        <w:rPr>
          <w:rFonts w:ascii="Arial" w:hAnsi="Arial" w:cs="Arial"/>
          <w:sz w:val="22"/>
          <w:szCs w:val="22"/>
        </w:rPr>
        <w:t xml:space="preserve">. Reconciliations not performed and </w:t>
      </w:r>
      <w:r w:rsidR="009F2FFB" w:rsidRPr="00F463BC">
        <w:rPr>
          <w:rFonts w:ascii="Arial" w:hAnsi="Arial" w:cs="Arial"/>
          <w:sz w:val="22"/>
          <w:szCs w:val="22"/>
        </w:rPr>
        <w:t xml:space="preserve">reviewed </w:t>
      </w:r>
      <w:r w:rsidR="00EF017F" w:rsidRPr="00F463BC">
        <w:rPr>
          <w:rFonts w:ascii="Arial" w:hAnsi="Arial" w:cs="Arial"/>
          <w:sz w:val="22"/>
          <w:szCs w:val="22"/>
        </w:rPr>
        <w:t xml:space="preserve">on a </w:t>
      </w:r>
      <w:r w:rsidR="00274463" w:rsidRPr="00F463BC">
        <w:rPr>
          <w:rFonts w:ascii="Arial" w:hAnsi="Arial" w:cs="Arial"/>
          <w:sz w:val="22"/>
          <w:szCs w:val="22"/>
        </w:rPr>
        <w:t xml:space="preserve">monthly </w:t>
      </w:r>
      <w:r w:rsidR="00EF017F" w:rsidRPr="00F463BC">
        <w:rPr>
          <w:rFonts w:ascii="Arial" w:hAnsi="Arial" w:cs="Arial"/>
          <w:sz w:val="22"/>
          <w:szCs w:val="22"/>
        </w:rPr>
        <w:t xml:space="preserve">basis </w:t>
      </w:r>
      <w:r w:rsidR="00274463" w:rsidRPr="00F463BC">
        <w:rPr>
          <w:rFonts w:ascii="Arial" w:hAnsi="Arial" w:cs="Arial"/>
          <w:sz w:val="22"/>
          <w:szCs w:val="22"/>
        </w:rPr>
        <w:t xml:space="preserve">may constitute inadequate internal </w:t>
      </w:r>
      <w:r w:rsidR="009F2FFB" w:rsidRPr="00F463BC">
        <w:rPr>
          <w:rFonts w:ascii="Arial" w:hAnsi="Arial" w:cs="Arial"/>
          <w:sz w:val="22"/>
          <w:szCs w:val="22"/>
        </w:rPr>
        <w:t xml:space="preserve">financial </w:t>
      </w:r>
      <w:r w:rsidR="00274463" w:rsidRPr="00F463BC">
        <w:rPr>
          <w:rFonts w:ascii="Arial" w:hAnsi="Arial" w:cs="Arial"/>
          <w:sz w:val="22"/>
          <w:szCs w:val="22"/>
        </w:rPr>
        <w:t>control</w:t>
      </w:r>
      <w:r w:rsidR="00781201" w:rsidRPr="00F463BC">
        <w:rPr>
          <w:rFonts w:ascii="Arial" w:hAnsi="Arial" w:cs="Arial"/>
          <w:sz w:val="22"/>
          <w:szCs w:val="22"/>
        </w:rPr>
        <w:t>s</w:t>
      </w:r>
      <w:r w:rsidR="00274463" w:rsidRPr="00F463BC">
        <w:rPr>
          <w:rFonts w:ascii="Arial" w:hAnsi="Arial" w:cs="Arial"/>
          <w:sz w:val="22"/>
          <w:szCs w:val="22"/>
        </w:rPr>
        <w:t xml:space="preserve"> and </w:t>
      </w:r>
      <w:r w:rsidR="00DB630D" w:rsidRPr="00F463BC">
        <w:rPr>
          <w:rFonts w:ascii="Arial" w:hAnsi="Arial" w:cs="Arial"/>
          <w:sz w:val="22"/>
          <w:szCs w:val="22"/>
        </w:rPr>
        <w:t xml:space="preserve">may </w:t>
      </w:r>
      <w:r w:rsidR="00EF017F" w:rsidRPr="00F463BC">
        <w:rPr>
          <w:rFonts w:ascii="Arial" w:hAnsi="Arial" w:cs="Arial"/>
          <w:sz w:val="22"/>
          <w:szCs w:val="22"/>
        </w:rPr>
        <w:t>result in misstatement</w:t>
      </w:r>
      <w:r w:rsidR="009F2FFB" w:rsidRPr="00F463BC">
        <w:rPr>
          <w:rFonts w:ascii="Arial" w:hAnsi="Arial" w:cs="Arial"/>
          <w:sz w:val="22"/>
          <w:szCs w:val="22"/>
        </w:rPr>
        <w:t>s</w:t>
      </w:r>
      <w:r w:rsidR="00EF017F" w:rsidRPr="00F463BC">
        <w:rPr>
          <w:rFonts w:ascii="Arial" w:hAnsi="Arial" w:cs="Arial"/>
          <w:sz w:val="22"/>
          <w:szCs w:val="22"/>
        </w:rPr>
        <w:t xml:space="preserve"> of the financial statements. </w:t>
      </w:r>
    </w:p>
    <w:p w:rsidR="00847E0D" w:rsidRPr="00F463BC" w:rsidRDefault="003A746B" w:rsidP="00DB630D">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Where </w:t>
      </w:r>
      <w:r w:rsidR="008502C2" w:rsidRPr="00F463BC">
        <w:rPr>
          <w:rFonts w:ascii="Arial" w:hAnsi="Arial" w:cs="Arial"/>
          <w:sz w:val="22"/>
          <w:szCs w:val="22"/>
        </w:rPr>
        <w:t>an administrator</w:t>
      </w:r>
      <w:r w:rsidRPr="00F463BC">
        <w:rPr>
          <w:rFonts w:ascii="Arial" w:hAnsi="Arial" w:cs="Arial"/>
          <w:sz w:val="22"/>
          <w:szCs w:val="22"/>
        </w:rPr>
        <w:t xml:space="preserve"> is </w:t>
      </w:r>
      <w:r w:rsidR="001F2AA7" w:rsidRPr="00F463BC">
        <w:rPr>
          <w:rFonts w:ascii="Arial" w:hAnsi="Arial" w:cs="Arial"/>
          <w:sz w:val="22"/>
          <w:szCs w:val="22"/>
        </w:rPr>
        <w:t>appointed</w:t>
      </w:r>
      <w:r w:rsidR="001C10D1" w:rsidRPr="00F463BC">
        <w:rPr>
          <w:rFonts w:ascii="Arial" w:hAnsi="Arial" w:cs="Arial"/>
          <w:sz w:val="22"/>
          <w:szCs w:val="22"/>
        </w:rPr>
        <w:t xml:space="preserve"> that is a service organisation</w:t>
      </w:r>
      <w:r w:rsidRPr="00F463BC">
        <w:rPr>
          <w:rFonts w:ascii="Arial" w:hAnsi="Arial" w:cs="Arial"/>
          <w:sz w:val="22"/>
          <w:szCs w:val="22"/>
        </w:rPr>
        <w:t xml:space="preserve">, the </w:t>
      </w:r>
      <w:r w:rsidR="001C10D1" w:rsidRPr="00F463BC">
        <w:rPr>
          <w:rFonts w:ascii="Arial" w:hAnsi="Arial" w:cs="Arial"/>
          <w:sz w:val="22"/>
          <w:szCs w:val="22"/>
        </w:rPr>
        <w:t xml:space="preserve">relevant controls over the </w:t>
      </w:r>
      <w:r w:rsidRPr="00F463BC">
        <w:rPr>
          <w:rFonts w:ascii="Arial" w:hAnsi="Arial" w:cs="Arial"/>
          <w:sz w:val="22"/>
          <w:szCs w:val="22"/>
        </w:rPr>
        <w:t xml:space="preserve">IT </w:t>
      </w:r>
      <w:r w:rsidR="001C10D1" w:rsidRPr="00F463BC">
        <w:rPr>
          <w:rFonts w:ascii="Arial" w:hAnsi="Arial" w:cs="Arial"/>
          <w:sz w:val="22"/>
          <w:szCs w:val="22"/>
        </w:rPr>
        <w:t xml:space="preserve">infrastructure are subject to the application by </w:t>
      </w:r>
      <w:r w:rsidR="00E12469" w:rsidRPr="00F463BC">
        <w:rPr>
          <w:rFonts w:ascii="Arial" w:hAnsi="Arial" w:cs="Arial"/>
          <w:sz w:val="22"/>
          <w:szCs w:val="22"/>
        </w:rPr>
        <w:t xml:space="preserve">a medical scheme </w:t>
      </w:r>
      <w:r w:rsidR="001C10D1" w:rsidRPr="00F463BC">
        <w:rPr>
          <w:rFonts w:ascii="Arial" w:hAnsi="Arial" w:cs="Arial"/>
          <w:sz w:val="22"/>
          <w:szCs w:val="22"/>
        </w:rPr>
        <w:t>auditor of ISA 402</w:t>
      </w:r>
      <w:r w:rsidR="00741304" w:rsidRPr="00F463BC">
        <w:rPr>
          <w:rStyle w:val="FootnoteReference"/>
          <w:rFonts w:ascii="Arial" w:hAnsi="Arial" w:cs="Arial"/>
          <w:sz w:val="22"/>
          <w:szCs w:val="22"/>
        </w:rPr>
        <w:footnoteReference w:id="10"/>
      </w:r>
      <w:r w:rsidR="001C10D1" w:rsidRPr="00F463BC">
        <w:rPr>
          <w:rFonts w:ascii="Arial" w:hAnsi="Arial" w:cs="Arial"/>
          <w:sz w:val="22"/>
          <w:szCs w:val="22"/>
        </w:rPr>
        <w:t xml:space="preserve"> and </w:t>
      </w:r>
      <w:r w:rsidR="00E12469" w:rsidRPr="00F463BC">
        <w:rPr>
          <w:rFonts w:ascii="Arial" w:hAnsi="Arial" w:cs="Arial"/>
          <w:sz w:val="22"/>
          <w:szCs w:val="22"/>
        </w:rPr>
        <w:t xml:space="preserve">the service auditor of </w:t>
      </w:r>
      <w:r w:rsidRPr="00F463BC">
        <w:rPr>
          <w:rFonts w:ascii="Arial" w:hAnsi="Arial" w:cs="Arial"/>
          <w:sz w:val="22"/>
          <w:szCs w:val="22"/>
        </w:rPr>
        <w:t>ISAE</w:t>
      </w:r>
      <w:r w:rsidR="00A33D1C" w:rsidRPr="00F463BC">
        <w:rPr>
          <w:rFonts w:ascii="Arial" w:hAnsi="Arial" w:cs="Arial"/>
          <w:sz w:val="22"/>
          <w:szCs w:val="22"/>
        </w:rPr>
        <w:t xml:space="preserve"> </w:t>
      </w:r>
      <w:r w:rsidRPr="00F463BC">
        <w:rPr>
          <w:rFonts w:ascii="Arial" w:hAnsi="Arial" w:cs="Arial"/>
          <w:sz w:val="22"/>
          <w:szCs w:val="22"/>
        </w:rPr>
        <w:t>3402</w:t>
      </w:r>
      <w:r w:rsidR="00741304" w:rsidRPr="00F463BC">
        <w:rPr>
          <w:rStyle w:val="FootnoteReference"/>
          <w:rFonts w:ascii="Arial" w:hAnsi="Arial" w:cs="Arial"/>
          <w:sz w:val="22"/>
          <w:szCs w:val="22"/>
        </w:rPr>
        <w:footnoteReference w:id="11"/>
      </w:r>
      <w:r w:rsidR="00043961" w:rsidRPr="00F463BC">
        <w:rPr>
          <w:rFonts w:ascii="Arial" w:hAnsi="Arial" w:cs="Arial"/>
          <w:sz w:val="22"/>
          <w:szCs w:val="22"/>
        </w:rPr>
        <w:t xml:space="preserve"> (when applicable)</w:t>
      </w:r>
      <w:r w:rsidR="001C10D1" w:rsidRPr="00F463BC">
        <w:rPr>
          <w:rFonts w:ascii="Arial" w:hAnsi="Arial" w:cs="Arial"/>
          <w:i/>
          <w:sz w:val="22"/>
          <w:szCs w:val="22"/>
        </w:rPr>
        <w:t xml:space="preserve">. </w:t>
      </w:r>
      <w:r w:rsidRPr="00F463BC">
        <w:rPr>
          <w:rFonts w:ascii="Arial" w:hAnsi="Arial" w:cs="Arial"/>
          <w:sz w:val="22"/>
          <w:szCs w:val="22"/>
        </w:rPr>
        <w:t>The</w:t>
      </w:r>
      <w:r w:rsidR="006C4BD7" w:rsidRPr="00F463BC">
        <w:rPr>
          <w:rFonts w:ascii="Arial" w:hAnsi="Arial" w:cs="Arial"/>
          <w:sz w:val="22"/>
          <w:szCs w:val="22"/>
        </w:rPr>
        <w:t xml:space="preserve"> service auditor</w:t>
      </w:r>
      <w:r w:rsidR="00C030EE" w:rsidRPr="00F463BC">
        <w:rPr>
          <w:rFonts w:ascii="Arial" w:hAnsi="Arial" w:cs="Arial"/>
          <w:sz w:val="22"/>
          <w:szCs w:val="22"/>
        </w:rPr>
        <w:t>’s</w:t>
      </w:r>
      <w:r w:rsidR="006C4BD7" w:rsidRPr="00F463BC">
        <w:rPr>
          <w:rFonts w:ascii="Arial" w:hAnsi="Arial" w:cs="Arial"/>
          <w:sz w:val="22"/>
          <w:szCs w:val="22"/>
        </w:rPr>
        <w:t xml:space="preserve"> </w:t>
      </w:r>
      <w:r w:rsidRPr="00F463BC">
        <w:rPr>
          <w:rFonts w:ascii="Arial" w:hAnsi="Arial" w:cs="Arial"/>
          <w:sz w:val="22"/>
          <w:szCs w:val="22"/>
        </w:rPr>
        <w:t xml:space="preserve">report </w:t>
      </w:r>
      <w:r w:rsidR="00015BC9" w:rsidRPr="00F463BC">
        <w:rPr>
          <w:rFonts w:ascii="Arial" w:hAnsi="Arial" w:cs="Arial"/>
          <w:sz w:val="22"/>
          <w:szCs w:val="22"/>
        </w:rPr>
        <w:t>serves as audit evidence</w:t>
      </w:r>
      <w:r w:rsidR="006C4BD7" w:rsidRPr="00F463BC">
        <w:rPr>
          <w:rFonts w:ascii="Arial" w:hAnsi="Arial" w:cs="Arial"/>
          <w:sz w:val="22"/>
          <w:szCs w:val="22"/>
        </w:rPr>
        <w:t xml:space="preserve"> </w:t>
      </w:r>
      <w:r w:rsidR="00C030EE" w:rsidRPr="00F463BC">
        <w:rPr>
          <w:rFonts w:ascii="Arial" w:hAnsi="Arial" w:cs="Arial"/>
          <w:sz w:val="22"/>
          <w:szCs w:val="22"/>
        </w:rPr>
        <w:t>to the medical scheme auditor</w:t>
      </w:r>
      <w:r w:rsidR="00015BC9" w:rsidRPr="00F463BC">
        <w:rPr>
          <w:rFonts w:ascii="Arial" w:hAnsi="Arial" w:cs="Arial"/>
          <w:sz w:val="22"/>
          <w:szCs w:val="22"/>
        </w:rPr>
        <w:t>.</w:t>
      </w:r>
      <w:r w:rsidRPr="00F463BC">
        <w:rPr>
          <w:rFonts w:ascii="Arial" w:hAnsi="Arial" w:cs="Arial"/>
          <w:sz w:val="22"/>
          <w:szCs w:val="22"/>
        </w:rPr>
        <w:t xml:space="preserve"> Also refer to</w:t>
      </w:r>
      <w:r w:rsidR="00D65A58" w:rsidRPr="00F463BC">
        <w:rPr>
          <w:rFonts w:ascii="Arial" w:hAnsi="Arial" w:cs="Arial"/>
          <w:sz w:val="22"/>
          <w:szCs w:val="22"/>
        </w:rPr>
        <w:t xml:space="preserve"> </w:t>
      </w:r>
      <w:r w:rsidR="00741304" w:rsidRPr="00F463BC">
        <w:rPr>
          <w:rFonts w:ascii="Arial" w:hAnsi="Arial" w:cs="Arial"/>
          <w:sz w:val="22"/>
          <w:szCs w:val="22"/>
        </w:rPr>
        <w:t xml:space="preserve">the section </w:t>
      </w:r>
      <w:hyperlink w:anchor="_Service_organisations" w:history="1">
        <w:r w:rsidR="00847E0D" w:rsidRPr="00F463BC">
          <w:rPr>
            <w:rStyle w:val="Hyperlink"/>
            <w:rFonts w:ascii="Arial" w:hAnsi="Arial" w:cs="Arial"/>
            <w:sz w:val="22"/>
            <w:szCs w:val="22"/>
          </w:rPr>
          <w:t>Service organisations</w:t>
        </w:r>
      </w:hyperlink>
      <w:r w:rsidR="00847E0D" w:rsidRPr="00F463BC">
        <w:rPr>
          <w:rFonts w:ascii="Arial" w:hAnsi="Arial" w:cs="Arial"/>
          <w:sz w:val="22"/>
          <w:szCs w:val="22"/>
        </w:rPr>
        <w:t>.</w:t>
      </w:r>
    </w:p>
    <w:p w:rsidR="0001222D" w:rsidRPr="00F463BC" w:rsidRDefault="0001222D" w:rsidP="00B82F08">
      <w:pPr>
        <w:pStyle w:val="Bulletnrs"/>
        <w:numPr>
          <w:ilvl w:val="0"/>
          <w:numId w:val="0"/>
        </w:numPr>
        <w:tabs>
          <w:tab w:val="left" w:pos="567"/>
        </w:tabs>
        <w:spacing w:before="0" w:line="271" w:lineRule="auto"/>
        <w:ind w:left="567"/>
        <w:rPr>
          <w:rFonts w:ascii="Arial" w:hAnsi="Arial" w:cs="Arial"/>
          <w:sz w:val="22"/>
          <w:szCs w:val="22"/>
        </w:rPr>
      </w:pPr>
    </w:p>
    <w:p w:rsidR="00C5399B" w:rsidRPr="00F463BC" w:rsidRDefault="00C5399B" w:rsidP="00B82F08">
      <w:pPr>
        <w:pStyle w:val="Heading2"/>
        <w:keepNext/>
        <w:spacing w:before="0" w:line="271" w:lineRule="auto"/>
      </w:pPr>
      <w:bookmarkStart w:id="64" w:name="_Toc300572957"/>
      <w:bookmarkStart w:id="65" w:name="_Toc304897904"/>
      <w:bookmarkStart w:id="66" w:name="_Toc305083352"/>
      <w:bookmarkStart w:id="67" w:name="_Toc455582213"/>
      <w:r w:rsidRPr="00F463BC">
        <w:t>Analytical reviews and key ratio analysis</w:t>
      </w:r>
      <w:bookmarkEnd w:id="64"/>
      <w:bookmarkEnd w:id="65"/>
      <w:bookmarkEnd w:id="66"/>
      <w:bookmarkEnd w:id="67"/>
    </w:p>
    <w:p w:rsidR="00B1650C" w:rsidRPr="00692E7F" w:rsidRDefault="00B1650C" w:rsidP="00B82F08">
      <w:pPr>
        <w:pStyle w:val="Bulletnrs"/>
        <w:tabs>
          <w:tab w:val="left" w:pos="567"/>
        </w:tabs>
        <w:spacing w:before="0" w:line="271" w:lineRule="auto"/>
        <w:ind w:left="567" w:hanging="567"/>
        <w:rPr>
          <w:rFonts w:ascii="Arial" w:hAnsi="Arial" w:cs="Arial"/>
          <w:sz w:val="22"/>
          <w:szCs w:val="22"/>
        </w:rPr>
      </w:pPr>
      <w:r w:rsidRPr="00692E7F">
        <w:rPr>
          <w:rFonts w:ascii="Arial" w:hAnsi="Arial" w:cs="Arial"/>
          <w:sz w:val="22"/>
          <w:szCs w:val="22"/>
        </w:rPr>
        <w:t xml:space="preserve">An </w:t>
      </w:r>
      <w:r w:rsidR="00692E7F" w:rsidRPr="00692E7F">
        <w:rPr>
          <w:rFonts w:ascii="Arial" w:hAnsi="Arial" w:cs="Arial"/>
          <w:sz w:val="22"/>
          <w:szCs w:val="22"/>
        </w:rPr>
        <w:t xml:space="preserve">auditor applies </w:t>
      </w:r>
      <w:r w:rsidR="00692E7F" w:rsidRPr="00944A95">
        <w:rPr>
          <w:rFonts w:ascii="Arial" w:hAnsi="Arial" w:cs="Arial"/>
          <w:sz w:val="22"/>
          <w:szCs w:val="22"/>
        </w:rPr>
        <w:t xml:space="preserve">ISA 520, </w:t>
      </w:r>
      <w:r w:rsidR="00692E7F" w:rsidRPr="00944A95">
        <w:rPr>
          <w:rFonts w:ascii="Arial" w:hAnsi="Arial" w:cs="Arial"/>
          <w:i/>
          <w:sz w:val="22"/>
          <w:szCs w:val="22"/>
        </w:rPr>
        <w:t>Analytical Procedures</w:t>
      </w:r>
      <w:r w:rsidR="00692E7F">
        <w:rPr>
          <w:rFonts w:ascii="Arial" w:hAnsi="Arial" w:cs="Arial"/>
          <w:i/>
          <w:sz w:val="22"/>
          <w:szCs w:val="22"/>
        </w:rPr>
        <w:t>.</w:t>
      </w:r>
    </w:p>
    <w:p w:rsidR="00C5399B" w:rsidRPr="00F463BC" w:rsidRDefault="00E1246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 m</w:t>
      </w:r>
      <w:r w:rsidR="008B2EF9" w:rsidRPr="00F463BC">
        <w:rPr>
          <w:rFonts w:ascii="Arial" w:hAnsi="Arial" w:cs="Arial"/>
          <w:sz w:val="22"/>
          <w:szCs w:val="22"/>
        </w:rPr>
        <w:t>edical s</w:t>
      </w:r>
      <w:r w:rsidR="00813A31" w:rsidRPr="00F463BC">
        <w:rPr>
          <w:rFonts w:ascii="Arial" w:hAnsi="Arial" w:cs="Arial"/>
          <w:sz w:val="22"/>
          <w:szCs w:val="22"/>
        </w:rPr>
        <w:t>cheme monitor</w:t>
      </w:r>
      <w:r w:rsidRPr="00F463BC">
        <w:rPr>
          <w:rFonts w:ascii="Arial" w:hAnsi="Arial" w:cs="Arial"/>
          <w:sz w:val="22"/>
          <w:szCs w:val="22"/>
        </w:rPr>
        <w:t>s</w:t>
      </w:r>
      <w:r w:rsidR="00813A31" w:rsidRPr="00F463BC">
        <w:rPr>
          <w:rFonts w:ascii="Arial" w:hAnsi="Arial" w:cs="Arial"/>
          <w:sz w:val="22"/>
          <w:szCs w:val="22"/>
        </w:rPr>
        <w:t xml:space="preserve"> key ratios on an </w:t>
      </w:r>
      <w:r w:rsidR="007662FD" w:rsidRPr="00F463BC">
        <w:rPr>
          <w:rFonts w:ascii="Arial" w:hAnsi="Arial" w:cs="Arial"/>
          <w:sz w:val="22"/>
          <w:szCs w:val="22"/>
        </w:rPr>
        <w:t>on-going</w:t>
      </w:r>
      <w:r w:rsidR="00813A31" w:rsidRPr="00F463BC">
        <w:rPr>
          <w:rFonts w:ascii="Arial" w:hAnsi="Arial" w:cs="Arial"/>
          <w:sz w:val="22"/>
          <w:szCs w:val="22"/>
        </w:rPr>
        <w:t xml:space="preserve"> basis. </w:t>
      </w:r>
      <w:r w:rsidRPr="00F463BC">
        <w:rPr>
          <w:rFonts w:ascii="Arial" w:hAnsi="Arial" w:cs="Arial"/>
          <w:sz w:val="22"/>
          <w:szCs w:val="22"/>
        </w:rPr>
        <w:t>An a</w:t>
      </w:r>
      <w:r w:rsidR="00813A31" w:rsidRPr="00F463BC">
        <w:rPr>
          <w:rFonts w:ascii="Arial" w:hAnsi="Arial" w:cs="Arial"/>
          <w:sz w:val="22"/>
          <w:szCs w:val="22"/>
        </w:rPr>
        <w:t xml:space="preserve">uditor may use these to identify </w:t>
      </w:r>
      <w:r w:rsidR="009F2FFB" w:rsidRPr="00F463BC">
        <w:rPr>
          <w:rFonts w:ascii="Arial" w:hAnsi="Arial" w:cs="Arial"/>
          <w:sz w:val="22"/>
          <w:szCs w:val="22"/>
        </w:rPr>
        <w:t xml:space="preserve">potential </w:t>
      </w:r>
      <w:r w:rsidR="00A40C5B" w:rsidRPr="00F463BC">
        <w:rPr>
          <w:rFonts w:ascii="Arial" w:hAnsi="Arial" w:cs="Arial"/>
          <w:sz w:val="22"/>
          <w:szCs w:val="22"/>
        </w:rPr>
        <w:t>risks of material misstatement</w:t>
      </w:r>
      <w:r w:rsidR="00541C47" w:rsidRPr="00F463BC">
        <w:rPr>
          <w:rFonts w:ascii="Arial" w:hAnsi="Arial" w:cs="Arial"/>
          <w:sz w:val="22"/>
          <w:szCs w:val="22"/>
        </w:rPr>
        <w:t xml:space="preserve">. The </w:t>
      </w:r>
      <w:r w:rsidR="006231C6" w:rsidRPr="00F463BC">
        <w:rPr>
          <w:rFonts w:ascii="Arial" w:hAnsi="Arial" w:cs="Arial"/>
          <w:sz w:val="22"/>
          <w:szCs w:val="22"/>
        </w:rPr>
        <w:t xml:space="preserve">examples </w:t>
      </w:r>
      <w:r w:rsidR="00541C47" w:rsidRPr="00F463BC">
        <w:rPr>
          <w:rFonts w:ascii="Arial" w:hAnsi="Arial" w:cs="Arial"/>
          <w:sz w:val="22"/>
          <w:szCs w:val="22"/>
        </w:rPr>
        <w:t>list</w:t>
      </w:r>
      <w:r w:rsidR="006231C6" w:rsidRPr="00F463BC">
        <w:rPr>
          <w:rFonts w:ascii="Arial" w:hAnsi="Arial" w:cs="Arial"/>
          <w:sz w:val="22"/>
          <w:szCs w:val="22"/>
        </w:rPr>
        <w:t xml:space="preserve">ed below are not </w:t>
      </w:r>
      <w:r w:rsidR="00541C47" w:rsidRPr="00F463BC">
        <w:rPr>
          <w:rFonts w:ascii="Arial" w:hAnsi="Arial" w:cs="Arial"/>
          <w:sz w:val="22"/>
          <w:szCs w:val="22"/>
        </w:rPr>
        <w:t>exhaustive</w:t>
      </w:r>
      <w:r w:rsidR="00A40C5B" w:rsidRPr="00F463BC">
        <w:rPr>
          <w:rFonts w:ascii="Arial" w:hAnsi="Arial" w:cs="Arial"/>
          <w:sz w:val="22"/>
          <w:szCs w:val="22"/>
        </w:rPr>
        <w:t>:</w:t>
      </w:r>
      <w:r w:rsidR="007542B5" w:rsidRPr="00F463BC">
        <w:rPr>
          <w:rStyle w:val="FootnoteReference"/>
          <w:rFonts w:ascii="Arial" w:hAnsi="Arial" w:cs="Arial"/>
          <w:sz w:val="22"/>
          <w:szCs w:val="22"/>
        </w:rPr>
        <w:footnoteReference w:id="12"/>
      </w:r>
    </w:p>
    <w:p w:rsidR="00C5399B" w:rsidRPr="00F463BC" w:rsidRDefault="00C5399B" w:rsidP="00B82F08">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Average age of beneficiaries for the accounting period</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Pensioner ratio (beneficiaries &gt; 65 years)</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beneficiary per month</w:t>
      </w:r>
      <w:r w:rsidR="008B2EF9" w:rsidRPr="00F463BC">
        <w:rPr>
          <w:rFonts w:ascii="Arial" w:hAnsi="Arial" w:cs="Arial"/>
          <w:sz w:val="22"/>
          <w:szCs w:val="22"/>
        </w:rPr>
        <w:t>.</w:t>
      </w:r>
    </w:p>
    <w:p w:rsidR="007542B5" w:rsidRPr="00F463BC" w:rsidRDefault="007542B5"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Savings account contributions as percentage of gross contributions per option</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relevant healthcare expenditure </w:t>
      </w:r>
      <w:r w:rsidRPr="00F463BC">
        <w:rPr>
          <w:rFonts w:ascii="Arial" w:hAnsi="Arial" w:cs="Arial"/>
          <w:sz w:val="22"/>
          <w:szCs w:val="22"/>
        </w:rPr>
        <w:t>incurred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relevant healthcare expenditure</w:t>
      </w:r>
      <w:r w:rsidRPr="00F463BC">
        <w:rPr>
          <w:rFonts w:ascii="Arial" w:hAnsi="Arial" w:cs="Arial"/>
          <w:sz w:val="22"/>
          <w:szCs w:val="22"/>
        </w:rPr>
        <w:t xml:space="preserve"> incurred per beneficiary per month</w:t>
      </w:r>
      <w:r w:rsidR="008B2EF9" w:rsidRPr="00F463BC">
        <w:rPr>
          <w:rFonts w:ascii="Arial" w:hAnsi="Arial" w:cs="Arial"/>
          <w:sz w:val="22"/>
          <w:szCs w:val="22"/>
        </w:rPr>
        <w:t>.</w:t>
      </w:r>
    </w:p>
    <w:p w:rsidR="00740417" w:rsidRPr="00F463BC" w:rsidRDefault="00740417"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Total non-healthcare expenditure per avera</w:t>
      </w:r>
      <w:r w:rsidR="00E43DE4" w:rsidRPr="00F463BC">
        <w:rPr>
          <w:rFonts w:ascii="Arial" w:hAnsi="Arial" w:cs="Arial"/>
          <w:sz w:val="22"/>
          <w:szCs w:val="22"/>
        </w:rPr>
        <w:t xml:space="preserve">ge </w:t>
      </w:r>
      <w:r w:rsidRPr="00F463BC">
        <w:rPr>
          <w:rFonts w:ascii="Arial" w:hAnsi="Arial" w:cs="Arial"/>
          <w:sz w:val="22"/>
          <w:szCs w:val="22"/>
        </w:rPr>
        <w:t>beneficiary per month</w:t>
      </w:r>
      <w:r w:rsidR="008B2EF9" w:rsidRPr="00F463BC">
        <w:rPr>
          <w:rFonts w:ascii="Arial" w:hAnsi="Arial" w:cs="Arial"/>
          <w:sz w:val="22"/>
          <w:szCs w:val="22"/>
        </w:rPr>
        <w:t>.</w:t>
      </w:r>
    </w:p>
    <w:p w:rsidR="001F4865" w:rsidRPr="00F463BC" w:rsidRDefault="001F4865"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Total non-healthcare expenditure per average member per month.</w:t>
      </w:r>
    </w:p>
    <w:p w:rsidR="000563E2" w:rsidRPr="00F463BC" w:rsidRDefault="000563E2"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Non-healthcare expenditure as a percentage of risk contribution income.</w:t>
      </w:r>
    </w:p>
    <w:p w:rsidR="00740417" w:rsidRPr="00F463BC" w:rsidRDefault="00740417"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Administration expenses as a percentage of </w:t>
      </w:r>
      <w:r w:rsidR="000563E2" w:rsidRPr="00F463BC">
        <w:rPr>
          <w:rFonts w:ascii="Arial" w:hAnsi="Arial" w:cs="Arial"/>
          <w:sz w:val="22"/>
          <w:szCs w:val="22"/>
        </w:rPr>
        <w:t xml:space="preserve">risk </w:t>
      </w:r>
      <w:r w:rsidRPr="00F463BC">
        <w:rPr>
          <w:rFonts w:ascii="Arial" w:hAnsi="Arial" w:cs="Arial"/>
          <w:sz w:val="22"/>
          <w:szCs w:val="22"/>
        </w:rPr>
        <w:t>contributions</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beneficiary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managed care </w:t>
      </w:r>
      <w:r w:rsidR="007542B5" w:rsidRPr="00F463BC">
        <w:rPr>
          <w:rFonts w:ascii="Arial" w:hAnsi="Arial" w:cs="Arial"/>
          <w:sz w:val="22"/>
          <w:szCs w:val="22"/>
        </w:rPr>
        <w:t>management services</w:t>
      </w:r>
      <w:r w:rsidRPr="00F463BC">
        <w:rPr>
          <w:rFonts w:ascii="Arial" w:hAnsi="Arial" w:cs="Arial"/>
          <w:sz w:val="22"/>
          <w:szCs w:val="22"/>
        </w:rPr>
        <w:t xml:space="preserve">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managed care </w:t>
      </w:r>
      <w:r w:rsidR="007542B5" w:rsidRPr="00F463BC">
        <w:rPr>
          <w:rFonts w:ascii="Arial" w:hAnsi="Arial" w:cs="Arial"/>
          <w:sz w:val="22"/>
          <w:szCs w:val="22"/>
        </w:rPr>
        <w:t>management services</w:t>
      </w:r>
      <w:r w:rsidRPr="00F463BC">
        <w:rPr>
          <w:rFonts w:ascii="Arial" w:hAnsi="Arial" w:cs="Arial"/>
          <w:sz w:val="22"/>
          <w:szCs w:val="22"/>
        </w:rPr>
        <w:t xml:space="preserve"> per beneficiary per month</w:t>
      </w:r>
      <w:r w:rsidR="008B2EF9" w:rsidRPr="00F463BC">
        <w:rPr>
          <w:rFonts w:ascii="Arial" w:hAnsi="Arial" w:cs="Arial"/>
          <w:sz w:val="22"/>
          <w:szCs w:val="22"/>
        </w:rPr>
        <w:t>.</w:t>
      </w:r>
    </w:p>
    <w:p w:rsidR="00740417" w:rsidRPr="00F463BC" w:rsidRDefault="00740417"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costs per member per month and as percentage of gross contributions (statutory limitations apply)</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Accum</w:t>
      </w:r>
      <w:r w:rsidR="008B2EF9" w:rsidRPr="00F463BC">
        <w:rPr>
          <w:rFonts w:ascii="Arial" w:hAnsi="Arial" w:cs="Arial"/>
          <w:sz w:val="22"/>
          <w:szCs w:val="22"/>
        </w:rPr>
        <w:t>ulated funds per member at year-</w:t>
      </w:r>
      <w:r w:rsidRPr="00F463BC">
        <w:rPr>
          <w:rFonts w:ascii="Arial" w:hAnsi="Arial" w:cs="Arial"/>
          <w:sz w:val="22"/>
          <w:szCs w:val="22"/>
        </w:rPr>
        <w:t>end</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Beneficiaries per member at year</w:t>
      </w:r>
      <w:r w:rsidR="008B2EF9" w:rsidRPr="00F463BC">
        <w:rPr>
          <w:rFonts w:ascii="Arial" w:hAnsi="Arial" w:cs="Arial"/>
          <w:sz w:val="22"/>
          <w:szCs w:val="22"/>
        </w:rPr>
        <w:t>-</w:t>
      </w:r>
      <w:r w:rsidRPr="00F463BC">
        <w:rPr>
          <w:rFonts w:ascii="Arial" w:hAnsi="Arial" w:cs="Arial"/>
          <w:sz w:val="22"/>
          <w:szCs w:val="22"/>
        </w:rPr>
        <w:t>end</w:t>
      </w:r>
      <w:r w:rsidR="008B2EF9" w:rsidRPr="00F463BC">
        <w:rPr>
          <w:rFonts w:ascii="Arial" w:hAnsi="Arial" w:cs="Arial"/>
          <w:sz w:val="22"/>
          <w:szCs w:val="22"/>
        </w:rPr>
        <w:t>.</w:t>
      </w:r>
    </w:p>
    <w:p w:rsidR="001F4865" w:rsidRPr="00F463BC" w:rsidRDefault="00FF6DC1"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Net relevant healthcare expenditure</w:t>
      </w:r>
      <w:r w:rsidR="00C5399B" w:rsidRPr="00F463BC">
        <w:rPr>
          <w:rFonts w:ascii="Arial" w:hAnsi="Arial" w:cs="Arial"/>
          <w:sz w:val="22"/>
          <w:szCs w:val="22"/>
        </w:rPr>
        <w:t xml:space="preserve"> as a percentage of </w:t>
      </w:r>
      <w:r w:rsidRPr="00F463BC">
        <w:rPr>
          <w:rFonts w:ascii="Arial" w:hAnsi="Arial" w:cs="Arial"/>
          <w:sz w:val="22"/>
          <w:szCs w:val="22"/>
        </w:rPr>
        <w:t xml:space="preserve">risk </w:t>
      </w:r>
      <w:r w:rsidR="00C5399B" w:rsidRPr="00F463BC">
        <w:rPr>
          <w:rFonts w:ascii="Arial" w:hAnsi="Arial" w:cs="Arial"/>
          <w:sz w:val="22"/>
          <w:szCs w:val="22"/>
        </w:rPr>
        <w:t>contribution</w:t>
      </w:r>
      <w:r w:rsidR="001F4865" w:rsidRPr="00F463BC">
        <w:rPr>
          <w:rFonts w:ascii="Arial" w:hAnsi="Arial" w:cs="Arial"/>
          <w:sz w:val="22"/>
          <w:szCs w:val="22"/>
        </w:rPr>
        <w:t xml:space="preserve"> income</w:t>
      </w:r>
      <w:r w:rsidR="007542B5" w:rsidRPr="00F463BC">
        <w:rPr>
          <w:rFonts w:ascii="Arial" w:hAnsi="Arial" w:cs="Arial"/>
          <w:sz w:val="22"/>
          <w:szCs w:val="22"/>
        </w:rPr>
        <w:t xml:space="preserve"> (</w:t>
      </w:r>
      <w:r w:rsidRPr="00F463BC">
        <w:rPr>
          <w:rFonts w:ascii="Arial" w:hAnsi="Arial" w:cs="Arial"/>
          <w:sz w:val="22"/>
          <w:szCs w:val="22"/>
        </w:rPr>
        <w:t xml:space="preserve">risk </w:t>
      </w:r>
      <w:r w:rsidR="007542B5" w:rsidRPr="00F463BC">
        <w:rPr>
          <w:rFonts w:ascii="Arial" w:hAnsi="Arial" w:cs="Arial"/>
          <w:sz w:val="22"/>
          <w:szCs w:val="22"/>
        </w:rPr>
        <w:t>claims ratio)</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Statutory solvency requirement </w:t>
      </w:r>
      <w:r w:rsidR="007542B5" w:rsidRPr="00F463BC">
        <w:rPr>
          <w:rFonts w:ascii="Arial" w:hAnsi="Arial" w:cs="Arial"/>
          <w:sz w:val="22"/>
          <w:szCs w:val="22"/>
        </w:rPr>
        <w:t>as per Regulation 29</w:t>
      </w:r>
      <w:r w:rsidR="008B2EF9" w:rsidRPr="00F463BC">
        <w:rPr>
          <w:rFonts w:ascii="Arial" w:hAnsi="Arial" w:cs="Arial"/>
          <w:sz w:val="22"/>
          <w:szCs w:val="22"/>
        </w:rPr>
        <w:t>.</w:t>
      </w:r>
    </w:p>
    <w:p w:rsidR="00C5399B" w:rsidRPr="00F463BC" w:rsidRDefault="003A113F"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Current ratio: c</w:t>
      </w:r>
      <w:r w:rsidR="008B2EF9" w:rsidRPr="00F463BC">
        <w:rPr>
          <w:rFonts w:ascii="Arial" w:hAnsi="Arial" w:cs="Arial"/>
          <w:sz w:val="22"/>
          <w:szCs w:val="22"/>
        </w:rPr>
        <w:t xml:space="preserve">urrent assets </w:t>
      </w:r>
      <w:r w:rsidRPr="00F463BC">
        <w:rPr>
          <w:rFonts w:ascii="Arial" w:hAnsi="Arial" w:cs="Arial"/>
          <w:sz w:val="22"/>
          <w:szCs w:val="22"/>
        </w:rPr>
        <w:t>to</w:t>
      </w:r>
      <w:r w:rsidR="00C5399B" w:rsidRPr="00F463BC">
        <w:rPr>
          <w:rFonts w:ascii="Arial" w:hAnsi="Arial" w:cs="Arial"/>
          <w:sz w:val="22"/>
          <w:szCs w:val="22"/>
        </w:rPr>
        <w:t xml:space="preserve"> </w:t>
      </w:r>
      <w:r w:rsidRPr="00F463BC">
        <w:rPr>
          <w:rFonts w:ascii="Arial" w:hAnsi="Arial" w:cs="Arial"/>
          <w:sz w:val="22"/>
          <w:szCs w:val="22"/>
        </w:rPr>
        <w:t>c</w:t>
      </w:r>
      <w:r w:rsidR="00C5399B" w:rsidRPr="00F463BC">
        <w:rPr>
          <w:rFonts w:ascii="Arial" w:hAnsi="Arial" w:cs="Arial"/>
          <w:sz w:val="22"/>
          <w:szCs w:val="22"/>
        </w:rPr>
        <w:t>urrent liabilities</w:t>
      </w:r>
      <w:r w:rsidR="008B2EF9" w:rsidRPr="00F463BC">
        <w:rPr>
          <w:rFonts w:ascii="Arial" w:hAnsi="Arial" w:cs="Arial"/>
          <w:sz w:val="22"/>
          <w:szCs w:val="22"/>
        </w:rPr>
        <w:t>.</w:t>
      </w:r>
    </w:p>
    <w:p w:rsidR="001C543C" w:rsidRPr="00F463BC" w:rsidRDefault="001C543C" w:rsidP="00B82F08">
      <w:pPr>
        <w:pStyle w:val="Bulletsa"/>
        <w:tabs>
          <w:tab w:val="left" w:pos="993"/>
        </w:tabs>
        <w:spacing w:before="0" w:line="271" w:lineRule="auto"/>
        <w:ind w:left="993"/>
        <w:rPr>
          <w:rFonts w:ascii="Arial" w:hAnsi="Arial" w:cs="Arial"/>
          <w:sz w:val="22"/>
          <w:szCs w:val="22"/>
        </w:rPr>
      </w:pPr>
    </w:p>
    <w:p w:rsidR="0026573A" w:rsidRPr="00F463BC" w:rsidRDefault="0026573A" w:rsidP="00B82F08">
      <w:pPr>
        <w:pStyle w:val="Heading2"/>
        <w:keepNext/>
        <w:spacing w:before="0" w:line="271" w:lineRule="auto"/>
      </w:pPr>
      <w:bookmarkStart w:id="68" w:name="_Toc300572958"/>
      <w:bookmarkStart w:id="69" w:name="_Toc304897905"/>
      <w:bookmarkStart w:id="70" w:name="_Toc305083353"/>
      <w:bookmarkStart w:id="71" w:name="_Toc455582214"/>
      <w:r w:rsidRPr="00F463BC">
        <w:t>Contributions</w:t>
      </w:r>
      <w:bookmarkEnd w:id="68"/>
      <w:bookmarkEnd w:id="69"/>
      <w:bookmarkEnd w:id="70"/>
      <w:bookmarkEnd w:id="71"/>
    </w:p>
    <w:p w:rsidR="00E9279E" w:rsidRPr="00F463BC" w:rsidRDefault="00E9279E" w:rsidP="00B82F08">
      <w:pPr>
        <w:pStyle w:val="Heading41"/>
        <w:keepNext w:val="0"/>
        <w:spacing w:line="271" w:lineRule="auto"/>
        <w:rPr>
          <w:rFonts w:ascii="Arial" w:hAnsi="Arial" w:cs="Arial"/>
          <w:sz w:val="22"/>
          <w:szCs w:val="22"/>
        </w:rPr>
      </w:pPr>
      <w:bookmarkStart w:id="72" w:name="_Toc304897906"/>
      <w:r w:rsidRPr="00F463BC">
        <w:rPr>
          <w:rFonts w:ascii="Arial" w:hAnsi="Arial" w:cs="Arial"/>
          <w:sz w:val="22"/>
          <w:szCs w:val="22"/>
        </w:rPr>
        <w:t xml:space="preserve">Contributions are </w:t>
      </w:r>
      <w:r w:rsidR="006231C6" w:rsidRPr="00F463BC">
        <w:rPr>
          <w:rFonts w:ascii="Arial" w:hAnsi="Arial" w:cs="Arial"/>
          <w:sz w:val="22"/>
          <w:szCs w:val="22"/>
        </w:rPr>
        <w:t>in</w:t>
      </w:r>
      <w:r w:rsidRPr="00F463BC">
        <w:rPr>
          <w:rFonts w:ascii="Arial" w:hAnsi="Arial" w:cs="Arial"/>
          <w:sz w:val="22"/>
          <w:szCs w:val="22"/>
        </w:rPr>
        <w:t>complete</w:t>
      </w:r>
    </w:p>
    <w:p w:rsidR="00C207EA" w:rsidRPr="00F463BC" w:rsidRDefault="00C207EA"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Controls may not be adequate to ensure that all contributions receivable are accounted for.</w:t>
      </w:r>
    </w:p>
    <w:p w:rsidR="00342888" w:rsidRPr="00F463BC" w:rsidRDefault="00342888" w:rsidP="00B82F08">
      <w:pPr>
        <w:pStyle w:val="Heading41"/>
        <w:keepNext w:val="0"/>
        <w:spacing w:line="271" w:lineRule="auto"/>
        <w:rPr>
          <w:rFonts w:ascii="Arial" w:hAnsi="Arial" w:cs="Arial"/>
          <w:sz w:val="22"/>
          <w:szCs w:val="22"/>
        </w:rPr>
      </w:pPr>
      <w:r w:rsidRPr="00F463BC">
        <w:rPr>
          <w:rFonts w:ascii="Arial" w:hAnsi="Arial" w:cs="Arial"/>
          <w:sz w:val="22"/>
          <w:szCs w:val="22"/>
        </w:rPr>
        <w:t>Inaccurate contribution</w:t>
      </w:r>
      <w:r w:rsidR="001B60E6" w:rsidRPr="00F463BC">
        <w:rPr>
          <w:rFonts w:ascii="Arial" w:hAnsi="Arial" w:cs="Arial"/>
          <w:sz w:val="22"/>
          <w:szCs w:val="22"/>
        </w:rPr>
        <w:t>s</w:t>
      </w:r>
      <w:bookmarkEnd w:id="72"/>
    </w:p>
    <w:p w:rsidR="00342888" w:rsidRPr="00F463BC" w:rsidRDefault="006231C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Material misstatements </w:t>
      </w:r>
      <w:r w:rsidR="001B60E6" w:rsidRPr="00F463BC">
        <w:rPr>
          <w:rFonts w:ascii="Arial" w:hAnsi="Arial" w:cs="Arial"/>
          <w:sz w:val="22"/>
          <w:szCs w:val="22"/>
        </w:rPr>
        <w:t>may arise from:</w:t>
      </w:r>
    </w:p>
    <w:p w:rsidR="00342888" w:rsidRPr="00F463BC" w:rsidRDefault="00342888" w:rsidP="00B82F08">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Contributions in respect of ancillary products raised and collected by </w:t>
      </w:r>
      <w:r w:rsidR="001B60E6" w:rsidRPr="00F463BC">
        <w:rPr>
          <w:rFonts w:ascii="Arial" w:hAnsi="Arial" w:cs="Arial"/>
          <w:sz w:val="22"/>
          <w:szCs w:val="22"/>
        </w:rPr>
        <w:t xml:space="preserve">a </w:t>
      </w:r>
      <w:r w:rsidRPr="00F463BC">
        <w:rPr>
          <w:rFonts w:ascii="Arial" w:hAnsi="Arial" w:cs="Arial"/>
          <w:sz w:val="22"/>
          <w:szCs w:val="22"/>
        </w:rPr>
        <w:t>scheme (e.g. gym membership, funeral cover and loyalty programmes). The raising and collection of such amounts is in contravention of section</w:t>
      </w:r>
      <w:r w:rsidR="00484512" w:rsidRPr="00F463BC">
        <w:rPr>
          <w:rFonts w:ascii="Arial" w:hAnsi="Arial" w:cs="Arial"/>
          <w:sz w:val="22"/>
          <w:szCs w:val="22"/>
        </w:rPr>
        <w:t> </w:t>
      </w:r>
      <w:r w:rsidRPr="00F463BC">
        <w:rPr>
          <w:rFonts w:ascii="Arial" w:hAnsi="Arial" w:cs="Arial"/>
          <w:sz w:val="22"/>
          <w:szCs w:val="22"/>
        </w:rPr>
        <w:t>26(1)(c), (4) and (11) of the Act.</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Master file contribution tables loaded in the administration platform may </w:t>
      </w:r>
      <w:r w:rsidR="001B60E6" w:rsidRPr="00F463BC">
        <w:rPr>
          <w:rFonts w:ascii="Arial" w:hAnsi="Arial" w:cs="Arial"/>
          <w:sz w:val="22"/>
          <w:szCs w:val="22"/>
        </w:rPr>
        <w:t xml:space="preserve">contain errors, and may not be </w:t>
      </w:r>
      <w:r w:rsidRPr="00F463BC">
        <w:rPr>
          <w:rFonts w:ascii="Arial" w:hAnsi="Arial" w:cs="Arial"/>
          <w:sz w:val="22"/>
          <w:szCs w:val="22"/>
        </w:rPr>
        <w:t xml:space="preserve">in terms of the registered </w:t>
      </w:r>
      <w:r w:rsidR="00EA3C6A" w:rsidRPr="00F463BC">
        <w:rPr>
          <w:rFonts w:ascii="Arial" w:hAnsi="Arial" w:cs="Arial"/>
          <w:sz w:val="22"/>
          <w:szCs w:val="22"/>
        </w:rPr>
        <w:t>Rule</w:t>
      </w:r>
      <w:r w:rsidRPr="00F463BC">
        <w:rPr>
          <w:rFonts w:ascii="Arial" w:hAnsi="Arial" w:cs="Arial"/>
          <w:sz w:val="22"/>
          <w:szCs w:val="22"/>
        </w:rPr>
        <w:t xml:space="preserve">s, susceptible to </w:t>
      </w:r>
      <w:r w:rsidR="009F2FFB" w:rsidRPr="00F463BC">
        <w:rPr>
          <w:rFonts w:ascii="Arial" w:hAnsi="Arial" w:cs="Arial"/>
          <w:sz w:val="22"/>
          <w:szCs w:val="22"/>
        </w:rPr>
        <w:t xml:space="preserve">unauthorised </w:t>
      </w:r>
      <w:r w:rsidRPr="00F463BC">
        <w:rPr>
          <w:rFonts w:ascii="Arial" w:hAnsi="Arial" w:cs="Arial"/>
          <w:sz w:val="22"/>
          <w:szCs w:val="22"/>
        </w:rPr>
        <w:t xml:space="preserve">changes or not </w:t>
      </w:r>
      <w:r w:rsidR="001B60E6" w:rsidRPr="00F463BC">
        <w:rPr>
          <w:rFonts w:ascii="Arial" w:hAnsi="Arial" w:cs="Arial"/>
          <w:sz w:val="22"/>
          <w:szCs w:val="22"/>
        </w:rPr>
        <w:t xml:space="preserve">be </w:t>
      </w:r>
      <w:r w:rsidRPr="00F463BC">
        <w:rPr>
          <w:rFonts w:ascii="Arial" w:hAnsi="Arial" w:cs="Arial"/>
          <w:sz w:val="22"/>
          <w:szCs w:val="22"/>
        </w:rPr>
        <w:t>appropriately integrated into the algorithms of the platform.</w:t>
      </w:r>
    </w:p>
    <w:p w:rsidR="00342888" w:rsidRPr="00F463BC" w:rsidRDefault="00342888" w:rsidP="00EB17A4">
      <w:pPr>
        <w:pStyle w:val="Bulletsa"/>
        <w:keepNext/>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Inaccurate membership data. Examples include the following:</w:t>
      </w:r>
    </w:p>
    <w:p w:rsidR="00342888" w:rsidRPr="00F463BC" w:rsidRDefault="00342888" w:rsidP="00EB17A4">
      <w:pPr>
        <w:keepNext/>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Members loaded on the incorrect option.</w:t>
      </w:r>
    </w:p>
    <w:p w:rsidR="00342888" w:rsidRPr="00F463BC" w:rsidRDefault="00342888"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Contributions tables not calculating contributions according to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w:t>
      </w:r>
    </w:p>
    <w:p w:rsidR="00342888" w:rsidRPr="00F463BC" w:rsidRDefault="001B60E6"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When</w:t>
      </w:r>
      <w:r w:rsidR="00342888" w:rsidRPr="00F463BC">
        <w:rPr>
          <w:rFonts w:ascii="Arial" w:hAnsi="Arial" w:cs="Arial"/>
          <w:color w:val="000000"/>
          <w:sz w:val="22"/>
          <w:szCs w:val="22"/>
          <w:lang w:val="en-US" w:eastAsia="en-US"/>
        </w:rPr>
        <w:t xml:space="preserve">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contribution raised is a function of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member’s salary, </w:t>
      </w:r>
      <w:r w:rsidRPr="00F463BC">
        <w:rPr>
          <w:rFonts w:ascii="Arial" w:hAnsi="Arial" w:cs="Arial"/>
          <w:color w:val="000000"/>
          <w:sz w:val="22"/>
          <w:szCs w:val="22"/>
          <w:lang w:val="en-US" w:eastAsia="en-US"/>
        </w:rPr>
        <w:t xml:space="preserve">that </w:t>
      </w:r>
      <w:r w:rsidR="00342888" w:rsidRPr="00F463BC">
        <w:rPr>
          <w:rFonts w:ascii="Arial" w:hAnsi="Arial" w:cs="Arial"/>
          <w:color w:val="000000"/>
          <w:sz w:val="22"/>
          <w:szCs w:val="22"/>
          <w:lang w:val="en-US" w:eastAsia="en-US"/>
        </w:rPr>
        <w:t>contribution could be misstated</w:t>
      </w:r>
      <w:r w:rsidRPr="00F463BC">
        <w:rPr>
          <w:rFonts w:ascii="Arial" w:hAnsi="Arial" w:cs="Arial"/>
          <w:color w:val="000000"/>
          <w:sz w:val="22"/>
          <w:szCs w:val="22"/>
          <w:lang w:val="en-US" w:eastAsia="en-US"/>
        </w:rPr>
        <w:t xml:space="preserve"> if </w:t>
      </w:r>
      <w:r w:rsidR="00342888" w:rsidRPr="00F463BC">
        <w:rPr>
          <w:rFonts w:ascii="Arial" w:hAnsi="Arial" w:cs="Arial"/>
          <w:color w:val="000000"/>
          <w:sz w:val="22"/>
          <w:szCs w:val="22"/>
          <w:lang w:val="en-US" w:eastAsia="en-US"/>
        </w:rPr>
        <w:t xml:space="preserve">salary information obtained </w:t>
      </w:r>
      <w:r w:rsidRPr="00F463BC">
        <w:rPr>
          <w:rFonts w:ascii="Arial" w:hAnsi="Arial" w:cs="Arial"/>
          <w:color w:val="000000"/>
          <w:sz w:val="22"/>
          <w:szCs w:val="22"/>
          <w:lang w:val="en-US" w:eastAsia="en-US"/>
        </w:rPr>
        <w:t xml:space="preserve">is </w:t>
      </w:r>
      <w:r w:rsidR="00342888" w:rsidRPr="00F463BC">
        <w:rPr>
          <w:rFonts w:ascii="Arial" w:hAnsi="Arial" w:cs="Arial"/>
          <w:color w:val="000000"/>
          <w:sz w:val="22"/>
          <w:szCs w:val="22"/>
          <w:lang w:val="en-US" w:eastAsia="en-US"/>
        </w:rPr>
        <w:t>inaccurate</w:t>
      </w:r>
      <w:r w:rsidR="001915B2" w:rsidRPr="00F463BC">
        <w:rPr>
          <w:rFonts w:ascii="Arial" w:hAnsi="Arial" w:cs="Arial"/>
          <w:color w:val="000000"/>
          <w:sz w:val="22"/>
          <w:szCs w:val="22"/>
          <w:lang w:val="en-US" w:eastAsia="en-US"/>
        </w:rPr>
        <w:t>.</w:t>
      </w:r>
    </w:p>
    <w:p w:rsidR="004E5804" w:rsidRPr="00F463BC" w:rsidRDefault="004E5804"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Membership database </w:t>
      </w:r>
      <w:r w:rsidR="001B60E6" w:rsidRPr="00F463BC">
        <w:rPr>
          <w:rFonts w:ascii="Arial" w:hAnsi="Arial" w:cs="Arial"/>
          <w:color w:val="000000"/>
          <w:sz w:val="22"/>
          <w:szCs w:val="22"/>
          <w:lang w:val="en-US" w:eastAsia="en-US"/>
        </w:rPr>
        <w:t xml:space="preserve">inadequately </w:t>
      </w:r>
      <w:r w:rsidRPr="00F463BC">
        <w:rPr>
          <w:rFonts w:ascii="Arial" w:hAnsi="Arial" w:cs="Arial"/>
          <w:color w:val="000000"/>
          <w:sz w:val="22"/>
          <w:szCs w:val="22"/>
          <w:lang w:val="en-US" w:eastAsia="en-US"/>
        </w:rPr>
        <w:t>maintained.</w:t>
      </w:r>
    </w:p>
    <w:p w:rsidR="009F2FFB" w:rsidRPr="00F463BC" w:rsidRDefault="009F2FFB"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Employer group information not reconciled monthly.</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Contributions</w:t>
      </w:r>
      <w:r w:rsidR="001B60E6" w:rsidRPr="00F463BC">
        <w:rPr>
          <w:rFonts w:ascii="Arial" w:hAnsi="Arial" w:cs="Arial"/>
          <w:sz w:val="22"/>
          <w:szCs w:val="22"/>
        </w:rPr>
        <w:t xml:space="preserve"> receivable</w:t>
      </w:r>
      <w:r w:rsidRPr="00F463BC">
        <w:rPr>
          <w:rFonts w:ascii="Arial" w:hAnsi="Arial" w:cs="Arial"/>
          <w:sz w:val="22"/>
          <w:szCs w:val="22"/>
        </w:rPr>
        <w:t xml:space="preserve"> may be raised for invalid members resulting in the misstatement of contribution</w:t>
      </w:r>
      <w:r w:rsidR="001B60E6" w:rsidRPr="00F463BC">
        <w:rPr>
          <w:rFonts w:ascii="Arial" w:hAnsi="Arial" w:cs="Arial"/>
          <w:sz w:val="22"/>
          <w:szCs w:val="22"/>
        </w:rPr>
        <w:t xml:space="preserve"> income</w:t>
      </w:r>
      <w:r w:rsidRPr="00F463BC">
        <w:rPr>
          <w:rFonts w:ascii="Arial" w:hAnsi="Arial" w:cs="Arial"/>
          <w:sz w:val="22"/>
          <w:szCs w:val="22"/>
        </w:rPr>
        <w:t xml:space="preserve"> as well as the related </w:t>
      </w:r>
      <w:r w:rsidR="001B60E6" w:rsidRPr="00F463BC">
        <w:rPr>
          <w:rFonts w:ascii="Arial" w:hAnsi="Arial" w:cs="Arial"/>
          <w:sz w:val="22"/>
          <w:szCs w:val="22"/>
        </w:rPr>
        <w:t>receivable</w:t>
      </w:r>
      <w:r w:rsidRPr="00F463BC">
        <w:rPr>
          <w:rFonts w:ascii="Arial" w:hAnsi="Arial" w:cs="Arial"/>
          <w:sz w:val="22"/>
          <w:szCs w:val="22"/>
        </w:rPr>
        <w:t>. Examples include:</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Duplicate</w:t>
      </w:r>
      <w:r w:rsidR="001B60E6" w:rsidRPr="00F463BC">
        <w:rPr>
          <w:rFonts w:ascii="Arial" w:hAnsi="Arial" w:cs="Arial"/>
          <w:color w:val="000000"/>
          <w:sz w:val="22"/>
          <w:szCs w:val="22"/>
          <w:lang w:val="en-US" w:eastAsia="en-US"/>
        </w:rPr>
        <w:t>d</w:t>
      </w:r>
      <w:r w:rsidRPr="00F463BC">
        <w:rPr>
          <w:rFonts w:ascii="Arial" w:hAnsi="Arial" w:cs="Arial"/>
          <w:color w:val="000000"/>
          <w:sz w:val="22"/>
          <w:szCs w:val="22"/>
          <w:lang w:val="en-US" w:eastAsia="en-US"/>
        </w:rPr>
        <w:t xml:space="preserve"> beneficiaries.</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Contributions raised for the same member under more than one option in the same month.</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Members where the system omitted to raise contributions.</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Inaccurate member data on the administration platform.</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Back-dated membership updates, which include resignations as well as new membership</w:t>
      </w:r>
      <w:r w:rsidR="001B60E6" w:rsidRPr="00F463BC">
        <w:rPr>
          <w:rFonts w:ascii="Arial" w:hAnsi="Arial" w:cs="Arial"/>
          <w:sz w:val="22"/>
          <w:szCs w:val="22"/>
        </w:rPr>
        <w:t>s</w:t>
      </w:r>
      <w:r w:rsidRPr="00F463BC">
        <w:rPr>
          <w:rFonts w:ascii="Arial" w:hAnsi="Arial" w:cs="Arial"/>
          <w:sz w:val="22"/>
          <w:szCs w:val="22"/>
        </w:rPr>
        <w:t>, processed subsequent to the year-end</w:t>
      </w:r>
      <w:r w:rsidR="00D033E9" w:rsidRPr="00F463BC">
        <w:rPr>
          <w:rFonts w:ascii="Arial" w:hAnsi="Arial" w:cs="Arial"/>
          <w:sz w:val="22"/>
          <w:szCs w:val="22"/>
        </w:rPr>
        <w:t xml:space="preserve">, which may </w:t>
      </w:r>
      <w:r w:rsidRPr="00F463BC">
        <w:rPr>
          <w:rFonts w:ascii="Arial" w:hAnsi="Arial" w:cs="Arial"/>
          <w:sz w:val="22"/>
          <w:szCs w:val="22"/>
        </w:rPr>
        <w:t>result in the over/under statement of contribution</w:t>
      </w:r>
      <w:r w:rsidR="00D033E9" w:rsidRPr="00F463BC">
        <w:rPr>
          <w:rFonts w:ascii="Arial" w:hAnsi="Arial" w:cs="Arial"/>
          <w:sz w:val="22"/>
          <w:szCs w:val="22"/>
        </w:rPr>
        <w:t xml:space="preserve"> income</w:t>
      </w:r>
      <w:r w:rsidRPr="00F463BC">
        <w:rPr>
          <w:rFonts w:ascii="Arial" w:hAnsi="Arial" w:cs="Arial"/>
          <w:sz w:val="22"/>
          <w:szCs w:val="22"/>
        </w:rPr>
        <w:t xml:space="preserve"> and the related </w:t>
      </w:r>
      <w:r w:rsidR="00D033E9" w:rsidRPr="00F463BC">
        <w:rPr>
          <w:rFonts w:ascii="Arial" w:hAnsi="Arial" w:cs="Arial"/>
          <w:sz w:val="22"/>
          <w:szCs w:val="22"/>
        </w:rPr>
        <w:t xml:space="preserve">receivable and </w:t>
      </w:r>
      <w:r w:rsidRPr="00F463BC">
        <w:rPr>
          <w:rFonts w:ascii="Arial" w:hAnsi="Arial" w:cs="Arial"/>
          <w:sz w:val="22"/>
          <w:szCs w:val="22"/>
        </w:rPr>
        <w:t xml:space="preserve">may also </w:t>
      </w:r>
      <w:r w:rsidR="00D033E9" w:rsidRPr="00F463BC">
        <w:rPr>
          <w:rFonts w:ascii="Arial" w:hAnsi="Arial" w:cs="Arial"/>
          <w:sz w:val="22"/>
          <w:szCs w:val="22"/>
        </w:rPr>
        <w:t xml:space="preserve">affect </w:t>
      </w:r>
      <w:r w:rsidRPr="00F463BC">
        <w:rPr>
          <w:rFonts w:ascii="Arial" w:hAnsi="Arial" w:cs="Arial"/>
          <w:sz w:val="22"/>
          <w:szCs w:val="22"/>
        </w:rPr>
        <w:t xml:space="preserve">the </w:t>
      </w:r>
      <w:r w:rsidR="00CC5C95" w:rsidRPr="00F463BC">
        <w:rPr>
          <w:rFonts w:ascii="Arial" w:hAnsi="Arial" w:cs="Arial"/>
          <w:sz w:val="22"/>
          <w:szCs w:val="22"/>
        </w:rPr>
        <w:t xml:space="preserve">insurance receivable </w:t>
      </w:r>
      <w:r w:rsidRPr="00F463BC">
        <w:rPr>
          <w:rFonts w:ascii="Arial" w:hAnsi="Arial" w:cs="Arial"/>
          <w:sz w:val="22"/>
          <w:szCs w:val="22"/>
        </w:rPr>
        <w:t>impairment calculation.</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Contributions </w:t>
      </w:r>
      <w:r w:rsidR="00D033E9" w:rsidRPr="00F463BC">
        <w:rPr>
          <w:rFonts w:ascii="Arial" w:hAnsi="Arial" w:cs="Arial"/>
          <w:sz w:val="22"/>
          <w:szCs w:val="22"/>
        </w:rPr>
        <w:t xml:space="preserve">receivable </w:t>
      </w:r>
      <w:r w:rsidRPr="00F463BC">
        <w:rPr>
          <w:rFonts w:ascii="Arial" w:hAnsi="Arial" w:cs="Arial"/>
          <w:sz w:val="22"/>
          <w:szCs w:val="22"/>
        </w:rPr>
        <w:t xml:space="preserve">in respect of </w:t>
      </w:r>
      <w:r w:rsidR="00D033E9" w:rsidRPr="00F463BC">
        <w:rPr>
          <w:rFonts w:ascii="Arial" w:hAnsi="Arial" w:cs="Arial"/>
          <w:sz w:val="22"/>
          <w:szCs w:val="22"/>
        </w:rPr>
        <w:t xml:space="preserve">a </w:t>
      </w:r>
      <w:r w:rsidRPr="00F463BC">
        <w:rPr>
          <w:rFonts w:ascii="Arial" w:hAnsi="Arial" w:cs="Arial"/>
          <w:sz w:val="22"/>
          <w:szCs w:val="22"/>
        </w:rPr>
        <w:t xml:space="preserve">child dependant. Regulation 9B states that contributions of a child dependant may be less than those determined in respect of other beneficiaries. This concession will, however, be in terms of the registered </w:t>
      </w:r>
      <w:r w:rsidR="00EA3C6A" w:rsidRPr="00F463BC">
        <w:rPr>
          <w:rFonts w:ascii="Arial" w:hAnsi="Arial" w:cs="Arial"/>
          <w:sz w:val="22"/>
          <w:szCs w:val="22"/>
        </w:rPr>
        <w:t>Rule</w:t>
      </w:r>
      <w:r w:rsidRPr="00F463BC">
        <w:rPr>
          <w:rFonts w:ascii="Arial" w:hAnsi="Arial" w:cs="Arial"/>
          <w:sz w:val="22"/>
          <w:szCs w:val="22"/>
        </w:rPr>
        <w:t>s.</w:t>
      </w:r>
    </w:p>
    <w:p w:rsidR="00342888" w:rsidRPr="00F463BC" w:rsidRDefault="00342888" w:rsidP="00B82F08">
      <w:pPr>
        <w:pStyle w:val="Heading41"/>
        <w:spacing w:line="271" w:lineRule="auto"/>
        <w:rPr>
          <w:rFonts w:ascii="Arial" w:hAnsi="Arial" w:cs="Arial"/>
          <w:sz w:val="22"/>
          <w:szCs w:val="22"/>
        </w:rPr>
      </w:pPr>
      <w:bookmarkStart w:id="73" w:name="_Toc304897907"/>
      <w:r w:rsidRPr="00F463BC">
        <w:rPr>
          <w:rFonts w:ascii="Arial" w:hAnsi="Arial" w:cs="Arial"/>
          <w:sz w:val="22"/>
          <w:szCs w:val="22"/>
        </w:rPr>
        <w:t>Contribution penalties not accounted for correctly</w:t>
      </w:r>
      <w:bookmarkEnd w:id="73"/>
    </w:p>
    <w:p w:rsidR="00342888" w:rsidRPr="00F463BC" w:rsidRDefault="00D033E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late joiner </w:t>
      </w:r>
      <w:r w:rsidR="00342888" w:rsidRPr="00F463BC">
        <w:rPr>
          <w:rFonts w:ascii="Arial" w:hAnsi="Arial" w:cs="Arial"/>
          <w:sz w:val="22"/>
          <w:szCs w:val="22"/>
        </w:rPr>
        <w:t>penalt</w:t>
      </w:r>
      <w:r w:rsidRPr="00F463BC">
        <w:rPr>
          <w:rFonts w:ascii="Arial" w:hAnsi="Arial" w:cs="Arial"/>
          <w:sz w:val="22"/>
          <w:szCs w:val="22"/>
        </w:rPr>
        <w:t>y</w:t>
      </w:r>
      <w:r w:rsidR="00342888" w:rsidRPr="00F463BC">
        <w:rPr>
          <w:rFonts w:ascii="Arial" w:hAnsi="Arial" w:cs="Arial"/>
          <w:sz w:val="22"/>
          <w:szCs w:val="22"/>
        </w:rPr>
        <w:t xml:space="preserve"> may not be applied correctly and accurately to </w:t>
      </w:r>
      <w:r w:rsidRPr="00F463BC">
        <w:rPr>
          <w:rFonts w:ascii="Arial" w:hAnsi="Arial" w:cs="Arial"/>
          <w:sz w:val="22"/>
          <w:szCs w:val="22"/>
        </w:rPr>
        <w:t xml:space="preserve">a </w:t>
      </w:r>
      <w:r w:rsidR="00342888" w:rsidRPr="00F463BC">
        <w:rPr>
          <w:rFonts w:ascii="Arial" w:hAnsi="Arial" w:cs="Arial"/>
          <w:sz w:val="22"/>
          <w:szCs w:val="22"/>
        </w:rPr>
        <w:t xml:space="preserve">member or any adult dependant. </w:t>
      </w:r>
      <w:r w:rsidRPr="00F463BC">
        <w:rPr>
          <w:rFonts w:ascii="Arial" w:hAnsi="Arial" w:cs="Arial"/>
          <w:sz w:val="22"/>
          <w:szCs w:val="22"/>
        </w:rPr>
        <w:t xml:space="preserve">Regulation 13 deals with </w:t>
      </w:r>
      <w:r w:rsidR="00342888" w:rsidRPr="00F463BC">
        <w:rPr>
          <w:rFonts w:ascii="Arial" w:hAnsi="Arial" w:cs="Arial"/>
          <w:sz w:val="22"/>
          <w:szCs w:val="22"/>
        </w:rPr>
        <w:t xml:space="preserve">late joiner penalties. </w:t>
      </w:r>
    </w:p>
    <w:p w:rsidR="0026573A" w:rsidRPr="00F463BC" w:rsidRDefault="0026573A" w:rsidP="00B82F08">
      <w:pPr>
        <w:pStyle w:val="Heading41"/>
        <w:spacing w:line="271" w:lineRule="auto"/>
        <w:rPr>
          <w:rFonts w:ascii="Arial" w:hAnsi="Arial" w:cs="Arial"/>
          <w:sz w:val="22"/>
          <w:szCs w:val="22"/>
        </w:rPr>
      </w:pPr>
      <w:bookmarkStart w:id="74" w:name="_Toc304897908"/>
      <w:r w:rsidRPr="00F463BC">
        <w:rPr>
          <w:rFonts w:ascii="Arial" w:hAnsi="Arial" w:cs="Arial"/>
          <w:sz w:val="22"/>
          <w:szCs w:val="22"/>
        </w:rPr>
        <w:t>Contributions are not paid within three days of becoming due</w:t>
      </w:r>
      <w:bookmarkEnd w:id="74"/>
    </w:p>
    <w:p w:rsidR="0026573A" w:rsidRPr="00F463BC" w:rsidRDefault="00D033E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w:t>
      </w:r>
      <w:r w:rsidR="0026573A" w:rsidRPr="00F463BC">
        <w:rPr>
          <w:rFonts w:ascii="Arial" w:hAnsi="Arial" w:cs="Arial"/>
          <w:sz w:val="22"/>
          <w:szCs w:val="22"/>
        </w:rPr>
        <w:t xml:space="preserve">ontributions </w:t>
      </w:r>
      <w:r w:rsidR="00316DAD" w:rsidRPr="00F463BC">
        <w:rPr>
          <w:rFonts w:ascii="Arial" w:hAnsi="Arial" w:cs="Arial"/>
          <w:sz w:val="22"/>
          <w:szCs w:val="22"/>
        </w:rPr>
        <w:t>are payable</w:t>
      </w:r>
      <w:r w:rsidR="0026573A" w:rsidRPr="00F463BC">
        <w:rPr>
          <w:rFonts w:ascii="Arial" w:hAnsi="Arial" w:cs="Arial"/>
          <w:sz w:val="22"/>
          <w:szCs w:val="22"/>
        </w:rPr>
        <w:t xml:space="preserve"> directly to a medical scheme within three days after becoming due</w:t>
      </w:r>
      <w:r w:rsidR="00316DAD" w:rsidRPr="00F463BC">
        <w:rPr>
          <w:rFonts w:ascii="Arial" w:hAnsi="Arial" w:cs="Arial"/>
          <w:sz w:val="22"/>
          <w:szCs w:val="22"/>
        </w:rPr>
        <w:t>,</w:t>
      </w:r>
      <w:r w:rsidR="0026573A" w:rsidRPr="00F463BC">
        <w:rPr>
          <w:rFonts w:ascii="Arial" w:hAnsi="Arial" w:cs="Arial"/>
          <w:sz w:val="22"/>
          <w:szCs w:val="22"/>
        </w:rPr>
        <w:t xml:space="preserve"> as required by </w:t>
      </w:r>
      <w:r w:rsidR="004C23DA" w:rsidRPr="00F463BC">
        <w:rPr>
          <w:rFonts w:ascii="Arial" w:hAnsi="Arial" w:cs="Arial"/>
          <w:sz w:val="22"/>
          <w:szCs w:val="22"/>
        </w:rPr>
        <w:t>s</w:t>
      </w:r>
      <w:r w:rsidR="0026573A" w:rsidRPr="00F463BC">
        <w:rPr>
          <w:rFonts w:ascii="Arial" w:hAnsi="Arial" w:cs="Arial"/>
          <w:sz w:val="22"/>
          <w:szCs w:val="22"/>
        </w:rPr>
        <w:t xml:space="preserve">ection 26(7) of the Act. In order to determine the date upon which contributions will be regarded as being in contravention of the Act, </w:t>
      </w:r>
      <w:r w:rsidR="00316DAD" w:rsidRPr="00F463BC">
        <w:rPr>
          <w:rFonts w:ascii="Arial" w:hAnsi="Arial" w:cs="Arial"/>
          <w:sz w:val="22"/>
          <w:szCs w:val="22"/>
        </w:rPr>
        <w:t>an</w:t>
      </w:r>
      <w:r w:rsidR="0026573A" w:rsidRPr="00F463BC">
        <w:rPr>
          <w:rFonts w:ascii="Arial" w:hAnsi="Arial" w:cs="Arial"/>
          <w:sz w:val="22"/>
          <w:szCs w:val="22"/>
        </w:rPr>
        <w:t xml:space="preserve"> auditor </w:t>
      </w:r>
      <w:r w:rsidR="00316DAD" w:rsidRPr="00F463BC">
        <w:rPr>
          <w:rFonts w:ascii="Arial" w:hAnsi="Arial" w:cs="Arial"/>
          <w:sz w:val="22"/>
          <w:szCs w:val="22"/>
        </w:rPr>
        <w:t>determines</w:t>
      </w:r>
      <w:r w:rsidR="0026573A" w:rsidRPr="00F463BC">
        <w:rPr>
          <w:rFonts w:ascii="Arial" w:hAnsi="Arial" w:cs="Arial"/>
          <w:sz w:val="22"/>
          <w:szCs w:val="22"/>
        </w:rPr>
        <w:t xml:space="preserve"> the event “becoming due”</w:t>
      </w:r>
      <w:r w:rsidR="00316DAD" w:rsidRPr="00F463BC">
        <w:rPr>
          <w:rFonts w:ascii="Arial" w:hAnsi="Arial" w:cs="Arial"/>
          <w:sz w:val="22"/>
          <w:szCs w:val="22"/>
        </w:rPr>
        <w:t xml:space="preserve">, as </w:t>
      </w:r>
      <w:r w:rsidR="0026573A" w:rsidRPr="00F463BC">
        <w:rPr>
          <w:rFonts w:ascii="Arial" w:hAnsi="Arial" w:cs="Arial"/>
          <w:sz w:val="22"/>
          <w:szCs w:val="22"/>
        </w:rPr>
        <w:t xml:space="preserve">specified in the </w:t>
      </w:r>
      <w:r w:rsidR="00EA3C6A" w:rsidRPr="00F463BC">
        <w:rPr>
          <w:rFonts w:ascii="Arial" w:hAnsi="Arial" w:cs="Arial"/>
          <w:sz w:val="22"/>
          <w:szCs w:val="22"/>
        </w:rPr>
        <w:t>Rule</w:t>
      </w:r>
      <w:r w:rsidR="0026573A" w:rsidRPr="00F463BC">
        <w:rPr>
          <w:rFonts w:ascii="Arial" w:hAnsi="Arial" w:cs="Arial"/>
          <w:sz w:val="22"/>
          <w:szCs w:val="22"/>
        </w:rPr>
        <w:t>s and may differ from scheme to scheme</w:t>
      </w:r>
      <w:r w:rsidR="00316DAD" w:rsidRPr="00F463BC">
        <w:rPr>
          <w:rFonts w:ascii="Arial" w:hAnsi="Arial" w:cs="Arial"/>
          <w:sz w:val="22"/>
          <w:szCs w:val="22"/>
        </w:rPr>
        <w:t>. C</w:t>
      </w:r>
      <w:r w:rsidR="0026573A" w:rsidRPr="00F463BC">
        <w:rPr>
          <w:rFonts w:ascii="Arial" w:hAnsi="Arial" w:cs="Arial"/>
          <w:sz w:val="22"/>
          <w:szCs w:val="22"/>
        </w:rPr>
        <w:t xml:space="preserve">ontributions </w:t>
      </w:r>
      <w:r w:rsidR="00316DAD" w:rsidRPr="00F463BC">
        <w:rPr>
          <w:rFonts w:ascii="Arial" w:hAnsi="Arial" w:cs="Arial"/>
          <w:sz w:val="22"/>
          <w:szCs w:val="22"/>
        </w:rPr>
        <w:t xml:space="preserve">in some schemes </w:t>
      </w:r>
      <w:r w:rsidR="0026573A" w:rsidRPr="00F463BC">
        <w:rPr>
          <w:rFonts w:ascii="Arial" w:hAnsi="Arial" w:cs="Arial"/>
          <w:sz w:val="22"/>
          <w:szCs w:val="22"/>
        </w:rPr>
        <w:t xml:space="preserve">may become due at the beginning of a month whereas </w:t>
      </w:r>
      <w:r w:rsidR="00316DAD" w:rsidRPr="00F463BC">
        <w:rPr>
          <w:rFonts w:ascii="Arial" w:hAnsi="Arial" w:cs="Arial"/>
          <w:sz w:val="22"/>
          <w:szCs w:val="22"/>
        </w:rPr>
        <w:t xml:space="preserve">in </w:t>
      </w:r>
      <w:r w:rsidR="0026573A" w:rsidRPr="00F463BC">
        <w:rPr>
          <w:rFonts w:ascii="Arial" w:hAnsi="Arial" w:cs="Arial"/>
          <w:sz w:val="22"/>
          <w:szCs w:val="22"/>
        </w:rPr>
        <w:t>other</w:t>
      </w:r>
      <w:r w:rsidR="00316DAD" w:rsidRPr="00F463BC">
        <w:rPr>
          <w:rFonts w:ascii="Arial" w:hAnsi="Arial" w:cs="Arial"/>
          <w:sz w:val="22"/>
          <w:szCs w:val="22"/>
        </w:rPr>
        <w:t xml:space="preserve"> schemes</w:t>
      </w:r>
      <w:r w:rsidR="0026573A" w:rsidRPr="00F463BC">
        <w:rPr>
          <w:rFonts w:ascii="Arial" w:hAnsi="Arial" w:cs="Arial"/>
          <w:sz w:val="22"/>
          <w:szCs w:val="22"/>
        </w:rPr>
        <w:t xml:space="preserve"> </w:t>
      </w:r>
      <w:r w:rsidR="00316DAD" w:rsidRPr="00F463BC">
        <w:rPr>
          <w:rFonts w:ascii="Arial" w:hAnsi="Arial" w:cs="Arial"/>
          <w:sz w:val="22"/>
          <w:szCs w:val="22"/>
        </w:rPr>
        <w:t xml:space="preserve">contributions </w:t>
      </w:r>
      <w:r w:rsidR="0026573A" w:rsidRPr="00F463BC">
        <w:rPr>
          <w:rFonts w:ascii="Arial" w:hAnsi="Arial" w:cs="Arial"/>
          <w:sz w:val="22"/>
          <w:szCs w:val="22"/>
        </w:rPr>
        <w:t xml:space="preserve">may </w:t>
      </w:r>
      <w:r w:rsidR="00316DAD" w:rsidRPr="00F463BC">
        <w:rPr>
          <w:rFonts w:ascii="Arial" w:hAnsi="Arial" w:cs="Arial"/>
          <w:sz w:val="22"/>
          <w:szCs w:val="22"/>
        </w:rPr>
        <w:t>become due at</w:t>
      </w:r>
      <w:r w:rsidR="0026573A" w:rsidRPr="00F463BC">
        <w:rPr>
          <w:rFonts w:ascii="Arial" w:hAnsi="Arial" w:cs="Arial"/>
          <w:sz w:val="22"/>
          <w:szCs w:val="22"/>
        </w:rPr>
        <w:t xml:space="preserve"> the end of a month. </w:t>
      </w:r>
      <w:r w:rsidR="00316DAD" w:rsidRPr="00F463BC">
        <w:rPr>
          <w:rFonts w:ascii="Arial" w:hAnsi="Arial" w:cs="Arial"/>
          <w:sz w:val="22"/>
          <w:szCs w:val="22"/>
        </w:rPr>
        <w:t xml:space="preserve">An auditor considers </w:t>
      </w:r>
      <w:r w:rsidR="0026573A" w:rsidRPr="00F463BC">
        <w:rPr>
          <w:rFonts w:ascii="Arial" w:hAnsi="Arial" w:cs="Arial"/>
          <w:sz w:val="22"/>
          <w:szCs w:val="22"/>
        </w:rPr>
        <w:t xml:space="preserve">the scheme’s approved credit policy </w:t>
      </w:r>
      <w:r w:rsidR="00316DAD" w:rsidRPr="00F463BC">
        <w:rPr>
          <w:rFonts w:ascii="Arial" w:hAnsi="Arial" w:cs="Arial"/>
          <w:sz w:val="22"/>
          <w:szCs w:val="22"/>
        </w:rPr>
        <w:t xml:space="preserve">in the circumstances </w:t>
      </w:r>
      <w:r w:rsidR="0026573A" w:rsidRPr="00F463BC">
        <w:rPr>
          <w:rFonts w:ascii="Arial" w:hAnsi="Arial" w:cs="Arial"/>
          <w:sz w:val="22"/>
          <w:szCs w:val="22"/>
        </w:rPr>
        <w:t xml:space="preserve">and whether </w:t>
      </w:r>
      <w:r w:rsidR="00316DAD" w:rsidRPr="00F463BC">
        <w:rPr>
          <w:rFonts w:ascii="Arial" w:hAnsi="Arial" w:cs="Arial"/>
          <w:sz w:val="22"/>
          <w:szCs w:val="22"/>
        </w:rPr>
        <w:t xml:space="preserve">the policy </w:t>
      </w:r>
      <w:r w:rsidR="0026573A" w:rsidRPr="00F463BC">
        <w:rPr>
          <w:rFonts w:ascii="Arial" w:hAnsi="Arial" w:cs="Arial"/>
          <w:sz w:val="22"/>
          <w:szCs w:val="22"/>
        </w:rPr>
        <w:t>has been implemented.</w:t>
      </w:r>
    </w:p>
    <w:p w:rsidR="0026573A" w:rsidRPr="00F463BC" w:rsidRDefault="0026573A" w:rsidP="00B82F08">
      <w:pPr>
        <w:pStyle w:val="Heading41"/>
        <w:spacing w:line="271" w:lineRule="auto"/>
        <w:rPr>
          <w:rFonts w:ascii="Arial" w:hAnsi="Arial" w:cs="Arial"/>
          <w:sz w:val="22"/>
          <w:szCs w:val="22"/>
        </w:rPr>
      </w:pPr>
      <w:bookmarkStart w:id="75" w:name="_Toc304897909"/>
      <w:r w:rsidRPr="00F463BC">
        <w:rPr>
          <w:rFonts w:ascii="Arial" w:hAnsi="Arial" w:cs="Arial"/>
          <w:sz w:val="22"/>
          <w:szCs w:val="22"/>
        </w:rPr>
        <w:t>Contributions not paid directly into the scheme’s bank account</w:t>
      </w:r>
      <w:bookmarkEnd w:id="75"/>
    </w:p>
    <w:p w:rsidR="0026573A" w:rsidRPr="00F463BC" w:rsidRDefault="0026573A"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of </w:t>
      </w:r>
      <w:r w:rsidRPr="00F463BC">
        <w:rPr>
          <w:rFonts w:ascii="Arial" w:hAnsi="Arial" w:cs="Arial"/>
          <w:sz w:val="22"/>
          <w:szCs w:val="22"/>
        </w:rPr>
        <w:lastRenderedPageBreak/>
        <w:t xml:space="preserve">these </w:t>
      </w:r>
      <w:r w:rsidR="00E05AC8" w:rsidRPr="00F463BC">
        <w:rPr>
          <w:rFonts w:ascii="Arial" w:hAnsi="Arial" w:cs="Arial"/>
          <w:sz w:val="22"/>
          <w:szCs w:val="22"/>
        </w:rPr>
        <w:t>monies</w:t>
      </w:r>
      <w:r w:rsidRPr="00F463BC">
        <w:rPr>
          <w:rFonts w:ascii="Arial" w:hAnsi="Arial" w:cs="Arial"/>
          <w:sz w:val="22"/>
          <w:szCs w:val="22"/>
        </w:rPr>
        <w:t xml:space="preserve">, into a bank account opened in the name of the medical scheme. </w:t>
      </w:r>
      <w:r w:rsidR="0003446A" w:rsidRPr="00F463BC">
        <w:rPr>
          <w:rFonts w:ascii="Arial" w:hAnsi="Arial" w:cs="Arial"/>
          <w:sz w:val="22"/>
          <w:szCs w:val="22"/>
        </w:rPr>
        <w:t>Regulation 23 also states that w</w:t>
      </w:r>
      <w:r w:rsidRPr="00F463BC">
        <w:rPr>
          <w:rFonts w:ascii="Arial" w:hAnsi="Arial" w:cs="Arial"/>
          <w:sz w:val="22"/>
          <w:szCs w:val="22"/>
        </w:rPr>
        <w:t xml:space="preserve">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 any bank account other than that of the medical scheme.</w:t>
      </w:r>
    </w:p>
    <w:p w:rsidR="00722AC6" w:rsidRPr="00F463BC" w:rsidRDefault="00722AC6" w:rsidP="00B82F08">
      <w:pPr>
        <w:pStyle w:val="Heading41"/>
        <w:spacing w:line="271" w:lineRule="auto"/>
        <w:rPr>
          <w:rFonts w:ascii="Arial" w:hAnsi="Arial" w:cs="Arial"/>
          <w:sz w:val="22"/>
          <w:szCs w:val="22"/>
        </w:rPr>
      </w:pPr>
      <w:bookmarkStart w:id="76" w:name="_Toc304897910"/>
      <w:r w:rsidRPr="00F463BC">
        <w:rPr>
          <w:rFonts w:ascii="Arial" w:hAnsi="Arial" w:cs="Arial"/>
          <w:sz w:val="22"/>
          <w:szCs w:val="22"/>
        </w:rPr>
        <w:t>Savings contributions not paid over to the PMSA tr</w:t>
      </w:r>
      <w:r w:rsidR="00F02A11" w:rsidRPr="00F463BC">
        <w:rPr>
          <w:rFonts w:ascii="Arial" w:hAnsi="Arial" w:cs="Arial"/>
          <w:sz w:val="22"/>
          <w:szCs w:val="22"/>
        </w:rPr>
        <w:t>ust investment account within 7 </w:t>
      </w:r>
      <w:r w:rsidRPr="00F463BC">
        <w:rPr>
          <w:rFonts w:ascii="Arial" w:hAnsi="Arial" w:cs="Arial"/>
          <w:sz w:val="22"/>
          <w:szCs w:val="22"/>
        </w:rPr>
        <w:t>days of receipt</w:t>
      </w:r>
    </w:p>
    <w:p w:rsidR="00722AC6" w:rsidRPr="00F463BC" w:rsidRDefault="00722AC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Savings contributions received must be retained in a trust bank account, separate from any of a scheme’s bank accounts. Circular 38 of 2011</w:t>
      </w:r>
      <w:r w:rsidR="00F02A11" w:rsidRPr="00F463BC">
        <w:rPr>
          <w:rStyle w:val="FootnoteReference"/>
          <w:rFonts w:ascii="Arial" w:hAnsi="Arial" w:cs="Arial"/>
          <w:sz w:val="22"/>
          <w:szCs w:val="22"/>
        </w:rPr>
        <w:footnoteReference w:id="13"/>
      </w:r>
      <w:r w:rsidRPr="00F463BC">
        <w:rPr>
          <w:rFonts w:ascii="Arial" w:hAnsi="Arial" w:cs="Arial"/>
          <w:sz w:val="22"/>
          <w:szCs w:val="22"/>
        </w:rPr>
        <w:t xml:space="preserve"> allows PMSA contributions to be collected together with the risk contributions, but the savings portion must be transferred to a separate trust account within seven days of receipt.</w:t>
      </w:r>
    </w:p>
    <w:p w:rsidR="0026573A" w:rsidRPr="00F463BC" w:rsidRDefault="0026573A" w:rsidP="00B82F08">
      <w:pPr>
        <w:pStyle w:val="Heading41"/>
        <w:spacing w:line="271" w:lineRule="auto"/>
        <w:rPr>
          <w:rFonts w:ascii="Arial" w:hAnsi="Arial" w:cs="Arial"/>
          <w:sz w:val="22"/>
          <w:szCs w:val="22"/>
        </w:rPr>
      </w:pPr>
      <w:r w:rsidRPr="00F463BC">
        <w:rPr>
          <w:rFonts w:ascii="Arial" w:hAnsi="Arial" w:cs="Arial"/>
          <w:sz w:val="22"/>
          <w:szCs w:val="22"/>
        </w:rPr>
        <w:t xml:space="preserve">Arrear contribution </w:t>
      </w:r>
      <w:bookmarkEnd w:id="76"/>
      <w:r w:rsidR="00411691" w:rsidRPr="00F463BC">
        <w:rPr>
          <w:rFonts w:ascii="Arial" w:hAnsi="Arial" w:cs="Arial"/>
          <w:sz w:val="22"/>
          <w:szCs w:val="22"/>
        </w:rPr>
        <w:t>receivable</w:t>
      </w:r>
    </w:p>
    <w:p w:rsidR="00B0418A" w:rsidRPr="00F463BC" w:rsidRDefault="006F569F"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medical </w:t>
      </w:r>
      <w:r w:rsidR="00B0418A" w:rsidRPr="00F463BC">
        <w:rPr>
          <w:rFonts w:ascii="Arial" w:hAnsi="Arial" w:cs="Arial"/>
          <w:sz w:val="22"/>
          <w:szCs w:val="22"/>
        </w:rPr>
        <w:t>scheme’s credit policy might not be applied correctly in respect of the suspension of benefits and termination of membership.</w:t>
      </w:r>
    </w:p>
    <w:p w:rsidR="0026573A" w:rsidRPr="00F463BC" w:rsidRDefault="006231C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M</w:t>
      </w:r>
      <w:r w:rsidR="0026573A" w:rsidRPr="00F463BC">
        <w:rPr>
          <w:rFonts w:ascii="Arial" w:hAnsi="Arial" w:cs="Arial"/>
          <w:sz w:val="22"/>
          <w:szCs w:val="22"/>
        </w:rPr>
        <w:t>isstatement of arrear contribution</w:t>
      </w:r>
      <w:r w:rsidR="006F569F" w:rsidRPr="00F463BC">
        <w:rPr>
          <w:rFonts w:ascii="Arial" w:hAnsi="Arial" w:cs="Arial"/>
          <w:sz w:val="22"/>
          <w:szCs w:val="22"/>
        </w:rPr>
        <w:t xml:space="preserve">s receivable </w:t>
      </w:r>
      <w:r w:rsidR="0026573A" w:rsidRPr="00F463BC">
        <w:rPr>
          <w:rFonts w:ascii="Arial" w:hAnsi="Arial" w:cs="Arial"/>
          <w:sz w:val="22"/>
          <w:szCs w:val="22"/>
        </w:rPr>
        <w:t>may include inter alia:</w:t>
      </w:r>
    </w:p>
    <w:p w:rsidR="0026573A" w:rsidRPr="00E47E1C" w:rsidRDefault="00CE382B" w:rsidP="00B82F08">
      <w:pPr>
        <w:pStyle w:val="Bulletsa"/>
        <w:numPr>
          <w:ilvl w:val="0"/>
          <w:numId w:val="46"/>
        </w:numPr>
        <w:tabs>
          <w:tab w:val="left" w:pos="993"/>
        </w:tabs>
        <w:spacing w:before="0" w:line="271" w:lineRule="auto"/>
        <w:ind w:left="993" w:hanging="426"/>
        <w:rPr>
          <w:rFonts w:ascii="Arial" w:hAnsi="Arial" w:cs="Arial"/>
          <w:sz w:val="22"/>
          <w:szCs w:val="22"/>
        </w:rPr>
      </w:pPr>
      <w:r w:rsidRPr="00E47E1C">
        <w:rPr>
          <w:rFonts w:ascii="Arial" w:hAnsi="Arial" w:cs="Arial"/>
          <w:sz w:val="22"/>
          <w:szCs w:val="22"/>
        </w:rPr>
        <w:t xml:space="preserve">Inaccurate contributions, discussed in paragraph </w:t>
      </w:r>
      <w:r w:rsidR="00B608F7" w:rsidRPr="00E753ED">
        <w:rPr>
          <w:rFonts w:ascii="Arial" w:hAnsi="Arial" w:cs="Arial"/>
          <w:sz w:val="22"/>
          <w:szCs w:val="22"/>
        </w:rPr>
        <w:t>3</w:t>
      </w:r>
      <w:r w:rsidR="00E47E1C" w:rsidRPr="00E47E1C">
        <w:rPr>
          <w:rFonts w:ascii="Arial" w:hAnsi="Arial" w:cs="Arial"/>
          <w:sz w:val="22"/>
          <w:szCs w:val="22"/>
        </w:rPr>
        <w:t>9</w:t>
      </w:r>
      <w:r w:rsidR="0026573A" w:rsidRPr="00E47E1C">
        <w:rPr>
          <w:rFonts w:ascii="Arial" w:hAnsi="Arial" w:cs="Arial"/>
          <w:sz w:val="22"/>
          <w:szCs w:val="22"/>
        </w:rPr>
        <w:t>.</w:t>
      </w:r>
    </w:p>
    <w:p w:rsidR="0026573A" w:rsidRPr="00F463BC" w:rsidRDefault="0026573A"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Arrear contributions not recoverable</w:t>
      </w:r>
      <w:r w:rsidR="008339EC" w:rsidRPr="00F463BC">
        <w:rPr>
          <w:rFonts w:ascii="Arial" w:hAnsi="Arial" w:cs="Arial"/>
          <w:sz w:val="22"/>
          <w:szCs w:val="22"/>
        </w:rPr>
        <w:t xml:space="preserve"> </w:t>
      </w:r>
      <w:r w:rsidR="00B608F7" w:rsidRPr="00F463BC">
        <w:rPr>
          <w:rFonts w:ascii="Arial" w:hAnsi="Arial" w:cs="Arial"/>
          <w:sz w:val="22"/>
          <w:szCs w:val="22"/>
        </w:rPr>
        <w:t xml:space="preserve">that </w:t>
      </w:r>
      <w:r w:rsidR="00CE382B" w:rsidRPr="00F463BC">
        <w:rPr>
          <w:rFonts w:ascii="Arial" w:hAnsi="Arial" w:cs="Arial"/>
          <w:sz w:val="22"/>
          <w:szCs w:val="22"/>
        </w:rPr>
        <w:t>have not been</w:t>
      </w:r>
      <w:r w:rsidRPr="00F463BC">
        <w:rPr>
          <w:rFonts w:ascii="Arial" w:hAnsi="Arial" w:cs="Arial"/>
          <w:sz w:val="22"/>
          <w:szCs w:val="22"/>
        </w:rPr>
        <w:t xml:space="preserve"> </w:t>
      </w:r>
      <w:r w:rsidR="00D957C0" w:rsidRPr="00F463BC">
        <w:rPr>
          <w:rFonts w:ascii="Arial" w:hAnsi="Arial" w:cs="Arial"/>
          <w:sz w:val="22"/>
          <w:szCs w:val="22"/>
        </w:rPr>
        <w:t xml:space="preserve">adequately </w:t>
      </w:r>
      <w:r w:rsidRPr="00F463BC">
        <w:rPr>
          <w:rFonts w:ascii="Arial" w:hAnsi="Arial" w:cs="Arial"/>
          <w:sz w:val="22"/>
          <w:szCs w:val="22"/>
        </w:rPr>
        <w:t xml:space="preserve">impaired. </w:t>
      </w:r>
    </w:p>
    <w:p w:rsidR="00A870CB" w:rsidRPr="00F463BC" w:rsidRDefault="0026573A"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Cash receiv</w:t>
      </w:r>
      <w:r w:rsidR="00CE382B" w:rsidRPr="00F463BC">
        <w:rPr>
          <w:rFonts w:ascii="Arial" w:hAnsi="Arial" w:cs="Arial"/>
          <w:sz w:val="22"/>
          <w:szCs w:val="22"/>
        </w:rPr>
        <w:t xml:space="preserve">able </w:t>
      </w:r>
      <w:r w:rsidRPr="00F463BC">
        <w:rPr>
          <w:rFonts w:ascii="Arial" w:hAnsi="Arial" w:cs="Arial"/>
          <w:sz w:val="22"/>
          <w:szCs w:val="22"/>
        </w:rPr>
        <w:t xml:space="preserve">not </w:t>
      </w:r>
      <w:r w:rsidR="00CE382B" w:rsidRPr="00F463BC">
        <w:rPr>
          <w:rFonts w:ascii="Arial" w:hAnsi="Arial" w:cs="Arial"/>
          <w:sz w:val="22"/>
          <w:szCs w:val="22"/>
        </w:rPr>
        <w:t xml:space="preserve">being allocated </w:t>
      </w:r>
      <w:r w:rsidRPr="00F463BC">
        <w:rPr>
          <w:rFonts w:ascii="Arial" w:hAnsi="Arial" w:cs="Arial"/>
          <w:sz w:val="22"/>
          <w:szCs w:val="22"/>
        </w:rPr>
        <w:t>to the debt to which it relates</w:t>
      </w:r>
      <w:r w:rsidR="00CE382B" w:rsidRPr="00F463BC">
        <w:rPr>
          <w:rFonts w:ascii="Arial" w:hAnsi="Arial" w:cs="Arial"/>
          <w:sz w:val="22"/>
          <w:szCs w:val="22"/>
        </w:rPr>
        <w:t>,</w:t>
      </w:r>
      <w:r w:rsidRPr="00F463BC">
        <w:rPr>
          <w:rFonts w:ascii="Arial" w:hAnsi="Arial" w:cs="Arial"/>
          <w:sz w:val="22"/>
          <w:szCs w:val="22"/>
        </w:rPr>
        <w:t xml:space="preserve"> resulting in </w:t>
      </w:r>
      <w:r w:rsidR="00B0418A" w:rsidRPr="00F463BC">
        <w:rPr>
          <w:rFonts w:ascii="Arial" w:hAnsi="Arial" w:cs="Arial"/>
          <w:sz w:val="22"/>
          <w:szCs w:val="22"/>
        </w:rPr>
        <w:t xml:space="preserve">the </w:t>
      </w:r>
      <w:r w:rsidRPr="00F463BC">
        <w:rPr>
          <w:rFonts w:ascii="Arial" w:hAnsi="Arial" w:cs="Arial"/>
          <w:sz w:val="22"/>
          <w:szCs w:val="22"/>
        </w:rPr>
        <w:t>ageing being unreliable for the purposes of considering impairments</w:t>
      </w:r>
      <w:r w:rsidR="00A870CB" w:rsidRPr="00F463BC">
        <w:rPr>
          <w:rFonts w:ascii="Arial" w:hAnsi="Arial" w:cs="Arial"/>
          <w:sz w:val="22"/>
          <w:szCs w:val="22"/>
        </w:rPr>
        <w:t>.</w:t>
      </w:r>
    </w:p>
    <w:p w:rsidR="0026573A" w:rsidRPr="00F463BC" w:rsidRDefault="00A870CB"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U</w:t>
      </w:r>
      <w:r w:rsidR="0026573A" w:rsidRPr="00F463BC">
        <w:rPr>
          <w:rFonts w:ascii="Arial" w:hAnsi="Arial" w:cs="Arial"/>
          <w:sz w:val="22"/>
          <w:szCs w:val="22"/>
        </w:rPr>
        <w:t xml:space="preserve">nallocated </w:t>
      </w:r>
      <w:r w:rsidR="00CE382B" w:rsidRPr="00F463BC">
        <w:rPr>
          <w:rFonts w:ascii="Arial" w:hAnsi="Arial" w:cs="Arial"/>
          <w:sz w:val="22"/>
          <w:szCs w:val="22"/>
        </w:rPr>
        <w:t xml:space="preserve">amounts </w:t>
      </w:r>
      <w:r w:rsidR="0026573A" w:rsidRPr="00F463BC">
        <w:rPr>
          <w:rFonts w:ascii="Arial" w:hAnsi="Arial" w:cs="Arial"/>
          <w:sz w:val="22"/>
          <w:szCs w:val="22"/>
        </w:rPr>
        <w:t>relating to arrear contribution</w:t>
      </w:r>
      <w:r w:rsidR="00CE382B"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being</w:t>
      </w:r>
      <w:r w:rsidR="00CE382B" w:rsidRPr="00F463BC">
        <w:rPr>
          <w:rFonts w:ascii="Arial" w:hAnsi="Arial" w:cs="Arial"/>
          <w:sz w:val="22"/>
          <w:szCs w:val="22"/>
        </w:rPr>
        <w:t xml:space="preserve"> </w:t>
      </w:r>
      <w:r w:rsidR="0026573A" w:rsidRPr="00F463BC">
        <w:rPr>
          <w:rFonts w:ascii="Arial" w:hAnsi="Arial" w:cs="Arial"/>
          <w:sz w:val="22"/>
          <w:szCs w:val="22"/>
        </w:rPr>
        <w:t xml:space="preserve">disclosed under current liabilities and not </w:t>
      </w:r>
      <w:r w:rsidR="006231C6" w:rsidRPr="00F463BC">
        <w:rPr>
          <w:rFonts w:ascii="Arial" w:hAnsi="Arial" w:cs="Arial"/>
          <w:sz w:val="22"/>
          <w:szCs w:val="22"/>
        </w:rPr>
        <w:t xml:space="preserve">set </w:t>
      </w:r>
      <w:r w:rsidR="0026573A" w:rsidRPr="00F463BC">
        <w:rPr>
          <w:rFonts w:ascii="Arial" w:hAnsi="Arial" w:cs="Arial"/>
          <w:sz w:val="22"/>
          <w:szCs w:val="22"/>
        </w:rPr>
        <w:t xml:space="preserve">off against the </w:t>
      </w:r>
      <w:r w:rsidR="00CE382B" w:rsidRPr="00F463BC">
        <w:rPr>
          <w:rFonts w:ascii="Arial" w:hAnsi="Arial" w:cs="Arial"/>
          <w:sz w:val="22"/>
          <w:szCs w:val="22"/>
        </w:rPr>
        <w:t xml:space="preserve">receivable </w:t>
      </w:r>
      <w:r w:rsidR="0026573A" w:rsidRPr="00F463BC">
        <w:rPr>
          <w:rFonts w:ascii="Arial" w:hAnsi="Arial" w:cs="Arial"/>
          <w:sz w:val="22"/>
          <w:szCs w:val="22"/>
        </w:rPr>
        <w:t xml:space="preserve">to which it relates. </w:t>
      </w:r>
    </w:p>
    <w:p w:rsidR="0026573A" w:rsidRPr="00F463BC" w:rsidRDefault="00EC191E"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Unallocated amounts not relating to arrear contributions being set off against contributions receivable,</w:t>
      </w:r>
      <w:r w:rsidR="0026573A" w:rsidRPr="00F463BC">
        <w:rPr>
          <w:rFonts w:ascii="Arial" w:hAnsi="Arial" w:cs="Arial"/>
          <w:sz w:val="22"/>
          <w:szCs w:val="22"/>
        </w:rPr>
        <w:t xml:space="preserve"> resulting in the understatement of arrear contribution</w:t>
      </w:r>
      <w:r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 xml:space="preserve">receivable </w:t>
      </w:r>
      <w:r w:rsidR="0026573A" w:rsidRPr="00F463BC">
        <w:rPr>
          <w:rFonts w:ascii="Arial" w:hAnsi="Arial" w:cs="Arial"/>
          <w:sz w:val="22"/>
          <w:szCs w:val="22"/>
        </w:rPr>
        <w:t>and current liabilities.</w:t>
      </w:r>
    </w:p>
    <w:p w:rsidR="0026573A" w:rsidRPr="00F463BC" w:rsidRDefault="00EC191E"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Amounts </w:t>
      </w:r>
      <w:r w:rsidR="0026573A" w:rsidRPr="00F463BC">
        <w:rPr>
          <w:rFonts w:ascii="Arial" w:hAnsi="Arial" w:cs="Arial"/>
          <w:sz w:val="22"/>
          <w:szCs w:val="22"/>
        </w:rPr>
        <w:t xml:space="preserve">received may not be allocated on a member level. This </w:t>
      </w:r>
      <w:r w:rsidRPr="00F463BC">
        <w:rPr>
          <w:rFonts w:ascii="Arial" w:hAnsi="Arial" w:cs="Arial"/>
          <w:sz w:val="22"/>
          <w:szCs w:val="22"/>
        </w:rPr>
        <w:t xml:space="preserve">may </w:t>
      </w:r>
      <w:r w:rsidR="0026573A" w:rsidRPr="00F463BC">
        <w:rPr>
          <w:rFonts w:ascii="Arial" w:hAnsi="Arial" w:cs="Arial"/>
          <w:sz w:val="22"/>
          <w:szCs w:val="22"/>
        </w:rPr>
        <w:t xml:space="preserve">arise where </w:t>
      </w:r>
      <w:r w:rsidRPr="00F463BC">
        <w:rPr>
          <w:rFonts w:ascii="Arial" w:hAnsi="Arial" w:cs="Arial"/>
          <w:sz w:val="22"/>
          <w:szCs w:val="22"/>
        </w:rPr>
        <w:t xml:space="preserve">amounts </w:t>
      </w:r>
      <w:r w:rsidR="0026573A" w:rsidRPr="00F463BC">
        <w:rPr>
          <w:rFonts w:ascii="Arial" w:hAnsi="Arial" w:cs="Arial"/>
          <w:sz w:val="22"/>
          <w:szCs w:val="22"/>
        </w:rPr>
        <w:t xml:space="preserve">received </w:t>
      </w:r>
      <w:r w:rsidRPr="00F463BC">
        <w:rPr>
          <w:rFonts w:ascii="Arial" w:hAnsi="Arial" w:cs="Arial"/>
          <w:sz w:val="22"/>
          <w:szCs w:val="22"/>
        </w:rPr>
        <w:t>are</w:t>
      </w:r>
      <w:r w:rsidR="0026573A" w:rsidRPr="00F463BC">
        <w:rPr>
          <w:rFonts w:ascii="Arial" w:hAnsi="Arial" w:cs="Arial"/>
          <w:sz w:val="22"/>
          <w:szCs w:val="22"/>
        </w:rPr>
        <w:t xml:space="preserve"> </w:t>
      </w:r>
      <w:r w:rsidRPr="00F463BC">
        <w:rPr>
          <w:rFonts w:ascii="Arial" w:hAnsi="Arial" w:cs="Arial"/>
          <w:sz w:val="22"/>
          <w:szCs w:val="22"/>
        </w:rPr>
        <w:t xml:space="preserve">allocated </w:t>
      </w:r>
      <w:r w:rsidR="0026573A" w:rsidRPr="00F463BC">
        <w:rPr>
          <w:rFonts w:ascii="Arial" w:hAnsi="Arial" w:cs="Arial"/>
          <w:sz w:val="22"/>
          <w:szCs w:val="22"/>
        </w:rPr>
        <w:t xml:space="preserve">at a scheme or group level only. This risk is mainly applicable to large open schemes. </w:t>
      </w:r>
    </w:p>
    <w:p w:rsidR="0026573A" w:rsidRPr="00F463BC" w:rsidRDefault="00EC191E"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w:t>
      </w:r>
      <w:r w:rsidR="0026573A" w:rsidRPr="00F463BC">
        <w:rPr>
          <w:rFonts w:ascii="Arial" w:hAnsi="Arial" w:cs="Arial"/>
          <w:sz w:val="22"/>
          <w:szCs w:val="22"/>
        </w:rPr>
        <w:t xml:space="preserve">ad debts </w:t>
      </w:r>
      <w:r w:rsidRPr="00F463BC">
        <w:rPr>
          <w:rFonts w:ascii="Arial" w:hAnsi="Arial" w:cs="Arial"/>
          <w:sz w:val="22"/>
          <w:szCs w:val="22"/>
        </w:rPr>
        <w:t xml:space="preserve">being </w:t>
      </w:r>
      <w:r w:rsidR="0026573A" w:rsidRPr="00F463BC">
        <w:rPr>
          <w:rFonts w:ascii="Arial" w:hAnsi="Arial" w:cs="Arial"/>
          <w:sz w:val="22"/>
          <w:szCs w:val="22"/>
        </w:rPr>
        <w:t>written off</w:t>
      </w:r>
      <w:r w:rsidRPr="00F463BC">
        <w:rPr>
          <w:rFonts w:ascii="Arial" w:hAnsi="Arial" w:cs="Arial"/>
          <w:sz w:val="22"/>
          <w:szCs w:val="22"/>
        </w:rPr>
        <w:t xml:space="preserve">, not in </w:t>
      </w:r>
      <w:r w:rsidR="0026573A" w:rsidRPr="00F463BC">
        <w:rPr>
          <w:rFonts w:ascii="Arial" w:hAnsi="Arial" w:cs="Arial"/>
          <w:sz w:val="22"/>
          <w:szCs w:val="22"/>
        </w:rPr>
        <w:t>accordance with a scheme’s approved credit control policy, or in terms of the accounting policy as included in the financial statements</w:t>
      </w:r>
      <w:r w:rsidRPr="00F463BC">
        <w:rPr>
          <w:rFonts w:ascii="Arial" w:hAnsi="Arial" w:cs="Arial"/>
          <w:sz w:val="22"/>
          <w:szCs w:val="22"/>
        </w:rPr>
        <w:t xml:space="preserve">, and/or </w:t>
      </w:r>
      <w:r w:rsidR="0026573A" w:rsidRPr="00F463BC">
        <w:rPr>
          <w:rFonts w:ascii="Arial" w:hAnsi="Arial" w:cs="Arial"/>
          <w:sz w:val="22"/>
          <w:szCs w:val="22"/>
        </w:rPr>
        <w:t>without the necessary authority.</w:t>
      </w:r>
    </w:p>
    <w:p w:rsidR="00702E96" w:rsidRPr="00F463BC" w:rsidRDefault="00702E9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11_–_1" w:history="1">
        <w:r w:rsidR="00B608F7" w:rsidRPr="00F463BC">
          <w:rPr>
            <w:rStyle w:val="Hyperlink"/>
            <w:rFonts w:ascii="Arial" w:hAnsi="Arial" w:cs="Arial"/>
            <w:sz w:val="22"/>
            <w:szCs w:val="22"/>
          </w:rPr>
          <w:t>Appendix 11 – Contribution CAATS</w:t>
        </w:r>
      </w:hyperlink>
      <w:r w:rsidR="00B608F7" w:rsidRPr="00F463BC">
        <w:rPr>
          <w:rFonts w:ascii="Arial" w:hAnsi="Arial" w:cs="Arial"/>
          <w:sz w:val="22"/>
          <w:szCs w:val="22"/>
        </w:rPr>
        <w:t xml:space="preserve"> </w:t>
      </w:r>
      <w:r w:rsidRPr="00F463BC">
        <w:rPr>
          <w:rFonts w:ascii="Arial" w:hAnsi="Arial" w:cs="Arial"/>
          <w:sz w:val="22"/>
          <w:szCs w:val="22"/>
        </w:rPr>
        <w:t xml:space="preserve">for examples of CAATs used in </w:t>
      </w:r>
      <w:r w:rsidR="00C06CB5" w:rsidRPr="00F463BC">
        <w:rPr>
          <w:rFonts w:ascii="Arial" w:hAnsi="Arial" w:cs="Arial"/>
          <w:sz w:val="22"/>
          <w:szCs w:val="22"/>
        </w:rPr>
        <w:t xml:space="preserve">the audit of </w:t>
      </w:r>
      <w:r w:rsidRPr="00F463BC">
        <w:rPr>
          <w:rFonts w:ascii="Arial" w:hAnsi="Arial" w:cs="Arial"/>
          <w:sz w:val="22"/>
          <w:szCs w:val="22"/>
        </w:rPr>
        <w:t>a medical scheme.</w:t>
      </w:r>
    </w:p>
    <w:p w:rsidR="00306A78" w:rsidRPr="00F463BC" w:rsidRDefault="00306A78" w:rsidP="00B82F08">
      <w:pPr>
        <w:pStyle w:val="Bulletnrs"/>
        <w:numPr>
          <w:ilvl w:val="0"/>
          <w:numId w:val="0"/>
        </w:numPr>
        <w:tabs>
          <w:tab w:val="left" w:pos="567"/>
        </w:tabs>
        <w:spacing w:before="0" w:line="271" w:lineRule="auto"/>
        <w:ind w:left="567"/>
        <w:rPr>
          <w:rFonts w:ascii="Arial" w:hAnsi="Arial" w:cs="Arial"/>
          <w:sz w:val="22"/>
          <w:szCs w:val="22"/>
        </w:rPr>
      </w:pPr>
    </w:p>
    <w:p w:rsidR="0073798E" w:rsidRPr="00F463BC" w:rsidRDefault="00411691" w:rsidP="00B82F08">
      <w:pPr>
        <w:pStyle w:val="Heading2"/>
        <w:keepNext/>
        <w:spacing w:before="0" w:line="271" w:lineRule="auto"/>
      </w:pPr>
      <w:bookmarkStart w:id="77" w:name="_Toc455582215"/>
      <w:r w:rsidRPr="00F463BC">
        <w:lastRenderedPageBreak/>
        <w:t>Healthcare benefits</w:t>
      </w:r>
      <w:bookmarkEnd w:id="77"/>
    </w:p>
    <w:p w:rsidR="004F5150" w:rsidRPr="00F463BC" w:rsidRDefault="00A0156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w:t>
      </w:r>
      <w:r w:rsidR="0091239C" w:rsidRPr="00F463BC">
        <w:rPr>
          <w:rFonts w:ascii="Arial" w:hAnsi="Arial" w:cs="Arial"/>
          <w:sz w:val="22"/>
          <w:szCs w:val="22"/>
        </w:rPr>
        <w:t>risk</w:t>
      </w:r>
      <w:r w:rsidR="004F5150" w:rsidRPr="00F463BC">
        <w:rPr>
          <w:rFonts w:ascii="Arial" w:hAnsi="Arial" w:cs="Arial"/>
          <w:sz w:val="22"/>
          <w:szCs w:val="22"/>
        </w:rPr>
        <w:t xml:space="preserve"> in </w:t>
      </w:r>
      <w:r w:rsidRPr="00F463BC">
        <w:rPr>
          <w:rFonts w:ascii="Arial" w:hAnsi="Arial" w:cs="Arial"/>
          <w:sz w:val="22"/>
          <w:szCs w:val="22"/>
        </w:rPr>
        <w:t xml:space="preserve">the payment of </w:t>
      </w:r>
      <w:r w:rsidR="004F5150" w:rsidRPr="00F463BC">
        <w:rPr>
          <w:rFonts w:ascii="Arial" w:hAnsi="Arial" w:cs="Arial"/>
          <w:sz w:val="22"/>
          <w:szCs w:val="22"/>
        </w:rPr>
        <w:t>claims</w:t>
      </w:r>
      <w:r w:rsidRPr="00F463BC">
        <w:rPr>
          <w:rFonts w:ascii="Arial" w:hAnsi="Arial" w:cs="Arial"/>
          <w:sz w:val="22"/>
          <w:szCs w:val="22"/>
        </w:rPr>
        <w:t xml:space="preserve"> </w:t>
      </w:r>
      <w:r w:rsidR="004F5150" w:rsidRPr="00F463BC">
        <w:rPr>
          <w:rFonts w:ascii="Arial" w:hAnsi="Arial" w:cs="Arial"/>
          <w:sz w:val="22"/>
          <w:szCs w:val="22"/>
        </w:rPr>
        <w:t>relate</w:t>
      </w:r>
      <w:r w:rsidRPr="00F463BC">
        <w:rPr>
          <w:rFonts w:ascii="Arial" w:hAnsi="Arial" w:cs="Arial"/>
          <w:sz w:val="22"/>
          <w:szCs w:val="22"/>
        </w:rPr>
        <w:t>s</w:t>
      </w:r>
      <w:r w:rsidR="004F5150" w:rsidRPr="00F463BC">
        <w:rPr>
          <w:rFonts w:ascii="Arial" w:hAnsi="Arial" w:cs="Arial"/>
          <w:sz w:val="22"/>
          <w:szCs w:val="22"/>
        </w:rPr>
        <w:t xml:space="preserve"> to </w:t>
      </w:r>
      <w:r w:rsidR="0091239C" w:rsidRPr="00F463BC">
        <w:rPr>
          <w:rFonts w:ascii="Arial" w:hAnsi="Arial" w:cs="Arial"/>
          <w:sz w:val="22"/>
          <w:szCs w:val="22"/>
        </w:rPr>
        <w:t xml:space="preserve">the </w:t>
      </w:r>
      <w:r w:rsidR="004F5150" w:rsidRPr="00F463BC">
        <w:rPr>
          <w:rFonts w:ascii="Arial" w:hAnsi="Arial" w:cs="Arial"/>
          <w:sz w:val="22"/>
          <w:szCs w:val="22"/>
        </w:rPr>
        <w:t xml:space="preserve">manner in which claims are submitted </w:t>
      </w:r>
      <w:r w:rsidRPr="00F463BC">
        <w:rPr>
          <w:rFonts w:ascii="Arial" w:hAnsi="Arial" w:cs="Arial"/>
          <w:sz w:val="22"/>
          <w:szCs w:val="22"/>
        </w:rPr>
        <w:t xml:space="preserve">to a medical scheme </w:t>
      </w:r>
      <w:r w:rsidR="004F5150" w:rsidRPr="00F463BC">
        <w:rPr>
          <w:rFonts w:ascii="Arial" w:hAnsi="Arial" w:cs="Arial"/>
          <w:sz w:val="22"/>
          <w:szCs w:val="22"/>
        </w:rPr>
        <w:t xml:space="preserve">(EDI and </w:t>
      </w:r>
      <w:r w:rsidRPr="00F463BC">
        <w:rPr>
          <w:rFonts w:ascii="Arial" w:hAnsi="Arial" w:cs="Arial"/>
          <w:sz w:val="22"/>
          <w:szCs w:val="22"/>
        </w:rPr>
        <w:t>“paper” claims</w:t>
      </w:r>
      <w:r w:rsidR="004F5150" w:rsidRPr="00F463BC">
        <w:rPr>
          <w:rFonts w:ascii="Arial" w:hAnsi="Arial" w:cs="Arial"/>
          <w:sz w:val="22"/>
          <w:szCs w:val="22"/>
        </w:rPr>
        <w:t>) and the related controls</w:t>
      </w:r>
      <w:r w:rsidR="0091239C" w:rsidRPr="00F463BC">
        <w:rPr>
          <w:rFonts w:ascii="Arial" w:hAnsi="Arial" w:cs="Arial"/>
          <w:sz w:val="22"/>
          <w:szCs w:val="22"/>
        </w:rPr>
        <w:t xml:space="preserve">. </w:t>
      </w:r>
      <w:r w:rsidR="00D76F94">
        <w:rPr>
          <w:rFonts w:ascii="Arial" w:hAnsi="Arial" w:cs="Arial"/>
          <w:sz w:val="22"/>
          <w:szCs w:val="22"/>
        </w:rPr>
        <w:t>The majority of claims are received via EDI.</w:t>
      </w:r>
      <w:r w:rsidR="0091239C" w:rsidRPr="00F463BC">
        <w:rPr>
          <w:rFonts w:ascii="Arial" w:hAnsi="Arial" w:cs="Arial"/>
          <w:sz w:val="22"/>
          <w:szCs w:val="22"/>
        </w:rPr>
        <w:t xml:space="preserve"> </w:t>
      </w:r>
    </w:p>
    <w:p w:rsidR="0091239C" w:rsidRPr="00F463BC" w:rsidRDefault="0091239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w:t>
      </w:r>
      <w:r w:rsidR="00913046" w:rsidRPr="00F463BC">
        <w:rPr>
          <w:rFonts w:ascii="Arial" w:hAnsi="Arial" w:cs="Arial"/>
          <w:sz w:val="22"/>
          <w:szCs w:val="22"/>
        </w:rPr>
        <w:t xml:space="preserve">some cases a </w:t>
      </w:r>
      <w:r w:rsidRPr="00F463BC">
        <w:rPr>
          <w:rFonts w:ascii="Arial" w:hAnsi="Arial" w:cs="Arial"/>
          <w:sz w:val="22"/>
          <w:szCs w:val="22"/>
        </w:rPr>
        <w:t>scheme</w:t>
      </w:r>
      <w:r w:rsidR="00913046" w:rsidRPr="00F463BC">
        <w:rPr>
          <w:rFonts w:ascii="Arial" w:hAnsi="Arial" w:cs="Arial"/>
          <w:sz w:val="22"/>
          <w:szCs w:val="22"/>
        </w:rPr>
        <w:t xml:space="preserve"> may </w:t>
      </w:r>
      <w:r w:rsidR="00BE10B3" w:rsidRPr="00F463BC">
        <w:rPr>
          <w:rFonts w:ascii="Arial" w:hAnsi="Arial" w:cs="Arial"/>
          <w:sz w:val="22"/>
          <w:szCs w:val="22"/>
        </w:rPr>
        <w:t xml:space="preserve">be unable to pay a claim electronically and may pay a claim by way of a cheque payment. </w:t>
      </w:r>
      <w:r w:rsidR="00165345" w:rsidRPr="00F463BC">
        <w:rPr>
          <w:rFonts w:ascii="Arial" w:hAnsi="Arial" w:cs="Arial"/>
          <w:sz w:val="22"/>
          <w:szCs w:val="22"/>
        </w:rPr>
        <w:t>An auditor considers whether there are risks applicable to cheque payments that are not dealt with below.</w:t>
      </w:r>
    </w:p>
    <w:p w:rsidR="00E9279E" w:rsidRPr="00F463BC" w:rsidRDefault="00E9279E" w:rsidP="00B82F08">
      <w:pPr>
        <w:pStyle w:val="Heading41"/>
        <w:spacing w:line="271" w:lineRule="auto"/>
        <w:rPr>
          <w:rFonts w:ascii="Arial" w:hAnsi="Arial" w:cs="Arial"/>
          <w:sz w:val="22"/>
          <w:szCs w:val="22"/>
        </w:rPr>
      </w:pPr>
      <w:bookmarkStart w:id="78" w:name="_Toc304897912"/>
      <w:r w:rsidRPr="00F463BC">
        <w:rPr>
          <w:rFonts w:ascii="Arial" w:hAnsi="Arial" w:cs="Arial"/>
          <w:sz w:val="22"/>
          <w:szCs w:val="22"/>
        </w:rPr>
        <w:t xml:space="preserve">Claims are </w:t>
      </w:r>
      <w:r w:rsidR="002644F1" w:rsidRPr="00F463BC">
        <w:rPr>
          <w:rFonts w:ascii="Arial" w:hAnsi="Arial" w:cs="Arial"/>
          <w:sz w:val="22"/>
          <w:szCs w:val="22"/>
        </w:rPr>
        <w:t>in</w:t>
      </w:r>
      <w:r w:rsidRPr="00F463BC">
        <w:rPr>
          <w:rFonts w:ascii="Arial" w:hAnsi="Arial" w:cs="Arial"/>
          <w:sz w:val="22"/>
          <w:szCs w:val="22"/>
        </w:rPr>
        <w:t>complete</w:t>
      </w:r>
    </w:p>
    <w:p w:rsidR="00931803" w:rsidRPr="00F463BC" w:rsidRDefault="00931803"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Controls may not be adequate to ensure that all claims </w:t>
      </w:r>
      <w:r w:rsidR="006C68B6" w:rsidRPr="00F463BC">
        <w:rPr>
          <w:rFonts w:ascii="Arial" w:hAnsi="Arial" w:cs="Arial"/>
          <w:sz w:val="22"/>
          <w:szCs w:val="22"/>
        </w:rPr>
        <w:t>payable</w:t>
      </w:r>
      <w:r w:rsidRPr="00F463BC">
        <w:rPr>
          <w:rFonts w:ascii="Arial" w:hAnsi="Arial" w:cs="Arial"/>
          <w:sz w:val="22"/>
          <w:szCs w:val="22"/>
        </w:rPr>
        <w:t xml:space="preserve"> are accounted for.</w:t>
      </w:r>
    </w:p>
    <w:p w:rsidR="00A1300D" w:rsidRPr="00F463BC" w:rsidRDefault="00165345"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Claims are not complete as a result of EDI claims not interfacing correctly</w:t>
      </w:r>
      <w:r w:rsidR="00A1300D" w:rsidRPr="00F463BC">
        <w:rPr>
          <w:rFonts w:ascii="Arial" w:hAnsi="Arial" w:cs="Arial"/>
          <w:sz w:val="22"/>
          <w:szCs w:val="22"/>
        </w:rPr>
        <w:t xml:space="preserve"> between the clearing houses and the administration system.</w:t>
      </w:r>
    </w:p>
    <w:p w:rsidR="00C14F76" w:rsidRPr="00F463BC" w:rsidRDefault="00A1300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M</w:t>
      </w:r>
      <w:r w:rsidR="00165345" w:rsidRPr="00F463BC">
        <w:rPr>
          <w:rFonts w:ascii="Arial" w:hAnsi="Arial" w:cs="Arial"/>
          <w:sz w:val="22"/>
          <w:szCs w:val="22"/>
        </w:rPr>
        <w:t xml:space="preserve">anual claims not processed. </w:t>
      </w:r>
    </w:p>
    <w:p w:rsidR="00D47362" w:rsidRPr="00F463BC" w:rsidRDefault="00891DB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Claims are back-dated or reversed subsequent to year-end.</w:t>
      </w:r>
    </w:p>
    <w:p w:rsidR="0091239C" w:rsidRPr="00F463BC" w:rsidRDefault="0091239C" w:rsidP="00B82F08">
      <w:pPr>
        <w:pStyle w:val="Heading41"/>
        <w:spacing w:line="271" w:lineRule="auto"/>
        <w:rPr>
          <w:rFonts w:ascii="Arial" w:hAnsi="Arial" w:cs="Arial"/>
          <w:sz w:val="22"/>
          <w:szCs w:val="22"/>
        </w:rPr>
      </w:pPr>
      <w:r w:rsidRPr="00F463BC">
        <w:rPr>
          <w:rFonts w:ascii="Arial" w:hAnsi="Arial" w:cs="Arial"/>
          <w:sz w:val="22"/>
          <w:szCs w:val="22"/>
        </w:rPr>
        <w:t>Invalid claims</w:t>
      </w:r>
      <w:bookmarkEnd w:id="78"/>
      <w:r w:rsidRPr="00F463BC">
        <w:rPr>
          <w:rFonts w:ascii="Arial" w:hAnsi="Arial" w:cs="Arial"/>
          <w:sz w:val="22"/>
          <w:szCs w:val="22"/>
        </w:rPr>
        <w:t xml:space="preserve"> </w:t>
      </w:r>
    </w:p>
    <w:p w:rsidR="0091239C" w:rsidRPr="00F463BC" w:rsidRDefault="003C6FD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w:t>
      </w:r>
      <w:r w:rsidR="0091239C" w:rsidRPr="00F463BC">
        <w:rPr>
          <w:rFonts w:ascii="Arial" w:hAnsi="Arial" w:cs="Arial"/>
          <w:sz w:val="22"/>
          <w:szCs w:val="22"/>
        </w:rPr>
        <w:t xml:space="preserve">laims </w:t>
      </w:r>
      <w:r w:rsidRPr="00F463BC">
        <w:rPr>
          <w:rFonts w:ascii="Arial" w:hAnsi="Arial" w:cs="Arial"/>
          <w:sz w:val="22"/>
          <w:szCs w:val="22"/>
        </w:rPr>
        <w:t>are</w:t>
      </w:r>
      <w:r w:rsidR="006231C6" w:rsidRPr="00F463BC">
        <w:rPr>
          <w:rFonts w:ascii="Arial" w:hAnsi="Arial" w:cs="Arial"/>
          <w:sz w:val="22"/>
          <w:szCs w:val="22"/>
        </w:rPr>
        <w:t xml:space="preserve"> inherently </w:t>
      </w:r>
      <w:r w:rsidR="0091239C" w:rsidRPr="00F463BC">
        <w:rPr>
          <w:rFonts w:ascii="Arial" w:hAnsi="Arial" w:cs="Arial"/>
          <w:sz w:val="22"/>
          <w:szCs w:val="22"/>
        </w:rPr>
        <w:t xml:space="preserve">susceptible to fraud and error. </w:t>
      </w:r>
      <w:r w:rsidRPr="00F463BC">
        <w:rPr>
          <w:rFonts w:ascii="Arial" w:hAnsi="Arial" w:cs="Arial"/>
          <w:sz w:val="22"/>
          <w:szCs w:val="22"/>
        </w:rPr>
        <w:t>Material misstatements may arise from:</w:t>
      </w:r>
    </w:p>
    <w:p w:rsidR="0091239C" w:rsidRPr="00F463BC" w:rsidRDefault="0091239C" w:rsidP="00B82F08">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Claims processed for services not rendered to members </w:t>
      </w:r>
      <w:r w:rsidR="007662FD" w:rsidRPr="00F463BC">
        <w:rPr>
          <w:rFonts w:ascii="Arial" w:hAnsi="Arial" w:cs="Arial"/>
          <w:sz w:val="22"/>
          <w:szCs w:val="22"/>
        </w:rPr>
        <w:t>i.e.</w:t>
      </w:r>
      <w:r w:rsidRPr="00F463BC">
        <w:rPr>
          <w:rFonts w:ascii="Arial" w:hAnsi="Arial" w:cs="Arial"/>
          <w:sz w:val="22"/>
          <w:szCs w:val="22"/>
        </w:rPr>
        <w:t xml:space="preserve"> fictitious claims.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Stale claims processed for payment. Typically claims received for payment that are older than four </w:t>
      </w:r>
      <w:r w:rsidR="007C251E" w:rsidRPr="00F463BC">
        <w:rPr>
          <w:rFonts w:ascii="Arial" w:hAnsi="Arial" w:cs="Arial"/>
          <w:sz w:val="22"/>
          <w:szCs w:val="22"/>
        </w:rPr>
        <w:t xml:space="preserve">months </w:t>
      </w:r>
      <w:r w:rsidRPr="00F463BC">
        <w:rPr>
          <w:rFonts w:ascii="Arial" w:hAnsi="Arial" w:cs="Arial"/>
          <w:sz w:val="22"/>
          <w:szCs w:val="22"/>
        </w:rPr>
        <w:t>from date of service are regarded as stale</w:t>
      </w:r>
      <w:r w:rsidR="00AF3E8A" w:rsidRPr="00F463BC">
        <w:rPr>
          <w:rFonts w:ascii="Arial" w:hAnsi="Arial" w:cs="Arial"/>
          <w:sz w:val="22"/>
          <w:szCs w:val="22"/>
        </w:rPr>
        <w:t xml:space="preserve"> and, as a consequence, are invalid. However, </w:t>
      </w:r>
      <w:r w:rsidR="00B05B13" w:rsidRPr="00F463BC">
        <w:rPr>
          <w:rFonts w:ascii="Arial" w:hAnsi="Arial" w:cs="Arial"/>
          <w:sz w:val="22"/>
          <w:szCs w:val="22"/>
        </w:rPr>
        <w:t xml:space="preserve">the </w:t>
      </w:r>
      <w:r w:rsidR="00EA3C6A" w:rsidRPr="00F463BC">
        <w:rPr>
          <w:rFonts w:ascii="Arial" w:hAnsi="Arial" w:cs="Arial"/>
          <w:sz w:val="22"/>
          <w:szCs w:val="22"/>
        </w:rPr>
        <w:t>Rule</w:t>
      </w:r>
      <w:r w:rsidR="00B05B13" w:rsidRPr="00F463BC">
        <w:rPr>
          <w:rFonts w:ascii="Arial" w:hAnsi="Arial" w:cs="Arial"/>
          <w:sz w:val="22"/>
          <w:szCs w:val="22"/>
        </w:rPr>
        <w:t xml:space="preserve">s may extend the </w:t>
      </w:r>
      <w:r w:rsidR="00AF3E8A" w:rsidRPr="00F463BC">
        <w:rPr>
          <w:rFonts w:ascii="Arial" w:hAnsi="Arial" w:cs="Arial"/>
          <w:sz w:val="22"/>
          <w:szCs w:val="22"/>
        </w:rPr>
        <w:t>validity of the claim period</w:t>
      </w:r>
      <w:r w:rsidRPr="00F463BC">
        <w:rPr>
          <w:rFonts w:ascii="Arial" w:hAnsi="Arial" w:cs="Arial"/>
          <w:sz w:val="22"/>
          <w:szCs w:val="22"/>
        </w:rPr>
        <w:t>.</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Tariff coding on submitted claims </w:t>
      </w:r>
      <w:r w:rsidR="006769BB" w:rsidRPr="00F463BC">
        <w:rPr>
          <w:rFonts w:ascii="Arial" w:hAnsi="Arial" w:cs="Arial"/>
          <w:sz w:val="22"/>
          <w:szCs w:val="22"/>
        </w:rPr>
        <w:t>being</w:t>
      </w:r>
      <w:r w:rsidR="00E64B78" w:rsidRPr="00F463BC">
        <w:rPr>
          <w:rFonts w:ascii="Arial" w:hAnsi="Arial" w:cs="Arial"/>
          <w:sz w:val="22"/>
          <w:szCs w:val="22"/>
        </w:rPr>
        <w:t xml:space="preserve"> </w:t>
      </w:r>
      <w:r w:rsidRPr="00F463BC">
        <w:rPr>
          <w:rFonts w:ascii="Arial" w:hAnsi="Arial" w:cs="Arial"/>
          <w:sz w:val="22"/>
          <w:szCs w:val="22"/>
        </w:rPr>
        <w:t xml:space="preserve">inaccurate or not aligning to </w:t>
      </w:r>
      <w:r w:rsidR="006769BB" w:rsidRPr="00F463BC">
        <w:rPr>
          <w:rFonts w:ascii="Arial" w:hAnsi="Arial" w:cs="Arial"/>
          <w:sz w:val="22"/>
          <w:szCs w:val="22"/>
        </w:rPr>
        <w:t xml:space="preserve">the </w:t>
      </w:r>
      <w:r w:rsidRPr="00F463BC">
        <w:rPr>
          <w:rFonts w:ascii="Arial" w:hAnsi="Arial" w:cs="Arial"/>
          <w:sz w:val="22"/>
          <w:szCs w:val="22"/>
        </w:rPr>
        <w:t xml:space="preserve">nature of treatment received by </w:t>
      </w:r>
      <w:r w:rsidR="006769BB" w:rsidRPr="00F463BC">
        <w:rPr>
          <w:rFonts w:ascii="Arial" w:hAnsi="Arial" w:cs="Arial"/>
          <w:sz w:val="22"/>
          <w:szCs w:val="22"/>
        </w:rPr>
        <w:t xml:space="preserve">a </w:t>
      </w:r>
      <w:r w:rsidRPr="00F463BC">
        <w:rPr>
          <w:rFonts w:ascii="Arial" w:hAnsi="Arial" w:cs="Arial"/>
          <w:sz w:val="22"/>
          <w:szCs w:val="22"/>
        </w:rPr>
        <w:t>member.</w:t>
      </w:r>
    </w:p>
    <w:p w:rsidR="00C14F76" w:rsidRPr="00F463BC" w:rsidRDefault="00C14F76"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Recording claims twice i.e. via the claims payment process as well as through </w:t>
      </w:r>
      <w:r w:rsidR="00D76F94">
        <w:rPr>
          <w:rFonts w:ascii="Arial" w:hAnsi="Arial" w:cs="Arial"/>
          <w:sz w:val="22"/>
          <w:szCs w:val="22"/>
        </w:rPr>
        <w:t>c</w:t>
      </w:r>
      <w:r w:rsidR="00D76F94" w:rsidRPr="00EA1348">
        <w:rPr>
          <w:rFonts w:ascii="Arial" w:hAnsi="Arial" w:cs="Arial"/>
          <w:sz w:val="22"/>
          <w:szCs w:val="22"/>
        </w:rPr>
        <w:t xml:space="preserve">laims incurred but not yet reported </w:t>
      </w:r>
      <w:r w:rsidR="00D76F94">
        <w:rPr>
          <w:rFonts w:ascii="Arial" w:hAnsi="Arial" w:cs="Arial"/>
          <w:sz w:val="22"/>
          <w:szCs w:val="22"/>
        </w:rPr>
        <w:t>(</w:t>
      </w:r>
      <w:r w:rsidR="00AF7D8B" w:rsidRPr="00F463BC">
        <w:rPr>
          <w:rFonts w:ascii="Arial" w:hAnsi="Arial" w:cs="Arial"/>
          <w:sz w:val="22"/>
          <w:szCs w:val="22"/>
        </w:rPr>
        <w:t>IBNR</w:t>
      </w:r>
      <w:r w:rsidR="00D76F94">
        <w:rPr>
          <w:rFonts w:ascii="Arial" w:hAnsi="Arial" w:cs="Arial"/>
          <w:sz w:val="22"/>
          <w:szCs w:val="22"/>
        </w:rPr>
        <w:t>)</w:t>
      </w:r>
      <w:r w:rsidRPr="00F463BC">
        <w:rPr>
          <w:rFonts w:ascii="Arial" w:hAnsi="Arial" w:cs="Arial"/>
          <w:sz w:val="22"/>
          <w:szCs w:val="22"/>
        </w:rPr>
        <w:t>.</w:t>
      </w:r>
    </w:p>
    <w:p w:rsidR="0091239C" w:rsidRPr="00F463BC" w:rsidRDefault="00742427"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a</w:t>
      </w:r>
      <w:r w:rsidR="0091239C" w:rsidRPr="00F463BC">
        <w:rPr>
          <w:rFonts w:ascii="Arial" w:hAnsi="Arial" w:cs="Arial"/>
          <w:sz w:val="22"/>
          <w:szCs w:val="22"/>
        </w:rPr>
        <w:t>dministration system not restricting or flagging potential duplicate claims</w:t>
      </w:r>
      <w:r w:rsidRPr="00F463BC">
        <w:rPr>
          <w:rFonts w:ascii="Arial" w:hAnsi="Arial" w:cs="Arial"/>
          <w:sz w:val="22"/>
          <w:szCs w:val="22"/>
        </w:rPr>
        <w:t>.</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Human errors. </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Unauthorised ex-gratia claims.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Unauthorised release of benefit payments.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Benefits payment files uploaded with incorrect banking details.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paid in respect of suspended or terminated</w:t>
      </w:r>
      <w:r w:rsidR="00AF2F16" w:rsidRPr="00F463BC">
        <w:rPr>
          <w:rFonts w:ascii="Arial" w:hAnsi="Arial" w:cs="Arial"/>
          <w:sz w:val="22"/>
          <w:szCs w:val="22"/>
        </w:rPr>
        <w:t xml:space="preserve"> members.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processed against invalid practice numbers.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Claims processed against </w:t>
      </w:r>
      <w:r w:rsidR="00291AFB" w:rsidRPr="00F463BC">
        <w:rPr>
          <w:rFonts w:ascii="Arial" w:hAnsi="Arial" w:cs="Arial"/>
          <w:sz w:val="22"/>
          <w:szCs w:val="22"/>
        </w:rPr>
        <w:t>bogus (dummy)</w:t>
      </w:r>
      <w:r w:rsidRPr="00F463BC">
        <w:rPr>
          <w:rFonts w:ascii="Arial" w:hAnsi="Arial" w:cs="Arial"/>
          <w:sz w:val="22"/>
          <w:szCs w:val="22"/>
        </w:rPr>
        <w:t xml:space="preserve"> practice or member numbers.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Claims paid where </w:t>
      </w:r>
      <w:r w:rsidR="000C6F10" w:rsidRPr="00F463BC">
        <w:rPr>
          <w:rFonts w:ascii="Arial" w:hAnsi="Arial" w:cs="Arial"/>
          <w:sz w:val="22"/>
          <w:szCs w:val="22"/>
        </w:rPr>
        <w:t>the service date is after the payment date.</w:t>
      </w:r>
    </w:p>
    <w:p w:rsidR="00065B22" w:rsidRPr="00F463BC" w:rsidRDefault="00065B22"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Hospital claims paid without pre-authorisation granted by the scheme.</w:t>
      </w:r>
    </w:p>
    <w:p w:rsidR="00065B22" w:rsidRPr="00F463BC" w:rsidRDefault="00065B22"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Level of care and level of stay per the pre-authorisation differ from claims submitted by the service provider, without explanation provided.</w:t>
      </w:r>
    </w:p>
    <w:p w:rsidR="0091239C" w:rsidRPr="00F463BC" w:rsidRDefault="0091239C" w:rsidP="00B82F08">
      <w:pPr>
        <w:pStyle w:val="Heading41"/>
        <w:spacing w:line="271" w:lineRule="auto"/>
        <w:rPr>
          <w:rFonts w:ascii="Arial" w:hAnsi="Arial" w:cs="Arial"/>
          <w:sz w:val="22"/>
          <w:szCs w:val="22"/>
        </w:rPr>
      </w:pPr>
      <w:bookmarkStart w:id="79" w:name="_Toc304897913"/>
      <w:r w:rsidRPr="00F463BC">
        <w:rPr>
          <w:rFonts w:ascii="Arial" w:hAnsi="Arial" w:cs="Arial"/>
          <w:sz w:val="22"/>
          <w:szCs w:val="22"/>
        </w:rPr>
        <w:t>Claims not paid within 30 days of receipt</w:t>
      </w:r>
      <w:bookmarkEnd w:id="79"/>
    </w:p>
    <w:p w:rsidR="0091239C" w:rsidRPr="00F463BC" w:rsidRDefault="0091239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59(2) of the Act requires a medical scheme to pay a member or a supplier of </w:t>
      </w:r>
      <w:r w:rsidR="00F16A25" w:rsidRPr="00F463BC">
        <w:rPr>
          <w:rFonts w:ascii="Arial" w:hAnsi="Arial" w:cs="Arial"/>
          <w:sz w:val="22"/>
          <w:szCs w:val="22"/>
        </w:rPr>
        <w:t xml:space="preserve">a </w:t>
      </w:r>
      <w:r w:rsidRPr="00F463BC">
        <w:rPr>
          <w:rFonts w:ascii="Arial" w:hAnsi="Arial" w:cs="Arial"/>
          <w:sz w:val="22"/>
          <w:szCs w:val="22"/>
        </w:rPr>
        <w:t>service, any benefit owing to that member or supplier within 30 days of receiving a valid claim.</w:t>
      </w:r>
      <w:r w:rsidR="00E81FCB" w:rsidRPr="00F463BC">
        <w:rPr>
          <w:rFonts w:ascii="Arial" w:hAnsi="Arial" w:cs="Arial"/>
          <w:sz w:val="22"/>
          <w:szCs w:val="22"/>
        </w:rPr>
        <w:t xml:space="preserve"> Reference should be made to Regulation 6(4) for queried claims.</w:t>
      </w:r>
    </w:p>
    <w:p w:rsidR="0091239C" w:rsidRPr="00F463BC" w:rsidRDefault="0091239C" w:rsidP="00B82F08">
      <w:pPr>
        <w:pStyle w:val="Heading41"/>
        <w:spacing w:line="271" w:lineRule="auto"/>
        <w:rPr>
          <w:rFonts w:ascii="Arial" w:hAnsi="Arial" w:cs="Arial"/>
          <w:sz w:val="22"/>
          <w:szCs w:val="22"/>
        </w:rPr>
      </w:pPr>
      <w:bookmarkStart w:id="80" w:name="_Toc304897914"/>
      <w:r w:rsidRPr="00F463BC">
        <w:rPr>
          <w:rFonts w:ascii="Arial" w:hAnsi="Arial" w:cs="Arial"/>
          <w:sz w:val="22"/>
          <w:szCs w:val="22"/>
        </w:rPr>
        <w:t>Inaccurate claims processed</w:t>
      </w:r>
      <w:bookmarkEnd w:id="80"/>
    </w:p>
    <w:p w:rsidR="0091239C" w:rsidRPr="00F463BC" w:rsidRDefault="0091239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following may result in inaccurate claims processed:</w:t>
      </w:r>
    </w:p>
    <w:p w:rsidR="0091239C" w:rsidRPr="00F463BC" w:rsidRDefault="0091239C" w:rsidP="00B82F08">
      <w:pPr>
        <w:pStyle w:val="Bulletsa"/>
        <w:numPr>
          <w:ilvl w:val="0"/>
          <w:numId w:val="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Master file healthcare benefit limits and tariff codes loaded in the administration platform </w:t>
      </w:r>
      <w:r w:rsidR="002C72C4" w:rsidRPr="00F463BC">
        <w:rPr>
          <w:rFonts w:ascii="Arial" w:hAnsi="Arial" w:cs="Arial"/>
          <w:sz w:val="22"/>
          <w:szCs w:val="22"/>
        </w:rPr>
        <w:t xml:space="preserve">that </w:t>
      </w:r>
      <w:r w:rsidRPr="00F463BC">
        <w:rPr>
          <w:rFonts w:ascii="Arial" w:hAnsi="Arial" w:cs="Arial"/>
          <w:sz w:val="22"/>
          <w:szCs w:val="22"/>
        </w:rPr>
        <w:t>may be inaccurate, not in terms of the</w:t>
      </w:r>
      <w:r w:rsidR="00065B22" w:rsidRPr="00F463BC">
        <w:rPr>
          <w:rFonts w:ascii="Arial" w:hAnsi="Arial" w:cs="Arial"/>
          <w:sz w:val="22"/>
          <w:szCs w:val="22"/>
        </w:rPr>
        <w:t xml:space="preserve"> approved</w:t>
      </w:r>
      <w:r w:rsidRPr="00F463BC">
        <w:rPr>
          <w:rFonts w:ascii="Arial" w:hAnsi="Arial" w:cs="Arial"/>
          <w:sz w:val="22"/>
          <w:szCs w:val="22"/>
        </w:rPr>
        <w:t xml:space="preserve"> </w:t>
      </w:r>
      <w:r w:rsidR="00065B22" w:rsidRPr="00F463BC">
        <w:rPr>
          <w:rFonts w:ascii="Arial" w:hAnsi="Arial" w:cs="Arial"/>
          <w:sz w:val="22"/>
          <w:szCs w:val="22"/>
        </w:rPr>
        <w:t>benefits</w:t>
      </w:r>
      <w:r w:rsidRPr="00F463BC">
        <w:rPr>
          <w:rFonts w:ascii="Arial" w:hAnsi="Arial" w:cs="Arial"/>
          <w:sz w:val="22"/>
          <w:szCs w:val="22"/>
        </w:rPr>
        <w:t xml:space="preserve">, or </w:t>
      </w:r>
      <w:r w:rsidR="00832582" w:rsidRPr="00F463BC">
        <w:rPr>
          <w:rFonts w:ascii="Arial" w:hAnsi="Arial" w:cs="Arial"/>
          <w:sz w:val="22"/>
          <w:szCs w:val="22"/>
        </w:rPr>
        <w:t xml:space="preserve">contain </w:t>
      </w:r>
      <w:r w:rsidRPr="00F463BC">
        <w:rPr>
          <w:rFonts w:ascii="Arial" w:hAnsi="Arial" w:cs="Arial"/>
          <w:sz w:val="22"/>
          <w:szCs w:val="22"/>
        </w:rPr>
        <w:t>inappropriate</w:t>
      </w:r>
      <w:r w:rsidR="00832582" w:rsidRPr="00F463BC">
        <w:rPr>
          <w:rFonts w:ascii="Arial" w:hAnsi="Arial" w:cs="Arial"/>
          <w:sz w:val="22"/>
          <w:szCs w:val="22"/>
        </w:rPr>
        <w:t xml:space="preserve"> and/or unauthorised</w:t>
      </w:r>
      <w:r w:rsidRPr="00F463BC">
        <w:rPr>
          <w:rFonts w:ascii="Arial" w:hAnsi="Arial" w:cs="Arial"/>
          <w:sz w:val="22"/>
          <w:szCs w:val="22"/>
        </w:rPr>
        <w:t xml:space="preserve"> changes or overrides. </w:t>
      </w:r>
    </w:p>
    <w:p w:rsidR="0091239C" w:rsidRPr="00F463BC" w:rsidRDefault="00B630FF" w:rsidP="00B82F08">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 member’s </w:t>
      </w:r>
      <w:r w:rsidR="0091239C" w:rsidRPr="00F463BC">
        <w:rPr>
          <w:rFonts w:ascii="Arial" w:hAnsi="Arial" w:cs="Arial"/>
          <w:sz w:val="22"/>
          <w:szCs w:val="22"/>
        </w:rPr>
        <w:t>benefit option</w:t>
      </w:r>
      <w:r w:rsidRPr="00F463BC">
        <w:rPr>
          <w:rFonts w:ascii="Arial" w:hAnsi="Arial" w:cs="Arial"/>
          <w:sz w:val="22"/>
          <w:szCs w:val="22"/>
        </w:rPr>
        <w:t xml:space="preserve"> not correctly loaded.</w:t>
      </w:r>
    </w:p>
    <w:p w:rsidR="0091239C" w:rsidRPr="00F463BC" w:rsidRDefault="00B630FF" w:rsidP="00B82F08">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The application of incorrect </w:t>
      </w:r>
      <w:r w:rsidR="0091239C" w:rsidRPr="00F463BC">
        <w:rPr>
          <w:rFonts w:ascii="Arial" w:hAnsi="Arial" w:cs="Arial"/>
          <w:sz w:val="22"/>
          <w:szCs w:val="22"/>
        </w:rPr>
        <w:t xml:space="preserve">risk </w:t>
      </w:r>
      <w:r w:rsidRPr="00F463BC">
        <w:rPr>
          <w:rFonts w:ascii="Arial" w:hAnsi="Arial" w:cs="Arial"/>
          <w:sz w:val="22"/>
          <w:szCs w:val="22"/>
        </w:rPr>
        <w:t xml:space="preserve">benefit </w:t>
      </w:r>
      <w:r w:rsidR="0091239C" w:rsidRPr="00F463BC">
        <w:rPr>
          <w:rFonts w:ascii="Arial" w:hAnsi="Arial" w:cs="Arial"/>
          <w:sz w:val="22"/>
          <w:szCs w:val="22"/>
        </w:rPr>
        <w:t>or savings categories.</w:t>
      </w:r>
    </w:p>
    <w:p w:rsidR="0091239C" w:rsidRPr="00F463BC" w:rsidRDefault="00C21EEA" w:rsidP="00B82F08">
      <w:pPr>
        <w:pStyle w:val="Bulletsa"/>
        <w:numPr>
          <w:ilvl w:val="0"/>
          <w:numId w:val="47"/>
        </w:numPr>
        <w:tabs>
          <w:tab w:val="left" w:pos="993"/>
        </w:tabs>
        <w:spacing w:before="0" w:line="271" w:lineRule="auto"/>
        <w:ind w:left="993" w:hanging="426"/>
        <w:rPr>
          <w:rFonts w:ascii="Arial" w:hAnsi="Arial" w:cs="Arial"/>
          <w:sz w:val="22"/>
          <w:szCs w:val="22"/>
        </w:rPr>
      </w:pPr>
      <w:r>
        <w:rPr>
          <w:rFonts w:ascii="Arial" w:hAnsi="Arial" w:cs="Arial"/>
          <w:sz w:val="22"/>
          <w:szCs w:val="22"/>
        </w:rPr>
        <w:t>Prescribed minimum benefits (</w:t>
      </w:r>
      <w:r w:rsidR="0091239C" w:rsidRPr="00F463BC">
        <w:rPr>
          <w:rFonts w:ascii="Arial" w:hAnsi="Arial" w:cs="Arial"/>
          <w:sz w:val="22"/>
          <w:szCs w:val="22"/>
        </w:rPr>
        <w:t>PMBs</w:t>
      </w:r>
      <w:r>
        <w:rPr>
          <w:rFonts w:ascii="Arial" w:hAnsi="Arial" w:cs="Arial"/>
          <w:sz w:val="22"/>
          <w:szCs w:val="22"/>
        </w:rPr>
        <w:t>)</w:t>
      </w:r>
      <w:r w:rsidR="0091239C" w:rsidRPr="00F463BC">
        <w:rPr>
          <w:rFonts w:ascii="Arial" w:hAnsi="Arial" w:cs="Arial"/>
          <w:sz w:val="22"/>
          <w:szCs w:val="22"/>
        </w:rPr>
        <w:t xml:space="preserve"> not paid in full or from savings accounts.</w:t>
      </w:r>
    </w:p>
    <w:p w:rsidR="00613203" w:rsidRPr="00F463BC" w:rsidRDefault="002C7A8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Typical audit procedures such as </w:t>
      </w:r>
      <w:r w:rsidR="00C00679" w:rsidRPr="00F463BC">
        <w:rPr>
          <w:rFonts w:ascii="Arial" w:hAnsi="Arial" w:cs="Arial"/>
          <w:sz w:val="22"/>
          <w:szCs w:val="22"/>
        </w:rPr>
        <w:t>agreeing the</w:t>
      </w:r>
      <w:r w:rsidRPr="00F463BC">
        <w:rPr>
          <w:rFonts w:ascii="Arial" w:hAnsi="Arial" w:cs="Arial"/>
          <w:sz w:val="22"/>
          <w:szCs w:val="22"/>
        </w:rPr>
        <w:t xml:space="preserve"> claims </w:t>
      </w:r>
      <w:r w:rsidR="00C00679" w:rsidRPr="00F463BC">
        <w:rPr>
          <w:rFonts w:ascii="Arial" w:hAnsi="Arial" w:cs="Arial"/>
          <w:sz w:val="22"/>
          <w:szCs w:val="22"/>
        </w:rPr>
        <w:t xml:space="preserve">per administration system </w:t>
      </w:r>
      <w:r w:rsidRPr="00F463BC">
        <w:rPr>
          <w:rFonts w:ascii="Arial" w:hAnsi="Arial" w:cs="Arial"/>
          <w:sz w:val="22"/>
          <w:szCs w:val="22"/>
        </w:rPr>
        <w:t xml:space="preserve">to original documentation signed as evidence of receipt, which may be appropriate in other environments, are not always feasible here. As such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7542B5" w:rsidRPr="00F463BC">
        <w:rPr>
          <w:rFonts w:ascii="Arial" w:hAnsi="Arial" w:cs="Arial"/>
          <w:sz w:val="22"/>
          <w:szCs w:val="22"/>
        </w:rPr>
        <w:t>may need to</w:t>
      </w:r>
      <w:r w:rsidRPr="00F463BC">
        <w:rPr>
          <w:rFonts w:ascii="Arial" w:hAnsi="Arial" w:cs="Arial"/>
          <w:sz w:val="22"/>
          <w:szCs w:val="22"/>
        </w:rPr>
        <w:t xml:space="preserve"> make use of a </w:t>
      </w:r>
      <w:r w:rsidR="00351D38" w:rsidRPr="00F463BC">
        <w:rPr>
          <w:rFonts w:ascii="Arial" w:hAnsi="Arial" w:cs="Arial"/>
          <w:sz w:val="22"/>
          <w:szCs w:val="22"/>
        </w:rPr>
        <w:t xml:space="preserve">range </w:t>
      </w:r>
      <w:r w:rsidRPr="00F463BC">
        <w:rPr>
          <w:rFonts w:ascii="Arial" w:hAnsi="Arial" w:cs="Arial"/>
          <w:sz w:val="22"/>
          <w:szCs w:val="22"/>
        </w:rPr>
        <w:t xml:space="preserve">of tests. </w:t>
      </w:r>
      <w:r w:rsidR="003A746B" w:rsidRPr="00F463BC">
        <w:rPr>
          <w:rFonts w:ascii="Arial" w:hAnsi="Arial" w:cs="Arial"/>
          <w:sz w:val="22"/>
          <w:szCs w:val="22"/>
        </w:rPr>
        <w:t xml:space="preserve">An effective way of performing substantive tests may be through the use of </w:t>
      </w:r>
      <w:r w:rsidR="00613203" w:rsidRPr="00F463BC">
        <w:rPr>
          <w:rFonts w:ascii="Arial" w:hAnsi="Arial" w:cs="Arial"/>
          <w:sz w:val="22"/>
          <w:szCs w:val="22"/>
        </w:rPr>
        <w:t>CAATS</w:t>
      </w:r>
      <w:r w:rsidR="003A746B" w:rsidRPr="00F463BC">
        <w:rPr>
          <w:rFonts w:ascii="Arial" w:hAnsi="Arial" w:cs="Arial"/>
          <w:sz w:val="22"/>
          <w:szCs w:val="22"/>
        </w:rPr>
        <w:t xml:space="preserve"> on the data. </w:t>
      </w:r>
      <w:r w:rsidR="007662FD" w:rsidRPr="00F463BC">
        <w:rPr>
          <w:rFonts w:ascii="Arial" w:hAnsi="Arial" w:cs="Arial"/>
          <w:sz w:val="22"/>
          <w:szCs w:val="22"/>
        </w:rPr>
        <w:t>CAATS</w:t>
      </w:r>
      <w:r w:rsidR="003A746B" w:rsidRPr="00F463BC">
        <w:rPr>
          <w:rFonts w:ascii="Arial" w:hAnsi="Arial" w:cs="Arial"/>
          <w:sz w:val="22"/>
          <w:szCs w:val="22"/>
        </w:rPr>
        <w:t xml:space="preserve"> can be designed to efficiently interrogate the full population of data and identify exceptions which could then be subject to audit.</w:t>
      </w:r>
      <w:r w:rsidR="00536451" w:rsidRPr="00F463BC">
        <w:rPr>
          <w:rFonts w:ascii="Arial" w:hAnsi="Arial" w:cs="Arial"/>
          <w:sz w:val="22"/>
          <w:szCs w:val="22"/>
        </w:rPr>
        <w:t xml:space="preserve"> It is essential that </w:t>
      </w:r>
      <w:r w:rsidR="005D1060" w:rsidRPr="00F463BC">
        <w:rPr>
          <w:rFonts w:ascii="Arial" w:hAnsi="Arial" w:cs="Arial"/>
          <w:sz w:val="22"/>
          <w:szCs w:val="22"/>
        </w:rPr>
        <w:t xml:space="preserve">an </w:t>
      </w:r>
      <w:r w:rsidR="00536451" w:rsidRPr="00F463BC">
        <w:rPr>
          <w:rFonts w:ascii="Arial" w:hAnsi="Arial" w:cs="Arial"/>
          <w:sz w:val="22"/>
          <w:szCs w:val="22"/>
        </w:rPr>
        <w:t>auditor reconcile</w:t>
      </w:r>
      <w:r w:rsidR="005D1060" w:rsidRPr="00F463BC">
        <w:rPr>
          <w:rFonts w:ascii="Arial" w:hAnsi="Arial" w:cs="Arial"/>
          <w:sz w:val="22"/>
          <w:szCs w:val="22"/>
        </w:rPr>
        <w:t>s</w:t>
      </w:r>
      <w:r w:rsidR="00536451" w:rsidRPr="00F463BC">
        <w:rPr>
          <w:rFonts w:ascii="Arial" w:hAnsi="Arial" w:cs="Arial"/>
          <w:sz w:val="22"/>
          <w:szCs w:val="22"/>
        </w:rPr>
        <w:t xml:space="preserve"> the data received to the administration platform as well as the general ledger</w:t>
      </w:r>
      <w:r w:rsidR="00C00679" w:rsidRPr="00F463BC">
        <w:rPr>
          <w:rFonts w:ascii="Arial" w:hAnsi="Arial" w:cs="Arial"/>
          <w:sz w:val="22"/>
          <w:szCs w:val="22"/>
        </w:rPr>
        <w:t xml:space="preserve"> before the CAATs are generated</w:t>
      </w:r>
      <w:r w:rsidR="00536451" w:rsidRPr="00F463BC">
        <w:rPr>
          <w:rFonts w:ascii="Arial" w:hAnsi="Arial" w:cs="Arial"/>
          <w:sz w:val="22"/>
          <w:szCs w:val="22"/>
        </w:rPr>
        <w:t>.</w:t>
      </w:r>
      <w:r w:rsidR="003A746B" w:rsidRPr="00F463BC">
        <w:rPr>
          <w:rFonts w:ascii="Arial" w:hAnsi="Arial" w:cs="Arial"/>
          <w:sz w:val="22"/>
          <w:szCs w:val="22"/>
        </w:rPr>
        <w:t xml:space="preserve"> </w:t>
      </w:r>
      <w:r w:rsidR="007542B5" w:rsidRPr="00F463BC">
        <w:rPr>
          <w:rFonts w:ascii="Arial" w:hAnsi="Arial" w:cs="Arial"/>
          <w:sz w:val="22"/>
          <w:szCs w:val="22"/>
        </w:rPr>
        <w:t>Refer to</w:t>
      </w:r>
      <w:r w:rsidR="00866E9D" w:rsidRPr="00F463BC">
        <w:rPr>
          <w:rFonts w:ascii="Arial" w:hAnsi="Arial" w:cs="Arial"/>
          <w:sz w:val="22"/>
          <w:szCs w:val="22"/>
        </w:rPr>
        <w:t xml:space="preserve"> </w:t>
      </w:r>
      <w:hyperlink w:anchor="_Appendix_8_–" w:history="1">
        <w:r w:rsidR="00B608F7" w:rsidRPr="00F463BC">
          <w:rPr>
            <w:rStyle w:val="Hyperlink"/>
            <w:rFonts w:ascii="Arial" w:hAnsi="Arial" w:cs="Arial"/>
            <w:sz w:val="22"/>
            <w:szCs w:val="22"/>
          </w:rPr>
          <w:t>Appendix 10 – Claims CAATS</w:t>
        </w:r>
      </w:hyperlink>
      <w:r w:rsidR="00B608F7" w:rsidRPr="00F463BC">
        <w:rPr>
          <w:rFonts w:ascii="Arial" w:hAnsi="Arial" w:cs="Arial"/>
          <w:sz w:val="22"/>
          <w:szCs w:val="22"/>
        </w:rPr>
        <w:t xml:space="preserve"> f</w:t>
      </w:r>
      <w:r w:rsidR="007542B5" w:rsidRPr="00F463BC">
        <w:rPr>
          <w:rFonts w:ascii="Arial" w:hAnsi="Arial" w:cs="Arial"/>
          <w:sz w:val="22"/>
          <w:szCs w:val="22"/>
        </w:rPr>
        <w:t xml:space="preserve">or examples of typical </w:t>
      </w:r>
      <w:r w:rsidR="002F4C71" w:rsidRPr="00F463BC">
        <w:rPr>
          <w:rFonts w:ascii="Arial" w:hAnsi="Arial" w:cs="Arial"/>
          <w:sz w:val="22"/>
          <w:szCs w:val="22"/>
        </w:rPr>
        <w:t xml:space="preserve">claims </w:t>
      </w:r>
      <w:r w:rsidR="007542B5" w:rsidRPr="00F463BC">
        <w:rPr>
          <w:rFonts w:ascii="Arial" w:hAnsi="Arial" w:cs="Arial"/>
          <w:sz w:val="22"/>
          <w:szCs w:val="22"/>
        </w:rPr>
        <w:t xml:space="preserve">CAATs used in a medical scheme environment. </w:t>
      </w:r>
    </w:p>
    <w:p w:rsidR="002C7A89" w:rsidRPr="00F463BC" w:rsidRDefault="003A746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w:t>
      </w:r>
      <w:r w:rsidR="007542B5" w:rsidRPr="00F463BC">
        <w:rPr>
          <w:rFonts w:ascii="Arial" w:hAnsi="Arial" w:cs="Arial"/>
          <w:sz w:val="22"/>
          <w:szCs w:val="22"/>
        </w:rPr>
        <w:t xml:space="preserve"> auditor obtain</w:t>
      </w:r>
      <w:r w:rsidR="00117963" w:rsidRPr="00F463BC">
        <w:rPr>
          <w:rFonts w:ascii="Arial" w:hAnsi="Arial" w:cs="Arial"/>
          <w:sz w:val="22"/>
          <w:szCs w:val="22"/>
        </w:rPr>
        <w:t>s</w:t>
      </w:r>
      <w:r w:rsidR="007542B5" w:rsidRPr="00F463BC">
        <w:rPr>
          <w:rFonts w:ascii="Arial" w:hAnsi="Arial" w:cs="Arial"/>
          <w:sz w:val="22"/>
          <w:szCs w:val="22"/>
        </w:rPr>
        <w:t xml:space="preserve"> an</w:t>
      </w:r>
      <w:r w:rsidR="002C7A89" w:rsidRPr="00F463BC">
        <w:rPr>
          <w:rFonts w:ascii="Arial" w:hAnsi="Arial" w:cs="Arial"/>
          <w:sz w:val="22"/>
          <w:szCs w:val="22"/>
        </w:rPr>
        <w:t xml:space="preserve"> understanding </w:t>
      </w:r>
      <w:r w:rsidR="007542B5" w:rsidRPr="00F463BC">
        <w:rPr>
          <w:rFonts w:ascii="Arial" w:hAnsi="Arial" w:cs="Arial"/>
          <w:sz w:val="22"/>
          <w:szCs w:val="22"/>
        </w:rPr>
        <w:t xml:space="preserve">of </w:t>
      </w:r>
      <w:r w:rsidR="002C7A89" w:rsidRPr="00F463BC">
        <w:rPr>
          <w:rFonts w:ascii="Arial" w:hAnsi="Arial" w:cs="Arial"/>
          <w:sz w:val="22"/>
          <w:szCs w:val="22"/>
        </w:rPr>
        <w:t xml:space="preserve">the role that internal audit/forensic audit department </w:t>
      </w:r>
      <w:r w:rsidR="007542B5" w:rsidRPr="00F463BC">
        <w:rPr>
          <w:rFonts w:ascii="Arial" w:hAnsi="Arial" w:cs="Arial"/>
          <w:sz w:val="22"/>
          <w:szCs w:val="22"/>
        </w:rPr>
        <w:t xml:space="preserve">play </w:t>
      </w:r>
      <w:r w:rsidR="002C7A89" w:rsidRPr="00F463BC">
        <w:rPr>
          <w:rFonts w:ascii="Arial" w:hAnsi="Arial" w:cs="Arial"/>
          <w:sz w:val="22"/>
          <w:szCs w:val="22"/>
        </w:rPr>
        <w:t>within the scheme in identifying fraudulent claims.</w:t>
      </w:r>
      <w:r w:rsidR="000558D1" w:rsidRPr="00F463BC">
        <w:rPr>
          <w:rFonts w:ascii="Arial" w:hAnsi="Arial" w:cs="Arial"/>
          <w:sz w:val="22"/>
          <w:szCs w:val="22"/>
        </w:rPr>
        <w:t xml:space="preserve"> </w:t>
      </w:r>
    </w:p>
    <w:p w:rsidR="0080595D" w:rsidRPr="00F463BC" w:rsidRDefault="0080595D" w:rsidP="00B82F08">
      <w:pPr>
        <w:pStyle w:val="Heading41"/>
        <w:spacing w:line="271" w:lineRule="auto"/>
        <w:rPr>
          <w:rFonts w:ascii="Arial" w:hAnsi="Arial" w:cs="Arial"/>
          <w:sz w:val="22"/>
          <w:szCs w:val="22"/>
        </w:rPr>
      </w:pPr>
      <w:bookmarkStart w:id="81" w:name="_Toc304897916"/>
      <w:r w:rsidRPr="00F463BC">
        <w:rPr>
          <w:rFonts w:ascii="Arial" w:hAnsi="Arial" w:cs="Arial"/>
          <w:sz w:val="22"/>
          <w:szCs w:val="22"/>
        </w:rPr>
        <w:t xml:space="preserve">Managed care </w:t>
      </w:r>
      <w:r w:rsidR="00071D89" w:rsidRPr="00F463BC">
        <w:rPr>
          <w:rFonts w:ascii="Arial" w:hAnsi="Arial" w:cs="Arial"/>
          <w:sz w:val="22"/>
          <w:szCs w:val="22"/>
        </w:rPr>
        <w:t>healthcare benefits</w:t>
      </w:r>
      <w:bookmarkEnd w:id="81"/>
    </w:p>
    <w:p w:rsidR="0080595D" w:rsidRPr="00F463BC" w:rsidRDefault="0080595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managed care organisations and the relevant medical scheme need to be mitigated during the performance of </w:t>
      </w:r>
      <w:r w:rsidR="00A13271" w:rsidRPr="00F463BC">
        <w:rPr>
          <w:rFonts w:ascii="Arial" w:hAnsi="Arial" w:cs="Arial"/>
          <w:sz w:val="22"/>
          <w:szCs w:val="22"/>
        </w:rPr>
        <w:t xml:space="preserve">an </w:t>
      </w:r>
      <w:r w:rsidRPr="00F463BC">
        <w:rPr>
          <w:rFonts w:ascii="Arial" w:hAnsi="Arial" w:cs="Arial"/>
          <w:sz w:val="22"/>
          <w:szCs w:val="22"/>
        </w:rPr>
        <w:t>auditor</w:t>
      </w:r>
      <w:r w:rsidR="00A13271" w:rsidRPr="00F463BC">
        <w:rPr>
          <w:rFonts w:ascii="Arial" w:hAnsi="Arial" w:cs="Arial"/>
          <w:sz w:val="22"/>
          <w:szCs w:val="22"/>
        </w:rPr>
        <w:t>’</w:t>
      </w:r>
      <w:r w:rsidRPr="00F463BC">
        <w:rPr>
          <w:rFonts w:ascii="Arial" w:hAnsi="Arial" w:cs="Arial"/>
          <w:sz w:val="22"/>
          <w:szCs w:val="22"/>
        </w:rPr>
        <w:t>s annual audit procedures</w:t>
      </w:r>
      <w:r w:rsidR="005D229D" w:rsidRPr="00F463BC">
        <w:rPr>
          <w:rFonts w:ascii="Arial" w:hAnsi="Arial" w:cs="Arial"/>
          <w:sz w:val="22"/>
          <w:szCs w:val="22"/>
        </w:rPr>
        <w:t xml:space="preserve">. Also refer to </w:t>
      </w:r>
      <w:r w:rsidR="00345087" w:rsidRPr="00F463BC">
        <w:rPr>
          <w:rFonts w:ascii="Arial" w:hAnsi="Arial" w:cs="Arial"/>
          <w:sz w:val="22"/>
          <w:szCs w:val="22"/>
        </w:rPr>
        <w:t xml:space="preserve">the section </w:t>
      </w:r>
      <w:hyperlink w:anchor="_Part_F_–" w:history="1">
        <w:r w:rsidR="00521DA0" w:rsidRPr="00F463BC">
          <w:rPr>
            <w:rStyle w:val="Hyperlink"/>
            <w:rFonts w:ascii="Arial" w:hAnsi="Arial" w:cs="Arial"/>
            <w:sz w:val="22"/>
            <w:szCs w:val="22"/>
          </w:rPr>
          <w:t>Service organisations</w:t>
        </w:r>
      </w:hyperlink>
      <w:r w:rsidR="005D229D" w:rsidRPr="00F463BC">
        <w:rPr>
          <w:rFonts w:ascii="Arial" w:hAnsi="Arial" w:cs="Arial"/>
          <w:sz w:val="22"/>
          <w:szCs w:val="22"/>
        </w:rPr>
        <w:t>.</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Controls underlying the compilation of the managed care information </w:t>
      </w:r>
      <w:r w:rsidR="006D418D" w:rsidRPr="00F463BC">
        <w:rPr>
          <w:rFonts w:ascii="Arial" w:hAnsi="Arial" w:cs="Arial"/>
          <w:sz w:val="22"/>
          <w:szCs w:val="22"/>
        </w:rPr>
        <w:t>are</w:t>
      </w:r>
      <w:r w:rsidRPr="00F463BC">
        <w:rPr>
          <w:rFonts w:ascii="Arial" w:hAnsi="Arial" w:cs="Arial"/>
          <w:sz w:val="22"/>
          <w:szCs w:val="22"/>
        </w:rPr>
        <w:t xml:space="preserve"> not functioning</w:t>
      </w:r>
      <w:r w:rsidR="003E2401" w:rsidRPr="00F463BC">
        <w:rPr>
          <w:rFonts w:ascii="Arial" w:hAnsi="Arial" w:cs="Arial"/>
          <w:sz w:val="22"/>
          <w:szCs w:val="22"/>
        </w:rPr>
        <w:t>.</w:t>
      </w:r>
    </w:p>
    <w:p w:rsidR="00FD3227" w:rsidRPr="00EA1348" w:rsidRDefault="00FD3227" w:rsidP="00FD3227">
      <w:pPr>
        <w:pStyle w:val="Bulletsa"/>
        <w:numPr>
          <w:ilvl w:val="0"/>
          <w:numId w:val="50"/>
        </w:numPr>
        <w:tabs>
          <w:tab w:val="left" w:pos="993"/>
        </w:tabs>
        <w:spacing w:before="0" w:line="271" w:lineRule="auto"/>
        <w:ind w:left="993" w:hanging="426"/>
        <w:rPr>
          <w:rFonts w:ascii="Arial" w:hAnsi="Arial" w:cs="Arial"/>
          <w:sz w:val="22"/>
          <w:szCs w:val="22"/>
        </w:rPr>
      </w:pPr>
      <w:r w:rsidRPr="00EA1348">
        <w:rPr>
          <w:rFonts w:ascii="Arial" w:hAnsi="Arial" w:cs="Arial"/>
          <w:sz w:val="22"/>
          <w:szCs w:val="22"/>
        </w:rPr>
        <w:t xml:space="preserve">The information </w:t>
      </w:r>
      <w:r>
        <w:rPr>
          <w:rFonts w:ascii="Arial" w:hAnsi="Arial" w:cs="Arial"/>
          <w:sz w:val="22"/>
          <w:szCs w:val="22"/>
        </w:rPr>
        <w:t xml:space="preserve">received from the managed care organisation </w:t>
      </w:r>
      <w:r w:rsidRPr="00EA1348">
        <w:rPr>
          <w:rFonts w:ascii="Arial" w:hAnsi="Arial" w:cs="Arial"/>
          <w:sz w:val="22"/>
          <w:szCs w:val="22"/>
        </w:rPr>
        <w:t>is incomplete and/or inaccurate resulting in incorrect disclosure in the financial statements.</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 xml:space="preserve">Completeness and accuracy of the disclosure of the managed care information in terms of </w:t>
      </w:r>
      <w:r w:rsidR="005E1326" w:rsidRPr="00F463BC">
        <w:rPr>
          <w:rFonts w:ascii="Arial" w:hAnsi="Arial" w:cs="Arial"/>
          <w:sz w:val="22"/>
          <w:szCs w:val="22"/>
        </w:rPr>
        <w:t>IFRS 4</w:t>
      </w:r>
      <w:r w:rsidR="005E1326" w:rsidRPr="00F463BC">
        <w:rPr>
          <w:rStyle w:val="FootnoteReference"/>
          <w:rFonts w:ascii="Arial" w:hAnsi="Arial" w:cs="Arial"/>
          <w:sz w:val="22"/>
          <w:szCs w:val="22"/>
        </w:rPr>
        <w:footnoteReference w:id="14"/>
      </w:r>
      <w:r w:rsidR="005E1326" w:rsidRPr="00F463BC">
        <w:rPr>
          <w:rFonts w:ascii="Arial" w:hAnsi="Arial" w:cs="Arial"/>
          <w:sz w:val="22"/>
          <w:szCs w:val="22"/>
        </w:rPr>
        <w:t xml:space="preserve"> and </w:t>
      </w:r>
      <w:r w:rsidRPr="00F463BC">
        <w:rPr>
          <w:rFonts w:ascii="Arial" w:hAnsi="Arial" w:cs="Arial"/>
          <w:sz w:val="22"/>
          <w:szCs w:val="22"/>
        </w:rPr>
        <w:t>IFRS 7</w:t>
      </w:r>
      <w:r w:rsidR="00521DA0" w:rsidRPr="00F463BC">
        <w:rPr>
          <w:rStyle w:val="FootnoteReference"/>
          <w:rFonts w:ascii="Arial" w:hAnsi="Arial" w:cs="Arial"/>
          <w:sz w:val="22"/>
          <w:szCs w:val="22"/>
        </w:rPr>
        <w:footnoteReference w:id="15"/>
      </w:r>
      <w:r w:rsidRPr="00F463BC">
        <w:rPr>
          <w:rFonts w:ascii="Arial" w:hAnsi="Arial" w:cs="Arial"/>
          <w:sz w:val="22"/>
          <w:szCs w:val="22"/>
        </w:rPr>
        <w:t xml:space="preserve"> is at risk</w:t>
      </w:r>
      <w:r w:rsidR="003E2401" w:rsidRPr="00F463BC">
        <w:rPr>
          <w:rFonts w:ascii="Arial" w:hAnsi="Arial" w:cs="Arial"/>
          <w:sz w:val="22"/>
          <w:szCs w:val="22"/>
        </w:rPr>
        <w:t>.</w:t>
      </w:r>
    </w:p>
    <w:p w:rsidR="0080595D" w:rsidRPr="00F463BC" w:rsidRDefault="006231C6"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m</w:t>
      </w:r>
      <w:r w:rsidR="0080595D" w:rsidRPr="00F463BC">
        <w:rPr>
          <w:rFonts w:ascii="Arial" w:hAnsi="Arial" w:cs="Arial"/>
          <w:sz w:val="22"/>
          <w:szCs w:val="22"/>
        </w:rPr>
        <w:t xml:space="preserve">anaged care organisation is not </w:t>
      </w:r>
      <w:r w:rsidR="008F1FA9" w:rsidRPr="00F463BC">
        <w:rPr>
          <w:rFonts w:ascii="Arial" w:hAnsi="Arial" w:cs="Arial"/>
          <w:sz w:val="22"/>
          <w:szCs w:val="22"/>
        </w:rPr>
        <w:t>accredited</w:t>
      </w:r>
      <w:r w:rsidR="0080595D" w:rsidRPr="00F463BC">
        <w:rPr>
          <w:rFonts w:ascii="Arial" w:hAnsi="Arial" w:cs="Arial"/>
          <w:sz w:val="22"/>
          <w:szCs w:val="22"/>
        </w:rPr>
        <w:t xml:space="preserve"> with the Council</w:t>
      </w:r>
      <w:r w:rsidR="008F1FA9" w:rsidRPr="00F463BC">
        <w:rPr>
          <w:rFonts w:ascii="Arial" w:hAnsi="Arial" w:cs="Arial"/>
          <w:sz w:val="22"/>
          <w:szCs w:val="22"/>
        </w:rPr>
        <w:t>.</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Cut-off of information for disclosure purposes is inappropriately applied</w:t>
      </w:r>
      <w:r w:rsidR="003E2401" w:rsidRPr="00F463BC">
        <w:rPr>
          <w:rFonts w:ascii="Arial" w:hAnsi="Arial" w:cs="Arial"/>
          <w:sz w:val="22"/>
          <w:szCs w:val="22"/>
        </w:rPr>
        <w:t>.</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for other medical schemes are included in the information for the scheme being audited</w:t>
      </w:r>
      <w:r w:rsidR="003E2401" w:rsidRPr="00F463BC">
        <w:rPr>
          <w:rFonts w:ascii="Arial" w:hAnsi="Arial" w:cs="Arial"/>
          <w:sz w:val="22"/>
          <w:szCs w:val="22"/>
        </w:rPr>
        <w:t>.</w:t>
      </w:r>
    </w:p>
    <w:p w:rsidR="00886C2E" w:rsidRPr="00F463BC" w:rsidRDefault="00886C2E" w:rsidP="00FF587C">
      <w:pPr>
        <w:pStyle w:val="Bulletsa"/>
        <w:numPr>
          <w:ilvl w:val="0"/>
          <w:numId w:val="50"/>
        </w:numPr>
        <w:tabs>
          <w:tab w:val="left" w:pos="993"/>
        </w:tabs>
        <w:spacing w:before="0" w:line="271" w:lineRule="auto"/>
        <w:ind w:left="993" w:hanging="426"/>
        <w:rPr>
          <w:rFonts w:ascii="Arial" w:hAnsi="Arial" w:cs="Arial"/>
          <w:sz w:val="22"/>
          <w:szCs w:val="22"/>
        </w:rPr>
      </w:pPr>
      <w:bookmarkStart w:id="82" w:name="_Toc304897917"/>
      <w:r w:rsidRPr="00F463BC">
        <w:rPr>
          <w:rFonts w:ascii="Arial" w:hAnsi="Arial" w:cs="Arial"/>
          <w:sz w:val="22"/>
          <w:szCs w:val="22"/>
        </w:rPr>
        <w:t>Contract governing service not in place.</w:t>
      </w:r>
    </w:p>
    <w:p w:rsidR="00071D89" w:rsidRPr="00F463BC" w:rsidRDefault="00071D89" w:rsidP="00B82F08">
      <w:pPr>
        <w:pStyle w:val="Heading41"/>
        <w:spacing w:line="271" w:lineRule="auto"/>
        <w:rPr>
          <w:rFonts w:ascii="Arial" w:hAnsi="Arial" w:cs="Arial"/>
          <w:sz w:val="22"/>
          <w:szCs w:val="22"/>
        </w:rPr>
      </w:pPr>
      <w:r w:rsidRPr="00F463BC">
        <w:rPr>
          <w:rFonts w:ascii="Arial" w:hAnsi="Arial" w:cs="Arial"/>
          <w:sz w:val="22"/>
          <w:szCs w:val="22"/>
        </w:rPr>
        <w:t>Risk transfer arrangements</w:t>
      </w:r>
      <w:bookmarkEnd w:id="82"/>
    </w:p>
    <w:p w:rsidR="005D229D" w:rsidRPr="00F463BC" w:rsidRDefault="005D229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w:t>
      </w:r>
      <w:r w:rsidR="00F635AA" w:rsidRPr="00F463BC">
        <w:rPr>
          <w:rFonts w:ascii="Arial" w:hAnsi="Arial" w:cs="Arial"/>
          <w:sz w:val="22"/>
          <w:szCs w:val="22"/>
        </w:rPr>
        <w:t>third party</w:t>
      </w:r>
      <w:r w:rsidRPr="00F463BC">
        <w:rPr>
          <w:rFonts w:ascii="Arial" w:hAnsi="Arial" w:cs="Arial"/>
          <w:sz w:val="22"/>
          <w:szCs w:val="22"/>
        </w:rPr>
        <w:t xml:space="preserve"> and the relevant medical scheme need to be mitigated during the performance of </w:t>
      </w:r>
      <w:r w:rsidR="005D1060" w:rsidRPr="00F463BC">
        <w:rPr>
          <w:rFonts w:ascii="Arial" w:hAnsi="Arial" w:cs="Arial"/>
          <w:sz w:val="22"/>
          <w:szCs w:val="22"/>
        </w:rPr>
        <w:t xml:space="preserve">an </w:t>
      </w:r>
      <w:r w:rsidRPr="00F463BC">
        <w:rPr>
          <w:rFonts w:ascii="Arial" w:hAnsi="Arial" w:cs="Arial"/>
          <w:sz w:val="22"/>
          <w:szCs w:val="22"/>
        </w:rPr>
        <w:t>auditor</w:t>
      </w:r>
      <w:r w:rsidR="006231C6" w:rsidRPr="00F463BC">
        <w:rPr>
          <w:rFonts w:ascii="Arial" w:hAnsi="Arial" w:cs="Arial"/>
          <w:sz w:val="22"/>
          <w:szCs w:val="22"/>
        </w:rPr>
        <w:t>’</w:t>
      </w:r>
      <w:r w:rsidRPr="00F463BC">
        <w:rPr>
          <w:rFonts w:ascii="Arial" w:hAnsi="Arial" w:cs="Arial"/>
          <w:sz w:val="22"/>
          <w:szCs w:val="22"/>
        </w:rPr>
        <w:t xml:space="preserve">s annual audit procedures. Also refer to </w:t>
      </w:r>
      <w:r w:rsidR="00345087" w:rsidRPr="00F463BC">
        <w:rPr>
          <w:rFonts w:ascii="Arial" w:hAnsi="Arial" w:cs="Arial"/>
          <w:sz w:val="22"/>
          <w:szCs w:val="22"/>
        </w:rPr>
        <w:t xml:space="preserve">the section </w:t>
      </w:r>
      <w:hyperlink w:anchor="_Part_F_–" w:history="1">
        <w:r w:rsidR="009762A8" w:rsidRPr="00F463BC">
          <w:rPr>
            <w:rStyle w:val="Hyperlink"/>
            <w:rFonts w:ascii="Arial" w:hAnsi="Arial" w:cs="Arial"/>
            <w:sz w:val="22"/>
            <w:szCs w:val="22"/>
          </w:rPr>
          <w:t>Service organisations</w:t>
        </w:r>
      </w:hyperlink>
      <w:r w:rsidR="009762A8" w:rsidRPr="00F463BC">
        <w:rPr>
          <w:rFonts w:ascii="Arial" w:hAnsi="Arial" w:cs="Arial"/>
          <w:sz w:val="22"/>
          <w:szCs w:val="22"/>
        </w:rPr>
        <w:t>.</w:t>
      </w:r>
    </w:p>
    <w:p w:rsidR="00071D89" w:rsidRPr="00F463BC" w:rsidRDefault="00071D89" w:rsidP="00B82F08">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Controls underlying the compilation of the </w:t>
      </w:r>
      <w:r w:rsidR="00F635AA" w:rsidRPr="00F463BC">
        <w:rPr>
          <w:rFonts w:ascii="Arial" w:hAnsi="Arial" w:cs="Arial"/>
          <w:sz w:val="22"/>
          <w:szCs w:val="22"/>
        </w:rPr>
        <w:t xml:space="preserve">risk transfer </w:t>
      </w:r>
      <w:r w:rsidRPr="00F463BC">
        <w:rPr>
          <w:rFonts w:ascii="Arial" w:hAnsi="Arial" w:cs="Arial"/>
          <w:sz w:val="22"/>
          <w:szCs w:val="22"/>
        </w:rPr>
        <w:t>information are not functioning.</w:t>
      </w:r>
    </w:p>
    <w:p w:rsidR="00EC7117" w:rsidRPr="00F463BC" w:rsidRDefault="00EC7117"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Completeness and accuracy of the disclosure of the </w:t>
      </w:r>
      <w:r w:rsidR="00F635AA" w:rsidRPr="00F463BC">
        <w:rPr>
          <w:rFonts w:ascii="Arial" w:hAnsi="Arial" w:cs="Arial"/>
          <w:sz w:val="22"/>
          <w:szCs w:val="22"/>
        </w:rPr>
        <w:t xml:space="preserve">risk transfer </w:t>
      </w:r>
      <w:r w:rsidRPr="00F463BC">
        <w:rPr>
          <w:rFonts w:ascii="Arial" w:hAnsi="Arial" w:cs="Arial"/>
          <w:sz w:val="22"/>
          <w:szCs w:val="22"/>
        </w:rPr>
        <w:t xml:space="preserve">information in terms of </w:t>
      </w:r>
      <w:r w:rsidR="009762A8" w:rsidRPr="00F463BC">
        <w:rPr>
          <w:rFonts w:ascii="Arial" w:hAnsi="Arial" w:cs="Arial"/>
          <w:sz w:val="22"/>
          <w:szCs w:val="22"/>
        </w:rPr>
        <w:t>IFRS 4</w:t>
      </w:r>
      <w:r w:rsidR="009762A8" w:rsidRPr="00944A95">
        <w:rPr>
          <w:rFonts w:ascii="Arial" w:hAnsi="Arial" w:cs="Arial"/>
          <w:sz w:val="22"/>
          <w:szCs w:val="22"/>
          <w:vertAlign w:val="superscript"/>
        </w:rPr>
        <w:footnoteReference w:id="16"/>
      </w:r>
      <w:r w:rsidR="009F6ABE" w:rsidRPr="00F463BC">
        <w:rPr>
          <w:rFonts w:ascii="Arial" w:hAnsi="Arial" w:cs="Arial"/>
          <w:sz w:val="22"/>
          <w:szCs w:val="22"/>
        </w:rPr>
        <w:t xml:space="preserve"> </w:t>
      </w:r>
      <w:r w:rsidRPr="00F463BC">
        <w:rPr>
          <w:rFonts w:ascii="Arial" w:hAnsi="Arial" w:cs="Arial"/>
          <w:sz w:val="22"/>
          <w:szCs w:val="22"/>
        </w:rPr>
        <w:t>and IFRS 7</w:t>
      </w:r>
      <w:r w:rsidR="00731299" w:rsidRPr="00944A95">
        <w:rPr>
          <w:rFonts w:ascii="Arial" w:hAnsi="Arial" w:cs="Arial"/>
          <w:sz w:val="22"/>
          <w:szCs w:val="22"/>
          <w:vertAlign w:val="superscript"/>
        </w:rPr>
        <w:footnoteReference w:id="17"/>
      </w:r>
      <w:r w:rsidRPr="00F463BC">
        <w:rPr>
          <w:rFonts w:ascii="Arial" w:hAnsi="Arial" w:cs="Arial"/>
          <w:sz w:val="22"/>
          <w:szCs w:val="22"/>
          <w:vertAlign w:val="superscript"/>
        </w:rPr>
        <w:t xml:space="preserve"> </w:t>
      </w:r>
      <w:r w:rsidRPr="00F463BC">
        <w:rPr>
          <w:rFonts w:ascii="Arial" w:hAnsi="Arial" w:cs="Arial"/>
          <w:sz w:val="22"/>
          <w:szCs w:val="22"/>
        </w:rPr>
        <w:t>is at risk.</w:t>
      </w:r>
    </w:p>
    <w:p w:rsidR="00071D89" w:rsidRPr="00F463BC" w:rsidRDefault="00071D89"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The claims information relating to </w:t>
      </w:r>
      <w:r w:rsidR="00F635AA" w:rsidRPr="00F463BC">
        <w:rPr>
          <w:rFonts w:ascii="Arial" w:hAnsi="Arial" w:cs="Arial"/>
          <w:sz w:val="22"/>
          <w:szCs w:val="22"/>
        </w:rPr>
        <w:t xml:space="preserve">the risk transfer </w:t>
      </w:r>
      <w:r w:rsidRPr="00F463BC">
        <w:rPr>
          <w:rFonts w:ascii="Arial" w:hAnsi="Arial" w:cs="Arial"/>
          <w:sz w:val="22"/>
          <w:szCs w:val="22"/>
        </w:rPr>
        <w:t>agreements is incomplete and/or inaccurate resulting in incorrect disclosure in the financial statements.</w:t>
      </w:r>
    </w:p>
    <w:p w:rsidR="00071D89" w:rsidRPr="00F463BC" w:rsidRDefault="00071D89"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Cut-off of claims information for disclosure purposes is inappropriately applied.</w:t>
      </w:r>
    </w:p>
    <w:p w:rsidR="00071D89" w:rsidRPr="00F463BC" w:rsidRDefault="00071D89"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for other medical schemes are included in the information for the scheme being audited.</w:t>
      </w:r>
    </w:p>
    <w:p w:rsidR="00D1794B" w:rsidRPr="00F463BC" w:rsidRDefault="0048754A" w:rsidP="00C721DC">
      <w:pPr>
        <w:pStyle w:val="Bulletsa"/>
        <w:numPr>
          <w:ilvl w:val="0"/>
          <w:numId w:val="51"/>
        </w:numPr>
        <w:tabs>
          <w:tab w:val="left" w:pos="993"/>
        </w:tabs>
        <w:spacing w:before="0" w:line="271" w:lineRule="auto"/>
        <w:ind w:left="993" w:hanging="426"/>
        <w:rPr>
          <w:rFonts w:ascii="Arial" w:hAnsi="Arial" w:cs="Arial"/>
          <w:sz w:val="22"/>
          <w:szCs w:val="22"/>
        </w:rPr>
      </w:pPr>
      <w:r>
        <w:rPr>
          <w:rFonts w:ascii="Arial" w:hAnsi="Arial" w:cs="Arial"/>
          <w:sz w:val="22"/>
          <w:szCs w:val="22"/>
        </w:rPr>
        <w:t>A c</w:t>
      </w:r>
      <w:r w:rsidR="00D1794B" w:rsidRPr="00F463BC">
        <w:rPr>
          <w:rFonts w:ascii="Arial" w:hAnsi="Arial" w:cs="Arial"/>
          <w:sz w:val="22"/>
          <w:szCs w:val="22"/>
        </w:rPr>
        <w:t>ontract</w:t>
      </w:r>
      <w:r w:rsidR="00431E5C" w:rsidRPr="00F463BC">
        <w:rPr>
          <w:rFonts w:ascii="Arial" w:hAnsi="Arial" w:cs="Arial"/>
          <w:sz w:val="22"/>
          <w:szCs w:val="22"/>
        </w:rPr>
        <w:t xml:space="preserve"> governing service </w:t>
      </w:r>
      <w:r>
        <w:rPr>
          <w:rFonts w:ascii="Arial" w:hAnsi="Arial" w:cs="Arial"/>
          <w:sz w:val="22"/>
          <w:szCs w:val="22"/>
        </w:rPr>
        <w:t xml:space="preserve">is </w:t>
      </w:r>
      <w:r w:rsidR="00431E5C" w:rsidRPr="00F463BC">
        <w:rPr>
          <w:rFonts w:ascii="Arial" w:hAnsi="Arial" w:cs="Arial"/>
          <w:sz w:val="22"/>
          <w:szCs w:val="22"/>
        </w:rPr>
        <w:t>not in place.</w:t>
      </w:r>
    </w:p>
    <w:p w:rsidR="00D1794B" w:rsidRPr="00F463BC" w:rsidRDefault="00D1794B"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Risk transfer arrangement gross-up i</w:t>
      </w:r>
      <w:r w:rsidR="00EC7117" w:rsidRPr="00F463BC">
        <w:rPr>
          <w:rFonts w:ascii="Arial" w:hAnsi="Arial" w:cs="Arial"/>
          <w:sz w:val="22"/>
          <w:szCs w:val="22"/>
        </w:rPr>
        <w:t xml:space="preserve">n terms of </w:t>
      </w:r>
      <w:r w:rsidRPr="00F463BC">
        <w:rPr>
          <w:rFonts w:ascii="Arial" w:hAnsi="Arial" w:cs="Arial"/>
          <w:sz w:val="22"/>
          <w:szCs w:val="22"/>
        </w:rPr>
        <w:t>IFRS 4 is inaccurate or incomplete. This could be affected by utilisation statistics as well as the benefit tariffs applied to the calculation being inappropriate.</w:t>
      </w:r>
    </w:p>
    <w:p w:rsidR="00122B48" w:rsidRPr="00F463BC" w:rsidRDefault="00F635AA" w:rsidP="00B82F08">
      <w:pPr>
        <w:pStyle w:val="Heading41"/>
        <w:spacing w:line="271" w:lineRule="auto"/>
        <w:rPr>
          <w:rFonts w:ascii="Arial" w:hAnsi="Arial" w:cs="Arial"/>
          <w:sz w:val="22"/>
          <w:szCs w:val="22"/>
        </w:rPr>
      </w:pPr>
      <w:bookmarkStart w:id="83" w:name="_Toc304897918"/>
      <w:r w:rsidRPr="00F463BC">
        <w:rPr>
          <w:rFonts w:ascii="Arial" w:hAnsi="Arial" w:cs="Arial"/>
          <w:sz w:val="22"/>
          <w:szCs w:val="22"/>
        </w:rPr>
        <w:t xml:space="preserve">Claims </w:t>
      </w:r>
      <w:r w:rsidR="00E21B0C" w:rsidRPr="00F463BC">
        <w:rPr>
          <w:rFonts w:ascii="Arial" w:hAnsi="Arial" w:cs="Arial"/>
          <w:sz w:val="22"/>
          <w:szCs w:val="22"/>
        </w:rPr>
        <w:t>i</w:t>
      </w:r>
      <w:r w:rsidRPr="00F463BC">
        <w:rPr>
          <w:rFonts w:ascii="Arial" w:hAnsi="Arial" w:cs="Arial"/>
          <w:sz w:val="22"/>
          <w:szCs w:val="22"/>
        </w:rPr>
        <w:t>ncurred but not yet reported</w:t>
      </w:r>
      <w:r w:rsidR="00AF7D8B" w:rsidRPr="00F463BC">
        <w:rPr>
          <w:rFonts w:ascii="Arial" w:hAnsi="Arial" w:cs="Arial"/>
          <w:sz w:val="22"/>
          <w:szCs w:val="22"/>
        </w:rPr>
        <w:t xml:space="preserve"> </w:t>
      </w:r>
      <w:r w:rsidR="001971A2" w:rsidRPr="00F463BC">
        <w:rPr>
          <w:rFonts w:ascii="Arial" w:hAnsi="Arial" w:cs="Arial"/>
          <w:sz w:val="22"/>
          <w:szCs w:val="22"/>
        </w:rPr>
        <w:t>(IBNR)</w:t>
      </w:r>
      <w:bookmarkEnd w:id="83"/>
    </w:p>
    <w:p w:rsidR="00813A31" w:rsidRPr="00F463BC" w:rsidRDefault="00813A31"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Risks </w:t>
      </w:r>
      <w:r w:rsidR="00F02D57" w:rsidRPr="00F463BC">
        <w:rPr>
          <w:rFonts w:ascii="Arial" w:hAnsi="Arial" w:cs="Arial"/>
          <w:sz w:val="22"/>
          <w:szCs w:val="22"/>
        </w:rPr>
        <w:t xml:space="preserve">of material misstatements </w:t>
      </w:r>
      <w:r w:rsidRPr="00F463BC">
        <w:rPr>
          <w:rFonts w:ascii="Arial" w:hAnsi="Arial" w:cs="Arial"/>
          <w:sz w:val="22"/>
          <w:szCs w:val="22"/>
        </w:rPr>
        <w:t>could include:</w:t>
      </w:r>
    </w:p>
    <w:p w:rsidR="00813A31" w:rsidRPr="00F463BC" w:rsidRDefault="00813A31"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Unauthorised adjustments are made to the </w:t>
      </w:r>
      <w:r w:rsidR="00AF7D8B" w:rsidRPr="00F463BC">
        <w:rPr>
          <w:rFonts w:ascii="Arial" w:hAnsi="Arial" w:cs="Arial"/>
          <w:sz w:val="22"/>
          <w:szCs w:val="22"/>
        </w:rPr>
        <w:t>IBNR provision</w:t>
      </w:r>
      <w:r w:rsidR="00AF7D8B" w:rsidRPr="00F463BC" w:rsidDel="00AF7D8B">
        <w:rPr>
          <w:rFonts w:ascii="Arial" w:hAnsi="Arial" w:cs="Arial"/>
          <w:sz w:val="22"/>
          <w:szCs w:val="22"/>
        </w:rPr>
        <w:t xml:space="preserve"> </w:t>
      </w:r>
      <w:r w:rsidRPr="00F463BC">
        <w:rPr>
          <w:rFonts w:ascii="Arial" w:hAnsi="Arial" w:cs="Arial"/>
          <w:sz w:val="22"/>
          <w:szCs w:val="22"/>
        </w:rPr>
        <w:t xml:space="preserve">in order to overstate the </w:t>
      </w:r>
      <w:r w:rsidR="009F6ABE" w:rsidRPr="00F463BC">
        <w:rPr>
          <w:rFonts w:ascii="Arial" w:hAnsi="Arial" w:cs="Arial"/>
          <w:sz w:val="22"/>
          <w:szCs w:val="22"/>
        </w:rPr>
        <w:t>s</w:t>
      </w:r>
      <w:r w:rsidRPr="00F463BC">
        <w:rPr>
          <w:rFonts w:ascii="Arial" w:hAnsi="Arial" w:cs="Arial"/>
          <w:sz w:val="22"/>
          <w:szCs w:val="22"/>
        </w:rPr>
        <w:t xml:space="preserve">cheme’s surplus/understate the </w:t>
      </w:r>
      <w:r w:rsidR="009F6ABE" w:rsidRPr="00F463BC">
        <w:rPr>
          <w:rFonts w:ascii="Arial" w:hAnsi="Arial" w:cs="Arial"/>
          <w:sz w:val="22"/>
          <w:szCs w:val="22"/>
        </w:rPr>
        <w:t>s</w:t>
      </w:r>
      <w:r w:rsidRPr="00F463BC">
        <w:rPr>
          <w:rFonts w:ascii="Arial" w:hAnsi="Arial" w:cs="Arial"/>
          <w:sz w:val="22"/>
          <w:szCs w:val="22"/>
        </w:rPr>
        <w:t>cheme’s deficit in order to manipulate the solvency ratio.</w:t>
      </w:r>
    </w:p>
    <w:p w:rsidR="00813A31" w:rsidRPr="00F463BC" w:rsidRDefault="00813A31"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Invalid assumptions </w:t>
      </w:r>
      <w:r w:rsidR="003D0B56" w:rsidRPr="00F463BC">
        <w:rPr>
          <w:rFonts w:ascii="Arial" w:hAnsi="Arial" w:cs="Arial"/>
          <w:sz w:val="22"/>
          <w:szCs w:val="22"/>
        </w:rPr>
        <w:t xml:space="preserve">and </w:t>
      </w:r>
      <w:r w:rsidR="00F635AA" w:rsidRPr="00F463BC">
        <w:rPr>
          <w:rFonts w:ascii="Arial" w:hAnsi="Arial" w:cs="Arial"/>
          <w:sz w:val="22"/>
          <w:szCs w:val="22"/>
        </w:rPr>
        <w:t xml:space="preserve">inaccurate </w:t>
      </w:r>
      <w:r w:rsidR="003D0B56" w:rsidRPr="00F463BC">
        <w:rPr>
          <w:rFonts w:ascii="Arial" w:hAnsi="Arial" w:cs="Arial"/>
          <w:sz w:val="22"/>
          <w:szCs w:val="22"/>
        </w:rPr>
        <w:t xml:space="preserve">data </w:t>
      </w:r>
      <w:r w:rsidRPr="00F463BC">
        <w:rPr>
          <w:rFonts w:ascii="Arial" w:hAnsi="Arial" w:cs="Arial"/>
          <w:sz w:val="22"/>
          <w:szCs w:val="22"/>
        </w:rPr>
        <w:t xml:space="preserve">used in the </w:t>
      </w:r>
      <w:r w:rsidR="003D0B56" w:rsidRPr="00F463BC">
        <w:rPr>
          <w:rFonts w:ascii="Arial" w:hAnsi="Arial" w:cs="Arial"/>
          <w:sz w:val="22"/>
          <w:szCs w:val="22"/>
        </w:rPr>
        <w:t xml:space="preserve">IBNR </w:t>
      </w:r>
      <w:r w:rsidRPr="00F463BC">
        <w:rPr>
          <w:rFonts w:ascii="Arial" w:hAnsi="Arial" w:cs="Arial"/>
          <w:sz w:val="22"/>
          <w:szCs w:val="22"/>
        </w:rPr>
        <w:t xml:space="preserve">models to calculate the </w:t>
      </w:r>
      <w:r w:rsidR="00AF7D8B" w:rsidRPr="00F463BC">
        <w:rPr>
          <w:rFonts w:ascii="Arial" w:hAnsi="Arial" w:cs="Arial"/>
          <w:sz w:val="22"/>
          <w:szCs w:val="22"/>
        </w:rPr>
        <w:t>IBNR provision</w:t>
      </w:r>
      <w:r w:rsidRPr="00F463BC">
        <w:rPr>
          <w:rFonts w:ascii="Arial" w:hAnsi="Arial" w:cs="Arial"/>
          <w:sz w:val="22"/>
          <w:szCs w:val="22"/>
        </w:rPr>
        <w:t>.</w:t>
      </w:r>
    </w:p>
    <w:p w:rsidR="00EC7117" w:rsidRPr="00F463BC" w:rsidRDefault="00EC7117"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Invalid </w:t>
      </w:r>
      <w:r w:rsidR="003D0B56" w:rsidRPr="00F463BC">
        <w:rPr>
          <w:rFonts w:ascii="Arial" w:hAnsi="Arial" w:cs="Arial"/>
          <w:sz w:val="22"/>
          <w:szCs w:val="22"/>
        </w:rPr>
        <w:t xml:space="preserve">IBNR </w:t>
      </w:r>
      <w:r w:rsidRPr="00F463BC">
        <w:rPr>
          <w:rFonts w:ascii="Arial" w:hAnsi="Arial" w:cs="Arial"/>
          <w:sz w:val="22"/>
          <w:szCs w:val="22"/>
        </w:rPr>
        <w:t xml:space="preserve">models used or change in </w:t>
      </w:r>
      <w:r w:rsidR="003D0B56" w:rsidRPr="00F463BC">
        <w:rPr>
          <w:rFonts w:ascii="Arial" w:hAnsi="Arial" w:cs="Arial"/>
          <w:sz w:val="22"/>
          <w:szCs w:val="22"/>
        </w:rPr>
        <w:t xml:space="preserve">IBNR </w:t>
      </w:r>
      <w:r w:rsidRPr="00F463BC">
        <w:rPr>
          <w:rFonts w:ascii="Arial" w:hAnsi="Arial" w:cs="Arial"/>
          <w:sz w:val="22"/>
          <w:szCs w:val="22"/>
        </w:rPr>
        <w:t>models used during the year.</w:t>
      </w:r>
    </w:p>
    <w:p w:rsidR="00813A31" w:rsidRPr="00F463BC" w:rsidRDefault="00813A31"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 xml:space="preserve">Claims in respect of services provided after year-end are included in the calculation of the </w:t>
      </w:r>
      <w:r w:rsidR="00AF7D8B" w:rsidRPr="00F463BC">
        <w:rPr>
          <w:rFonts w:ascii="Arial" w:hAnsi="Arial" w:cs="Arial"/>
          <w:sz w:val="22"/>
          <w:szCs w:val="22"/>
        </w:rPr>
        <w:t>IBNR provision</w:t>
      </w:r>
      <w:r w:rsidRPr="00F463BC">
        <w:rPr>
          <w:rFonts w:ascii="Arial" w:hAnsi="Arial" w:cs="Arial"/>
          <w:sz w:val="22"/>
          <w:szCs w:val="22"/>
        </w:rPr>
        <w:t>.</w:t>
      </w:r>
    </w:p>
    <w:p w:rsidR="00EC7117" w:rsidRPr="00F463BC" w:rsidRDefault="003E07B0"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Risk transfer</w:t>
      </w:r>
      <w:r w:rsidR="00EC7117" w:rsidRPr="00F463BC">
        <w:rPr>
          <w:rFonts w:ascii="Arial" w:hAnsi="Arial" w:cs="Arial"/>
          <w:sz w:val="22"/>
          <w:szCs w:val="22"/>
        </w:rPr>
        <w:t xml:space="preserve"> information omitted from the </w:t>
      </w:r>
      <w:r w:rsidR="00AF7D8B" w:rsidRPr="00F463BC">
        <w:rPr>
          <w:rFonts w:ascii="Arial" w:hAnsi="Arial" w:cs="Arial"/>
          <w:sz w:val="22"/>
          <w:szCs w:val="22"/>
        </w:rPr>
        <w:t xml:space="preserve">IBNR </w:t>
      </w:r>
      <w:r w:rsidR="00EC7117" w:rsidRPr="00F463BC">
        <w:rPr>
          <w:rFonts w:ascii="Arial" w:hAnsi="Arial" w:cs="Arial"/>
          <w:sz w:val="22"/>
          <w:szCs w:val="22"/>
        </w:rPr>
        <w:t>calculation.</w:t>
      </w:r>
    </w:p>
    <w:p w:rsidR="001971A2" w:rsidRPr="00F463BC" w:rsidRDefault="001971A2"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Based on the assessed risks of material misstatement,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EC7FC7">
        <w:rPr>
          <w:rFonts w:ascii="Arial" w:hAnsi="Arial" w:cs="Arial"/>
          <w:sz w:val="22"/>
          <w:szCs w:val="22"/>
        </w:rPr>
        <w:t>considers</w:t>
      </w:r>
      <w:r w:rsidRPr="00F463BC">
        <w:rPr>
          <w:rFonts w:ascii="Arial" w:hAnsi="Arial" w:cs="Arial"/>
          <w:sz w:val="22"/>
          <w:szCs w:val="22"/>
        </w:rPr>
        <w:t>:</w:t>
      </w:r>
    </w:p>
    <w:p w:rsidR="001971A2" w:rsidRPr="00F463BC" w:rsidRDefault="001971A2" w:rsidP="00B82F08">
      <w:pPr>
        <w:pStyle w:val="Bulletsa"/>
        <w:keepNext/>
        <w:numPr>
          <w:ilvl w:val="0"/>
          <w:numId w:val="5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Whether management has appropriately applied the requirements of IFRS relevant to the accounting estimate</w:t>
      </w:r>
      <w:r w:rsidR="003E07B0" w:rsidRPr="00F463BC">
        <w:rPr>
          <w:rFonts w:ascii="Arial" w:hAnsi="Arial" w:cs="Arial"/>
          <w:sz w:val="22"/>
          <w:szCs w:val="22"/>
        </w:rPr>
        <w:t>.</w:t>
      </w:r>
    </w:p>
    <w:p w:rsidR="00153DE4" w:rsidRPr="00F463BC" w:rsidRDefault="001971A2" w:rsidP="00C721DC">
      <w:pPr>
        <w:pStyle w:val="Bulletsa"/>
        <w:keepNext/>
        <w:numPr>
          <w:ilvl w:val="0"/>
          <w:numId w:val="5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Whether the methods for making the accounting estimates are appropriate and have been applied consistently, and whether changes, if any, in accounting estimates or in the method for making </w:t>
      </w:r>
      <w:r w:rsidR="00552C5C" w:rsidRPr="00F463BC">
        <w:rPr>
          <w:rFonts w:ascii="Arial" w:hAnsi="Arial" w:cs="Arial"/>
          <w:sz w:val="22"/>
          <w:szCs w:val="22"/>
        </w:rPr>
        <w:t>those</w:t>
      </w:r>
      <w:r w:rsidRPr="00F463BC">
        <w:rPr>
          <w:rFonts w:ascii="Arial" w:hAnsi="Arial" w:cs="Arial"/>
          <w:sz w:val="22"/>
          <w:szCs w:val="22"/>
        </w:rPr>
        <w:t xml:space="preserve"> from the prior period are appropriate in the circumstances.</w:t>
      </w:r>
    </w:p>
    <w:p w:rsidR="003E07B0" w:rsidRPr="00F463BC" w:rsidRDefault="003E07B0" w:rsidP="00C721DC">
      <w:pPr>
        <w:pStyle w:val="Bulletsa"/>
        <w:keepNext/>
        <w:numPr>
          <w:ilvl w:val="0"/>
          <w:numId w:val="5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quality of data that is used to calculate the IBNR provision.</w:t>
      </w:r>
    </w:p>
    <w:p w:rsidR="00153DE4" w:rsidRPr="00F463BC" w:rsidRDefault="00153DE4" w:rsidP="00B82F08">
      <w:pPr>
        <w:pStyle w:val="Bulletnrs"/>
        <w:keepNext/>
        <w:keepLine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Factors to be considered by </w:t>
      </w:r>
      <w:r w:rsidR="005D1060" w:rsidRPr="00F463BC">
        <w:rPr>
          <w:rFonts w:ascii="Arial" w:hAnsi="Arial" w:cs="Arial"/>
          <w:sz w:val="22"/>
          <w:szCs w:val="22"/>
        </w:rPr>
        <w:t xml:space="preserve">an </w:t>
      </w:r>
      <w:r w:rsidRPr="00F463BC">
        <w:rPr>
          <w:rFonts w:ascii="Arial" w:hAnsi="Arial" w:cs="Arial"/>
          <w:sz w:val="22"/>
          <w:szCs w:val="22"/>
        </w:rPr>
        <w:t>auditor in evaluating the computed provision include:</w:t>
      </w:r>
    </w:p>
    <w:p w:rsidR="00153DE4" w:rsidRPr="00F463BC" w:rsidRDefault="00153DE4" w:rsidP="00B82F08">
      <w:pPr>
        <w:pStyle w:val="Bulletsa"/>
        <w:keepNext/>
        <w:keepLines/>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The period elapsed between </w:t>
      </w:r>
      <w:r w:rsidR="007662FD" w:rsidRPr="00F463BC">
        <w:rPr>
          <w:rFonts w:ascii="Arial" w:hAnsi="Arial" w:cs="Arial"/>
          <w:sz w:val="22"/>
          <w:szCs w:val="22"/>
        </w:rPr>
        <w:t>year-end</w:t>
      </w:r>
      <w:r w:rsidRPr="00F463BC">
        <w:rPr>
          <w:rFonts w:ascii="Arial" w:hAnsi="Arial" w:cs="Arial"/>
          <w:sz w:val="22"/>
          <w:szCs w:val="22"/>
        </w:rPr>
        <w:t xml:space="preserve"> and reporting date. </w:t>
      </w:r>
    </w:p>
    <w:p w:rsidR="00153DE4" w:rsidRPr="00F463BC" w:rsidRDefault="00153DE4" w:rsidP="00B82F08">
      <w:pPr>
        <w:keepNext/>
        <w:keepLines/>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 xml:space="preserve">In terms of </w:t>
      </w:r>
      <w:r w:rsidR="006C2D11" w:rsidRPr="00F463BC">
        <w:rPr>
          <w:rFonts w:ascii="Arial" w:hAnsi="Arial" w:cs="Arial"/>
          <w:sz w:val="22"/>
          <w:szCs w:val="22"/>
          <w:lang w:val="en-GB"/>
        </w:rPr>
        <w:t>the Act</w:t>
      </w:r>
      <w:r w:rsidRPr="00F463BC">
        <w:rPr>
          <w:rFonts w:ascii="Arial" w:hAnsi="Arial" w:cs="Arial"/>
          <w:sz w:val="22"/>
          <w:szCs w:val="22"/>
          <w:lang w:val="en-GB"/>
        </w:rPr>
        <w:t xml:space="preserve">, members have </w:t>
      </w:r>
      <w:r w:rsidR="006C2D11" w:rsidRPr="00F463BC">
        <w:rPr>
          <w:rFonts w:ascii="Arial" w:hAnsi="Arial" w:cs="Arial"/>
          <w:sz w:val="22"/>
          <w:szCs w:val="22"/>
          <w:lang w:val="en-GB"/>
        </w:rPr>
        <w:t xml:space="preserve">at least </w:t>
      </w:r>
      <w:r w:rsidRPr="00F463BC">
        <w:rPr>
          <w:rFonts w:ascii="Arial" w:hAnsi="Arial" w:cs="Arial"/>
          <w:sz w:val="22"/>
          <w:szCs w:val="22"/>
          <w:lang w:val="en-GB"/>
        </w:rPr>
        <w:t>four months from the date on which the service was rendered to submit their claims. This period is referred to as the “run off” period. (Note some scheme</w:t>
      </w:r>
      <w:r w:rsidR="006C2D11" w:rsidRPr="00F463BC">
        <w:rPr>
          <w:rFonts w:ascii="Arial" w:hAnsi="Arial" w:cs="Arial"/>
          <w:sz w:val="22"/>
          <w:szCs w:val="22"/>
          <w:lang w:val="en-GB"/>
        </w:rPr>
        <w:t xml:space="preserve"> Rules</w:t>
      </w:r>
      <w:r w:rsidRPr="00F463BC">
        <w:rPr>
          <w:rFonts w:ascii="Arial" w:hAnsi="Arial" w:cs="Arial"/>
          <w:sz w:val="22"/>
          <w:szCs w:val="22"/>
          <w:lang w:val="en-GB"/>
        </w:rPr>
        <w:t xml:space="preserve"> </w:t>
      </w:r>
      <w:r w:rsidR="006C2D11" w:rsidRPr="00F463BC">
        <w:rPr>
          <w:rFonts w:ascii="Arial" w:hAnsi="Arial" w:cs="Arial"/>
          <w:sz w:val="22"/>
          <w:szCs w:val="22"/>
          <w:lang w:val="en-GB"/>
        </w:rPr>
        <w:t xml:space="preserve">may allow </w:t>
      </w:r>
      <w:r w:rsidRPr="00F463BC">
        <w:rPr>
          <w:rFonts w:ascii="Arial" w:hAnsi="Arial" w:cs="Arial"/>
          <w:sz w:val="22"/>
          <w:szCs w:val="22"/>
          <w:lang w:val="en-GB"/>
        </w:rPr>
        <w:t>for longer periods).</w:t>
      </w:r>
      <w:r w:rsidR="00EC7FC7">
        <w:rPr>
          <w:rStyle w:val="FootnoteReference"/>
          <w:rFonts w:ascii="Arial" w:hAnsi="Arial" w:cs="Arial"/>
          <w:sz w:val="22"/>
          <w:szCs w:val="22"/>
          <w:lang w:val="en-GB"/>
        </w:rPr>
        <w:footnoteReference w:id="18"/>
      </w:r>
    </w:p>
    <w:p w:rsidR="00153DE4" w:rsidRPr="00F463BC" w:rsidRDefault="00153DE4" w:rsidP="00B82F08">
      <w:pPr>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 xml:space="preserve">The longer the period elapsed between </w:t>
      </w:r>
      <w:r w:rsidR="007662FD" w:rsidRPr="00F463BC">
        <w:rPr>
          <w:rFonts w:ascii="Arial" w:hAnsi="Arial" w:cs="Arial"/>
          <w:sz w:val="22"/>
          <w:szCs w:val="22"/>
          <w:lang w:val="en-GB"/>
        </w:rPr>
        <w:t>year-end</w:t>
      </w:r>
      <w:r w:rsidRPr="00F463BC">
        <w:rPr>
          <w:rFonts w:ascii="Arial" w:hAnsi="Arial" w:cs="Arial"/>
          <w:sz w:val="22"/>
          <w:szCs w:val="22"/>
          <w:lang w:val="en-GB"/>
        </w:rPr>
        <w:t xml:space="preserve"> and reporting date, the higher the likelihood that the provision will approximate the actual liability, based on act</w:t>
      </w:r>
      <w:r w:rsidR="008B2EF9" w:rsidRPr="00F463BC">
        <w:rPr>
          <w:rFonts w:ascii="Arial" w:hAnsi="Arial" w:cs="Arial"/>
          <w:sz w:val="22"/>
          <w:szCs w:val="22"/>
          <w:lang w:val="en-GB"/>
        </w:rPr>
        <w:t>ual claims submitted after year-</w:t>
      </w:r>
      <w:r w:rsidRPr="00F463BC">
        <w:rPr>
          <w:rFonts w:ascii="Arial" w:hAnsi="Arial" w:cs="Arial"/>
          <w:sz w:val="22"/>
          <w:szCs w:val="22"/>
          <w:lang w:val="en-GB"/>
        </w:rPr>
        <w:t>end but relating</w:t>
      </w:r>
      <w:r w:rsidR="008B2EF9" w:rsidRPr="00F463BC">
        <w:rPr>
          <w:rFonts w:ascii="Arial" w:hAnsi="Arial" w:cs="Arial"/>
          <w:sz w:val="22"/>
          <w:szCs w:val="22"/>
          <w:lang w:val="en-GB"/>
        </w:rPr>
        <w:t xml:space="preserve"> to service dates prior to year-</w:t>
      </w:r>
      <w:r w:rsidRPr="00F463BC">
        <w:rPr>
          <w:rFonts w:ascii="Arial" w:hAnsi="Arial" w:cs="Arial"/>
          <w:sz w:val="22"/>
          <w:szCs w:val="22"/>
          <w:lang w:val="en-GB"/>
        </w:rPr>
        <w:t>end</w:t>
      </w:r>
      <w:r w:rsidR="00345087" w:rsidRPr="00F463BC">
        <w:rPr>
          <w:rFonts w:ascii="Arial" w:hAnsi="Arial" w:cs="Arial"/>
          <w:sz w:val="22"/>
          <w:szCs w:val="22"/>
          <w:lang w:val="en-GB"/>
        </w:rPr>
        <w:t>.</w:t>
      </w:r>
      <w:r w:rsidRPr="00F463BC">
        <w:rPr>
          <w:rFonts w:ascii="Arial" w:hAnsi="Arial" w:cs="Arial"/>
          <w:sz w:val="22"/>
          <w:szCs w:val="22"/>
          <w:lang w:val="en-GB"/>
        </w:rPr>
        <w:t xml:space="preserve"> </w:t>
      </w:r>
    </w:p>
    <w:p w:rsidR="00153DE4" w:rsidRPr="00F463BC" w:rsidRDefault="00153DE4" w:rsidP="00FF587C">
      <w:pPr>
        <w:pStyle w:val="Bulletsa"/>
        <w:keepNext/>
        <w:numPr>
          <w:ilvl w:val="0"/>
          <w:numId w:val="54"/>
        </w:numPr>
        <w:tabs>
          <w:tab w:val="left" w:pos="993"/>
        </w:tabs>
        <w:spacing w:before="0" w:line="271" w:lineRule="auto"/>
        <w:ind w:left="992" w:hanging="426"/>
        <w:rPr>
          <w:rFonts w:ascii="Arial" w:hAnsi="Arial" w:cs="Arial"/>
          <w:sz w:val="22"/>
          <w:szCs w:val="22"/>
        </w:rPr>
      </w:pPr>
      <w:r w:rsidRPr="00F463BC">
        <w:rPr>
          <w:rFonts w:ascii="Arial" w:hAnsi="Arial" w:cs="Arial"/>
          <w:sz w:val="22"/>
          <w:szCs w:val="22"/>
        </w:rPr>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membership. </w:t>
      </w:r>
    </w:p>
    <w:p w:rsidR="00153DE4" w:rsidRPr="00F463BC" w:rsidRDefault="00153DE4" w:rsidP="00FF587C">
      <w:pPr>
        <w:keepNext/>
        <w:tabs>
          <w:tab w:val="left" w:pos="900"/>
        </w:tabs>
        <w:autoSpaceDE w:val="0"/>
        <w:autoSpaceDN w:val="0"/>
        <w:adjustRightInd w:val="0"/>
        <w:spacing w:before="0" w:line="271" w:lineRule="auto"/>
        <w:ind w:left="992"/>
        <w:rPr>
          <w:rFonts w:ascii="Arial" w:hAnsi="Arial" w:cs="Arial"/>
          <w:sz w:val="22"/>
          <w:szCs w:val="22"/>
          <w:lang w:val="en-GB"/>
        </w:rPr>
      </w:pPr>
      <w:r w:rsidRPr="00F463BC">
        <w:rPr>
          <w:rFonts w:ascii="Arial" w:hAnsi="Arial" w:cs="Arial"/>
          <w:sz w:val="22"/>
          <w:szCs w:val="22"/>
          <w:lang w:val="en-GB"/>
        </w:rPr>
        <w:t xml:space="preserve">Significant changes in </w:t>
      </w:r>
      <w:r w:rsidR="00B348C0" w:rsidRPr="00F463BC">
        <w:rPr>
          <w:rFonts w:ascii="Arial" w:hAnsi="Arial" w:cs="Arial"/>
          <w:sz w:val="22"/>
          <w:szCs w:val="22"/>
          <w:lang w:val="en-GB"/>
        </w:rPr>
        <w:t xml:space="preserve">a </w:t>
      </w:r>
      <w:r w:rsidRPr="00F463BC">
        <w:rPr>
          <w:rFonts w:ascii="Arial" w:hAnsi="Arial" w:cs="Arial"/>
          <w:sz w:val="22"/>
          <w:szCs w:val="22"/>
          <w:lang w:val="en-GB"/>
        </w:rPr>
        <w:t>medical scheme’s membership may impact on the claims experience and would need to be taken into account in arriving at the provision.</w:t>
      </w:r>
    </w:p>
    <w:p w:rsidR="00153DE4" w:rsidRPr="00F463BC" w:rsidRDefault="00153DE4"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administration. </w:t>
      </w:r>
    </w:p>
    <w:p w:rsidR="00153DE4" w:rsidRPr="00F463BC" w:rsidRDefault="00153DE4" w:rsidP="00B82F08">
      <w:pPr>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Differing processes at different administrators may change the claims experience pattern. In a</w:t>
      </w:r>
      <w:r w:rsidR="008B2EF9" w:rsidRPr="00F463BC">
        <w:rPr>
          <w:rFonts w:ascii="Arial" w:hAnsi="Arial" w:cs="Arial"/>
          <w:sz w:val="22"/>
          <w:szCs w:val="22"/>
          <w:lang w:val="en-GB"/>
        </w:rPr>
        <w:t xml:space="preserve">ddition, a change </w:t>
      </w:r>
      <w:r w:rsidR="006231C6" w:rsidRPr="00F463BC">
        <w:rPr>
          <w:rFonts w:ascii="Arial" w:hAnsi="Arial" w:cs="Arial"/>
          <w:sz w:val="22"/>
          <w:szCs w:val="22"/>
          <w:lang w:val="en-GB"/>
        </w:rPr>
        <w:t xml:space="preserve">in administrators </w:t>
      </w:r>
      <w:r w:rsidR="008B2EF9" w:rsidRPr="00F463BC">
        <w:rPr>
          <w:rFonts w:ascii="Arial" w:hAnsi="Arial" w:cs="Arial"/>
          <w:sz w:val="22"/>
          <w:szCs w:val="22"/>
          <w:lang w:val="en-GB"/>
        </w:rPr>
        <w:t>close to year-</w:t>
      </w:r>
      <w:r w:rsidRPr="00F463BC">
        <w:rPr>
          <w:rFonts w:ascii="Arial" w:hAnsi="Arial" w:cs="Arial"/>
          <w:sz w:val="22"/>
          <w:szCs w:val="22"/>
          <w:lang w:val="en-GB"/>
        </w:rPr>
        <w:t>end may give rise to a backlog in receipt of claims which would need to be taken into account in computing the provision.</w:t>
      </w:r>
    </w:p>
    <w:p w:rsidR="00153DE4" w:rsidRPr="00F463BC" w:rsidRDefault="00153DE4"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 backlog in the processing of claims. </w:t>
      </w:r>
    </w:p>
    <w:p w:rsidR="00153DE4" w:rsidRPr="00F463BC" w:rsidRDefault="00153DE4" w:rsidP="00B82F08">
      <w:pPr>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The backlog in processing will change the pattern of the claims experience and incorrect projections may arise if these are not taken into account.</w:t>
      </w:r>
    </w:p>
    <w:p w:rsidR="00153DE4" w:rsidRPr="00F463BC" w:rsidRDefault="00345087" w:rsidP="00B82F08">
      <w:pPr>
        <w:pStyle w:val="Bulletsa"/>
        <w:keepNext/>
        <w:numPr>
          <w:ilvl w:val="0"/>
          <w:numId w:val="54"/>
        </w:numPr>
        <w:tabs>
          <w:tab w:val="left" w:pos="993"/>
        </w:tabs>
        <w:spacing w:before="0" w:line="271" w:lineRule="auto"/>
        <w:ind w:left="992" w:hanging="426"/>
        <w:rPr>
          <w:rFonts w:ascii="Arial" w:hAnsi="Arial" w:cs="Arial"/>
          <w:sz w:val="22"/>
          <w:szCs w:val="22"/>
        </w:rPr>
      </w:pPr>
      <w:r w:rsidRPr="00F463BC">
        <w:rPr>
          <w:rFonts w:ascii="Arial" w:hAnsi="Arial" w:cs="Arial"/>
          <w:sz w:val="22"/>
          <w:szCs w:val="22"/>
        </w:rPr>
        <w:t>Management</w:t>
      </w:r>
      <w:r w:rsidR="00330D91" w:rsidRPr="00F463BC">
        <w:rPr>
          <w:rFonts w:ascii="Arial" w:hAnsi="Arial" w:cs="Arial"/>
          <w:sz w:val="22"/>
          <w:szCs w:val="22"/>
        </w:rPr>
        <w:t xml:space="preserve"> controls.</w:t>
      </w:r>
    </w:p>
    <w:p w:rsidR="00153DE4" w:rsidRPr="00F463BC" w:rsidRDefault="005D1060" w:rsidP="00B82F08">
      <w:pPr>
        <w:keepNext/>
        <w:tabs>
          <w:tab w:val="left" w:pos="900"/>
        </w:tabs>
        <w:autoSpaceDE w:val="0"/>
        <w:autoSpaceDN w:val="0"/>
        <w:adjustRightInd w:val="0"/>
        <w:spacing w:before="0" w:line="271" w:lineRule="auto"/>
        <w:ind w:left="992"/>
        <w:rPr>
          <w:rFonts w:ascii="Arial" w:hAnsi="Arial" w:cs="Arial"/>
          <w:sz w:val="22"/>
          <w:szCs w:val="22"/>
          <w:lang w:val="en-GB"/>
        </w:rPr>
      </w:pPr>
      <w:r w:rsidRPr="00F463BC">
        <w:rPr>
          <w:rFonts w:ascii="Arial" w:hAnsi="Arial" w:cs="Arial"/>
          <w:sz w:val="22"/>
          <w:szCs w:val="22"/>
          <w:lang w:val="en-GB"/>
        </w:rPr>
        <w:t xml:space="preserve">An </w:t>
      </w:r>
      <w:r w:rsidR="00153DE4" w:rsidRPr="00F463BC">
        <w:rPr>
          <w:rFonts w:ascii="Arial" w:hAnsi="Arial" w:cs="Arial"/>
          <w:sz w:val="22"/>
          <w:szCs w:val="22"/>
          <w:lang w:val="en-GB"/>
        </w:rPr>
        <w:t xml:space="preserve">auditor </w:t>
      </w:r>
      <w:r w:rsidR="00345087" w:rsidRPr="00F463BC">
        <w:rPr>
          <w:rFonts w:ascii="Arial" w:hAnsi="Arial" w:cs="Arial"/>
          <w:sz w:val="22"/>
          <w:szCs w:val="22"/>
          <w:lang w:val="en-GB"/>
        </w:rPr>
        <w:t>considers any management</w:t>
      </w:r>
      <w:r w:rsidR="00153DE4" w:rsidRPr="00F463BC">
        <w:rPr>
          <w:rFonts w:ascii="Arial" w:hAnsi="Arial" w:cs="Arial"/>
          <w:sz w:val="22"/>
          <w:szCs w:val="22"/>
          <w:lang w:val="en-GB"/>
        </w:rPr>
        <w:t xml:space="preserve"> controls over the computation including a consideration of significant changes between the current and prior year.</w:t>
      </w:r>
    </w:p>
    <w:p w:rsidR="00153DE4" w:rsidRPr="00F463BC" w:rsidRDefault="005D1060"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w:t>
      </w:r>
      <w:r w:rsidR="00B348C0" w:rsidRPr="00F463BC">
        <w:rPr>
          <w:rFonts w:ascii="Arial" w:hAnsi="Arial" w:cs="Arial"/>
          <w:sz w:val="22"/>
          <w:szCs w:val="22"/>
        </w:rPr>
        <w:t xml:space="preserve"> </w:t>
      </w:r>
      <w:r w:rsidR="00153DE4" w:rsidRPr="00F463BC">
        <w:rPr>
          <w:rFonts w:ascii="Arial" w:hAnsi="Arial" w:cs="Arial"/>
          <w:sz w:val="22"/>
          <w:szCs w:val="22"/>
        </w:rPr>
        <w:t>medical scheme’s authorisation process</w:t>
      </w:r>
      <w:r w:rsidR="00330D91" w:rsidRPr="00F463BC">
        <w:rPr>
          <w:rFonts w:ascii="Arial" w:hAnsi="Arial" w:cs="Arial"/>
          <w:sz w:val="22"/>
          <w:szCs w:val="22"/>
        </w:rPr>
        <w:t>.</w:t>
      </w:r>
    </w:p>
    <w:p w:rsidR="00153DE4" w:rsidRPr="00F463BC" w:rsidRDefault="00153DE4" w:rsidP="00B82F08">
      <w:pPr>
        <w:tabs>
          <w:tab w:val="left" w:pos="108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lastRenderedPageBreak/>
        <w:t xml:space="preserve">A number of medical schemes operate on a pre-authorisation basis which requires potential claims to be pre-authorised before the service may be rendered. </w:t>
      </w:r>
    </w:p>
    <w:p w:rsidR="00F13106" w:rsidRPr="00F463BC" w:rsidRDefault="00F02A11" w:rsidP="00BA77AF">
      <w:pPr>
        <w:pStyle w:val="Bulletsa"/>
        <w:keepNext/>
        <w:numPr>
          <w:ilvl w:val="0"/>
          <w:numId w:val="54"/>
        </w:numPr>
        <w:tabs>
          <w:tab w:val="left" w:pos="993"/>
        </w:tabs>
        <w:spacing w:before="0" w:line="271" w:lineRule="auto"/>
        <w:ind w:left="992" w:hanging="426"/>
        <w:rPr>
          <w:rFonts w:ascii="Arial" w:hAnsi="Arial" w:cs="Arial"/>
          <w:sz w:val="22"/>
          <w:szCs w:val="22"/>
        </w:rPr>
      </w:pPr>
      <w:r w:rsidRPr="00F463BC">
        <w:rPr>
          <w:rFonts w:ascii="Arial" w:hAnsi="Arial" w:cs="Arial"/>
          <w:sz w:val="22"/>
          <w:szCs w:val="22"/>
        </w:rPr>
        <w:t xml:space="preserve">Use of an expert. </w:t>
      </w:r>
    </w:p>
    <w:p w:rsidR="003D549A" w:rsidRPr="00F463BC" w:rsidRDefault="00F02A11" w:rsidP="00BA77AF">
      <w:pPr>
        <w:pStyle w:val="Bulletsa"/>
        <w:keepNext/>
        <w:tabs>
          <w:tab w:val="left" w:pos="993"/>
        </w:tabs>
        <w:spacing w:before="0" w:line="271" w:lineRule="auto"/>
        <w:ind w:left="992"/>
        <w:rPr>
          <w:rFonts w:ascii="Arial" w:hAnsi="Arial" w:cs="Arial"/>
          <w:sz w:val="22"/>
          <w:szCs w:val="22"/>
        </w:rPr>
      </w:pPr>
      <w:r w:rsidRPr="00F463BC">
        <w:rPr>
          <w:rFonts w:ascii="Arial" w:hAnsi="Arial" w:cs="Arial"/>
          <w:sz w:val="22"/>
          <w:szCs w:val="22"/>
        </w:rPr>
        <w:t>R</w:t>
      </w:r>
      <w:r w:rsidR="003D549A" w:rsidRPr="00F463BC">
        <w:rPr>
          <w:rFonts w:ascii="Arial" w:hAnsi="Arial" w:cs="Arial"/>
          <w:sz w:val="22"/>
          <w:szCs w:val="22"/>
        </w:rPr>
        <w:t xml:space="preserve">efer to </w:t>
      </w:r>
      <w:r w:rsidR="00731299" w:rsidRPr="00F463BC">
        <w:rPr>
          <w:rFonts w:ascii="Arial" w:hAnsi="Arial" w:cs="Arial"/>
          <w:sz w:val="22"/>
          <w:szCs w:val="22"/>
        </w:rPr>
        <w:t xml:space="preserve">the section </w:t>
      </w:r>
      <w:hyperlink w:anchor="_Auditor_and_management" w:history="1">
        <w:r w:rsidR="00731299" w:rsidRPr="00F463BC">
          <w:rPr>
            <w:rStyle w:val="Hyperlink"/>
            <w:rFonts w:ascii="Arial" w:hAnsi="Arial" w:cs="Arial"/>
            <w:sz w:val="22"/>
            <w:szCs w:val="22"/>
          </w:rPr>
          <w:t>Auditor and management experts</w:t>
        </w:r>
      </w:hyperlink>
      <w:r w:rsidR="00731299" w:rsidRPr="00F463BC">
        <w:rPr>
          <w:rFonts w:ascii="Arial" w:hAnsi="Arial" w:cs="Arial"/>
          <w:sz w:val="22"/>
          <w:szCs w:val="22"/>
        </w:rPr>
        <w:t>.</w:t>
      </w:r>
    </w:p>
    <w:p w:rsidR="00306A78" w:rsidRPr="00F463BC" w:rsidRDefault="00306A78" w:rsidP="00B82F08">
      <w:pPr>
        <w:pStyle w:val="Bulletsa"/>
        <w:tabs>
          <w:tab w:val="left" w:pos="993"/>
        </w:tabs>
        <w:spacing w:before="0" w:line="271" w:lineRule="auto"/>
        <w:ind w:left="993"/>
        <w:rPr>
          <w:rFonts w:ascii="Arial" w:hAnsi="Arial" w:cs="Arial"/>
          <w:sz w:val="22"/>
          <w:szCs w:val="22"/>
        </w:rPr>
      </w:pPr>
    </w:p>
    <w:p w:rsidR="00071D89" w:rsidRPr="00F463BC" w:rsidRDefault="00071D89" w:rsidP="00B82F08">
      <w:pPr>
        <w:pStyle w:val="Heading2"/>
        <w:keepNext/>
        <w:spacing w:before="0" w:line="271" w:lineRule="auto"/>
      </w:pPr>
      <w:bookmarkStart w:id="84" w:name="_Toc300572960"/>
      <w:bookmarkStart w:id="85" w:name="_Toc304897919"/>
      <w:bookmarkStart w:id="86" w:name="_Toc305083355"/>
      <w:bookmarkStart w:id="87" w:name="_Toc455582216"/>
      <w:r w:rsidRPr="00F463BC">
        <w:t xml:space="preserve">Non-healthcare expenditure </w:t>
      </w:r>
      <w:r w:rsidR="003B394E" w:rsidRPr="00F463BC">
        <w:t>–</w:t>
      </w:r>
      <w:r w:rsidRPr="00F463BC">
        <w:t xml:space="preserve"> </w:t>
      </w:r>
      <w:r w:rsidR="008672CC" w:rsidRPr="00F463BC">
        <w:t>b</w:t>
      </w:r>
      <w:r w:rsidRPr="00F463BC">
        <w:t>roker commissions</w:t>
      </w:r>
      <w:bookmarkEnd w:id="84"/>
      <w:bookmarkEnd w:id="85"/>
      <w:bookmarkEnd w:id="86"/>
      <w:bookmarkEnd w:id="87"/>
    </w:p>
    <w:p w:rsidR="00071D89" w:rsidRPr="00F463BC" w:rsidRDefault="00071D8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w:t>
      </w:r>
      <w:r w:rsidR="009A3513" w:rsidRPr="00F463BC">
        <w:rPr>
          <w:rFonts w:ascii="Arial" w:hAnsi="Arial" w:cs="Arial"/>
          <w:sz w:val="22"/>
          <w:szCs w:val="22"/>
        </w:rPr>
        <w:t>risk of material misstatement</w:t>
      </w:r>
      <w:r w:rsidRPr="00F463BC">
        <w:rPr>
          <w:rFonts w:ascii="Arial" w:hAnsi="Arial" w:cs="Arial"/>
          <w:sz w:val="22"/>
          <w:szCs w:val="22"/>
        </w:rPr>
        <w:t xml:space="preserve"> related to broker commissions could include, but </w:t>
      </w:r>
      <w:r w:rsidR="009F6ABE" w:rsidRPr="00F463BC">
        <w:rPr>
          <w:rFonts w:ascii="Arial" w:hAnsi="Arial" w:cs="Arial"/>
          <w:sz w:val="22"/>
          <w:szCs w:val="22"/>
        </w:rPr>
        <w:t xml:space="preserve">is </w:t>
      </w:r>
      <w:r w:rsidRPr="00F463BC">
        <w:rPr>
          <w:rFonts w:ascii="Arial" w:hAnsi="Arial" w:cs="Arial"/>
          <w:sz w:val="22"/>
          <w:szCs w:val="22"/>
        </w:rPr>
        <w:t>not limited to:</w:t>
      </w:r>
    </w:p>
    <w:p w:rsidR="00071D89" w:rsidRPr="00F463BC" w:rsidRDefault="00071D89" w:rsidP="00B82F08">
      <w:pPr>
        <w:pStyle w:val="Bulletsa"/>
        <w:numPr>
          <w:ilvl w:val="0"/>
          <w:numId w:val="5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medical scheme.</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member.</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calculated and paid based on contributions raised and not received.</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paid in advance in lieu of broker services to be provided.</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Broker commissions paid are in excess of the maximum amount determined by the Minister </w:t>
      </w:r>
      <w:r w:rsidR="000D0C03" w:rsidRPr="00F463BC">
        <w:rPr>
          <w:rFonts w:ascii="Arial" w:hAnsi="Arial" w:cs="Arial"/>
          <w:sz w:val="22"/>
          <w:szCs w:val="22"/>
        </w:rPr>
        <w:t xml:space="preserve">of Health </w:t>
      </w:r>
      <w:r w:rsidRPr="00F463BC">
        <w:rPr>
          <w:rFonts w:ascii="Arial" w:hAnsi="Arial" w:cs="Arial"/>
          <w:sz w:val="22"/>
          <w:szCs w:val="22"/>
        </w:rPr>
        <w:t>in the Government Gazette.</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paid by a medical scheme to brokers who are not meeting service levels agreed with the scheme.</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paid by a medical scheme in respect of unaccredited brokers.</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not discontinued when the scheme receives notice from that member (or the relevant employer, in the case of an employer group), that the member or employer no longer requires the services of that broker.</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More than one broker is compensated for the same member.</w:t>
      </w:r>
    </w:p>
    <w:p w:rsidR="00306A78" w:rsidRPr="00F463BC" w:rsidRDefault="00306A78" w:rsidP="00B82F08">
      <w:pPr>
        <w:pStyle w:val="Bulletsa"/>
        <w:tabs>
          <w:tab w:val="left" w:pos="993"/>
        </w:tabs>
        <w:spacing w:before="0" w:line="271" w:lineRule="auto"/>
        <w:ind w:left="993"/>
        <w:rPr>
          <w:rFonts w:ascii="Arial" w:hAnsi="Arial" w:cs="Arial"/>
          <w:sz w:val="22"/>
          <w:szCs w:val="22"/>
        </w:rPr>
      </w:pPr>
    </w:p>
    <w:p w:rsidR="00FA678B" w:rsidRPr="00F463BC" w:rsidRDefault="00EC7117" w:rsidP="00B82F08">
      <w:pPr>
        <w:pStyle w:val="Heading2"/>
        <w:keepNext/>
        <w:spacing w:before="0" w:line="271" w:lineRule="auto"/>
      </w:pPr>
      <w:bookmarkStart w:id="88" w:name="_Toc300572961"/>
      <w:bookmarkStart w:id="89" w:name="_Toc304897920"/>
      <w:bookmarkStart w:id="90" w:name="_Toc305083356"/>
      <w:bookmarkStart w:id="91" w:name="_Toc455582217"/>
      <w:r w:rsidRPr="00F463BC">
        <w:t>Non-healthcare expenditure based on membership</w:t>
      </w:r>
      <w:bookmarkEnd w:id="88"/>
      <w:bookmarkEnd w:id="89"/>
      <w:bookmarkEnd w:id="90"/>
      <w:bookmarkEnd w:id="91"/>
    </w:p>
    <w:p w:rsidR="00EC7117" w:rsidRPr="00F463BC" w:rsidRDefault="00084D8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Non-healthcare expenditure based on membership includes a risk of material misstatement through incorrect back</w:t>
      </w:r>
      <w:r w:rsidR="009F6ABE" w:rsidRPr="00F463BC">
        <w:rPr>
          <w:rFonts w:ascii="Arial" w:hAnsi="Arial" w:cs="Arial"/>
          <w:sz w:val="22"/>
          <w:szCs w:val="22"/>
        </w:rPr>
        <w:t>-</w:t>
      </w:r>
      <w:r w:rsidRPr="00F463BC">
        <w:rPr>
          <w:rFonts w:ascii="Arial" w:hAnsi="Arial" w:cs="Arial"/>
          <w:sz w:val="22"/>
          <w:szCs w:val="22"/>
        </w:rPr>
        <w:t>dating of expenditure based on changes in membership numbers.</w:t>
      </w:r>
    </w:p>
    <w:p w:rsidR="00306A78" w:rsidRPr="00F463BC" w:rsidRDefault="00306A78" w:rsidP="00B82F08">
      <w:pPr>
        <w:pStyle w:val="Bulletnrs"/>
        <w:numPr>
          <w:ilvl w:val="0"/>
          <w:numId w:val="0"/>
        </w:numPr>
        <w:tabs>
          <w:tab w:val="left" w:pos="567"/>
        </w:tabs>
        <w:spacing w:before="0" w:line="271" w:lineRule="auto"/>
        <w:ind w:left="567"/>
        <w:rPr>
          <w:rFonts w:ascii="Arial" w:hAnsi="Arial" w:cs="Arial"/>
          <w:sz w:val="22"/>
          <w:szCs w:val="22"/>
        </w:rPr>
      </w:pPr>
    </w:p>
    <w:p w:rsidR="00122B48" w:rsidRPr="00F463BC" w:rsidRDefault="001971A2" w:rsidP="00B82F08">
      <w:pPr>
        <w:pStyle w:val="Heading2"/>
        <w:keepNext/>
        <w:spacing w:before="0" w:line="271" w:lineRule="auto"/>
      </w:pPr>
      <w:bookmarkStart w:id="92" w:name="_Toc300572962"/>
      <w:bookmarkStart w:id="93" w:name="_Toc304897921"/>
      <w:bookmarkStart w:id="94" w:name="_Toc305083357"/>
      <w:bookmarkStart w:id="95" w:name="_Toc455582218"/>
      <w:r w:rsidRPr="00F463BC">
        <w:t>Investments</w:t>
      </w:r>
      <w:bookmarkEnd w:id="92"/>
      <w:bookmarkEnd w:id="93"/>
      <w:bookmarkEnd w:id="94"/>
      <w:bookmarkEnd w:id="95"/>
    </w:p>
    <w:p w:rsidR="009A2A14" w:rsidRPr="00F463BC" w:rsidRDefault="009A2A14"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following is not an exhaustive list of all </w:t>
      </w:r>
      <w:r w:rsidR="00C93231" w:rsidRPr="00F463BC">
        <w:rPr>
          <w:rFonts w:ascii="Arial" w:hAnsi="Arial" w:cs="Arial"/>
          <w:sz w:val="22"/>
          <w:szCs w:val="22"/>
        </w:rPr>
        <w:t xml:space="preserve">the </w:t>
      </w:r>
      <w:r w:rsidRPr="00F463BC">
        <w:rPr>
          <w:rFonts w:ascii="Arial" w:hAnsi="Arial" w:cs="Arial"/>
          <w:sz w:val="22"/>
          <w:szCs w:val="22"/>
        </w:rPr>
        <w:t>risks</w:t>
      </w:r>
      <w:r w:rsidR="00C93231" w:rsidRPr="00F463BC">
        <w:rPr>
          <w:rFonts w:ascii="Arial" w:hAnsi="Arial" w:cs="Arial"/>
          <w:sz w:val="22"/>
          <w:szCs w:val="22"/>
        </w:rPr>
        <w:t xml:space="preserve"> of material misstatement</w:t>
      </w:r>
      <w:r w:rsidRPr="00F463BC">
        <w:rPr>
          <w:rFonts w:ascii="Arial" w:hAnsi="Arial" w:cs="Arial"/>
          <w:sz w:val="22"/>
          <w:szCs w:val="22"/>
        </w:rPr>
        <w:t xml:space="preserve"> applicable to the investment cycle</w:t>
      </w:r>
      <w:r w:rsidR="00C93231" w:rsidRPr="00F463BC">
        <w:rPr>
          <w:rFonts w:ascii="Arial" w:hAnsi="Arial" w:cs="Arial"/>
          <w:sz w:val="22"/>
          <w:szCs w:val="22"/>
        </w:rPr>
        <w:t xml:space="preserve"> and only </w:t>
      </w:r>
      <w:r w:rsidRPr="00F463BC">
        <w:rPr>
          <w:rFonts w:ascii="Arial" w:hAnsi="Arial" w:cs="Arial"/>
          <w:sz w:val="22"/>
          <w:szCs w:val="22"/>
        </w:rPr>
        <w:t>include</w:t>
      </w:r>
      <w:r w:rsidR="00330D91" w:rsidRPr="00F463BC">
        <w:rPr>
          <w:rFonts w:ascii="Arial" w:hAnsi="Arial" w:cs="Arial"/>
          <w:sz w:val="22"/>
          <w:szCs w:val="22"/>
        </w:rPr>
        <w:t>s</w:t>
      </w:r>
      <w:r w:rsidRPr="00F463BC">
        <w:rPr>
          <w:rFonts w:ascii="Arial" w:hAnsi="Arial" w:cs="Arial"/>
          <w:sz w:val="22"/>
          <w:szCs w:val="22"/>
        </w:rPr>
        <w:t xml:space="preserve"> risks that are specific to </w:t>
      </w:r>
      <w:r w:rsidR="00D70211" w:rsidRPr="00F463BC">
        <w:rPr>
          <w:rFonts w:ascii="Arial" w:hAnsi="Arial" w:cs="Arial"/>
          <w:sz w:val="22"/>
          <w:szCs w:val="22"/>
        </w:rPr>
        <w:t xml:space="preserve">a </w:t>
      </w:r>
      <w:r w:rsidRPr="00F463BC">
        <w:rPr>
          <w:rFonts w:ascii="Arial" w:hAnsi="Arial" w:cs="Arial"/>
          <w:sz w:val="22"/>
          <w:szCs w:val="22"/>
        </w:rPr>
        <w:t xml:space="preserve">medical scheme. </w:t>
      </w:r>
    </w:p>
    <w:p w:rsidR="009A2A14" w:rsidRPr="00F463BC" w:rsidRDefault="009A2A14" w:rsidP="00B82F08">
      <w:pPr>
        <w:pStyle w:val="Heading41"/>
        <w:spacing w:line="271" w:lineRule="auto"/>
        <w:rPr>
          <w:rFonts w:ascii="Arial" w:hAnsi="Arial" w:cs="Arial"/>
          <w:sz w:val="22"/>
          <w:szCs w:val="22"/>
        </w:rPr>
      </w:pPr>
      <w:bookmarkStart w:id="96" w:name="_Toc304897922"/>
      <w:r w:rsidRPr="00F463BC">
        <w:rPr>
          <w:rFonts w:ascii="Arial" w:hAnsi="Arial" w:cs="Arial"/>
          <w:sz w:val="22"/>
          <w:szCs w:val="22"/>
        </w:rPr>
        <w:t>Investments held not in compliance with the Act</w:t>
      </w:r>
      <w:bookmarkEnd w:id="96"/>
    </w:p>
    <w:p w:rsidR="00FD7B5E" w:rsidRPr="00F463BC" w:rsidRDefault="00FD7B5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Section 35(6) of the Act prohibits a scheme from:</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Encumbering its assets;</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Allowing its assets to be held by another person on its behalf;</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Directly or indirectly borrowing money; or</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By means of suretyship or any other form of personal security, whether under a primary or accessory obligation giving security in relation to obligations between other persons;</w:t>
      </w:r>
    </w:p>
    <w:p w:rsidR="00FD7B5E" w:rsidRPr="00F463BC" w:rsidRDefault="00FD7B5E" w:rsidP="00C721DC">
      <w:pPr>
        <w:pStyle w:val="Bulletsa"/>
        <w:tabs>
          <w:tab w:val="left" w:pos="993"/>
        </w:tabs>
        <w:spacing w:before="0" w:line="271" w:lineRule="auto"/>
        <w:ind w:left="993"/>
        <w:rPr>
          <w:rFonts w:ascii="Arial" w:hAnsi="Arial" w:cs="Arial"/>
          <w:sz w:val="22"/>
          <w:szCs w:val="22"/>
        </w:rPr>
      </w:pPr>
      <w:r w:rsidRPr="00F463BC">
        <w:rPr>
          <w:rFonts w:ascii="Arial" w:hAnsi="Arial" w:cs="Arial"/>
          <w:sz w:val="22"/>
          <w:szCs w:val="22"/>
        </w:rPr>
        <w:t>Without the prior approval of the Council.</w:t>
      </w:r>
    </w:p>
    <w:p w:rsidR="009A2A14" w:rsidRPr="00F463BC" w:rsidRDefault="009A2A14"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Section 35(8) of the Act precludes a scheme from holding investments (including the granting of loans to) in:</w:t>
      </w:r>
    </w:p>
    <w:p w:rsidR="009A2A14" w:rsidRPr="00F463BC" w:rsidRDefault="009A2A14" w:rsidP="00C721DC">
      <w:pPr>
        <w:pStyle w:val="Bulletsa"/>
        <w:numPr>
          <w:ilvl w:val="0"/>
          <w:numId w:val="304"/>
        </w:numPr>
        <w:spacing w:before="0" w:line="271" w:lineRule="auto"/>
        <w:ind w:left="993" w:hanging="426"/>
        <w:rPr>
          <w:rFonts w:ascii="Arial" w:hAnsi="Arial" w:cs="Arial"/>
          <w:sz w:val="22"/>
          <w:szCs w:val="22"/>
        </w:rPr>
      </w:pPr>
      <w:r w:rsidRPr="00F463BC">
        <w:rPr>
          <w:rFonts w:ascii="Arial" w:hAnsi="Arial" w:cs="Arial"/>
          <w:sz w:val="22"/>
          <w:szCs w:val="22"/>
        </w:rPr>
        <w:t xml:space="preserve">A participating employer; </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Any administrator or arrangement associated with the scheme;</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Any other medical scheme;</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Any administrator; and</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Any person associated with the above-mentioned parties.</w:t>
      </w:r>
    </w:p>
    <w:p w:rsidR="009A2A14" w:rsidRPr="00F463BC" w:rsidRDefault="009A2A14"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Regulation 30 prescribes limits for the kinds and categories of assets to be held by a medical scheme. Over and above the risk that the scheme has not complied with the limitations </w:t>
      </w:r>
      <w:r w:rsidR="005D1060" w:rsidRPr="00F463BC">
        <w:rPr>
          <w:rFonts w:ascii="Arial" w:hAnsi="Arial" w:cs="Arial"/>
          <w:sz w:val="22"/>
          <w:szCs w:val="22"/>
        </w:rPr>
        <w:t xml:space="preserve">an </w:t>
      </w:r>
      <w:r w:rsidRPr="00F463BC">
        <w:rPr>
          <w:rFonts w:ascii="Arial" w:hAnsi="Arial" w:cs="Arial"/>
          <w:sz w:val="22"/>
          <w:szCs w:val="22"/>
        </w:rPr>
        <w:t>auditor also needs to consider whether the assets have been looked-th</w:t>
      </w:r>
      <w:r w:rsidR="00E11401" w:rsidRPr="00F463BC">
        <w:rPr>
          <w:rFonts w:ascii="Arial" w:hAnsi="Arial" w:cs="Arial"/>
          <w:sz w:val="22"/>
          <w:szCs w:val="22"/>
        </w:rPr>
        <w:t>r</w:t>
      </w:r>
      <w:r w:rsidRPr="00F463BC">
        <w:rPr>
          <w:rFonts w:ascii="Arial" w:hAnsi="Arial" w:cs="Arial"/>
          <w:sz w:val="22"/>
          <w:szCs w:val="22"/>
        </w:rPr>
        <w:t xml:space="preserve">ough correctly for the purposes </w:t>
      </w:r>
      <w:r w:rsidR="003D0B56" w:rsidRPr="00F463BC">
        <w:rPr>
          <w:rFonts w:ascii="Arial" w:hAnsi="Arial" w:cs="Arial"/>
          <w:sz w:val="22"/>
          <w:szCs w:val="22"/>
        </w:rPr>
        <w:t xml:space="preserve">of </w:t>
      </w:r>
      <w:r w:rsidRPr="00F463BC">
        <w:rPr>
          <w:rFonts w:ascii="Arial" w:hAnsi="Arial" w:cs="Arial"/>
          <w:sz w:val="22"/>
          <w:szCs w:val="22"/>
        </w:rPr>
        <w:t>th</w:t>
      </w:r>
      <w:r w:rsidR="00664E55" w:rsidRPr="00F463BC">
        <w:rPr>
          <w:rFonts w:ascii="Arial" w:hAnsi="Arial" w:cs="Arial"/>
          <w:sz w:val="22"/>
          <w:szCs w:val="22"/>
        </w:rPr>
        <w:t>is</w:t>
      </w:r>
      <w:r w:rsidRPr="00F463BC">
        <w:rPr>
          <w:rFonts w:ascii="Arial" w:hAnsi="Arial" w:cs="Arial"/>
          <w:sz w:val="22"/>
          <w:szCs w:val="22"/>
        </w:rPr>
        <w:t xml:space="preserve"> assessment. The information obtained for the purposes of this assessment is usually from investment managers and thus </w:t>
      </w:r>
      <w:r w:rsidR="007C1C08" w:rsidRPr="00F463BC">
        <w:rPr>
          <w:rFonts w:ascii="Arial" w:hAnsi="Arial" w:cs="Arial"/>
          <w:sz w:val="22"/>
          <w:szCs w:val="22"/>
        </w:rPr>
        <w:t xml:space="preserve">an </w:t>
      </w:r>
      <w:r w:rsidRPr="00F463BC">
        <w:rPr>
          <w:rFonts w:ascii="Arial" w:hAnsi="Arial" w:cs="Arial"/>
          <w:sz w:val="22"/>
          <w:szCs w:val="22"/>
        </w:rPr>
        <w:t xml:space="preserve">auditor will also need to consider the implications of dealing with information obtained from a service organisation. </w:t>
      </w:r>
    </w:p>
    <w:p w:rsidR="006A2359" w:rsidRPr="00F463BC" w:rsidRDefault="006A2359" w:rsidP="00B82F08">
      <w:pPr>
        <w:pStyle w:val="Heading41"/>
        <w:spacing w:line="271" w:lineRule="auto"/>
        <w:rPr>
          <w:rFonts w:ascii="Arial" w:hAnsi="Arial" w:cs="Arial"/>
          <w:i w:val="0"/>
          <w:sz w:val="22"/>
          <w:szCs w:val="22"/>
        </w:rPr>
      </w:pPr>
      <w:bookmarkStart w:id="97" w:name="_Toc304897923"/>
      <w:r w:rsidRPr="00F463BC">
        <w:rPr>
          <w:rFonts w:ascii="Arial" w:hAnsi="Arial" w:cs="Arial"/>
          <w:sz w:val="22"/>
          <w:szCs w:val="22"/>
        </w:rPr>
        <w:t>Derivative compliance testing based on incorrect values</w:t>
      </w:r>
    </w:p>
    <w:p w:rsidR="006A2359" w:rsidRPr="00F463BC" w:rsidRDefault="006A235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Derivatives are included in category 7 of Annexure B. There is a risk that the derivatives are not included at their gross position, but that compliance to the limitations imposed by Annexure B is tested based on their net effective exposure value.</w:t>
      </w:r>
    </w:p>
    <w:p w:rsidR="006A2359" w:rsidRPr="00F463BC" w:rsidRDefault="006A235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Compliance is also separately tested on the total negative derivative position held, and on the total positive derivative position held, i.e. the two positions are not offset.</w:t>
      </w:r>
    </w:p>
    <w:p w:rsidR="009A2A14" w:rsidRPr="00F463BC" w:rsidRDefault="009A2A14" w:rsidP="00B82F08">
      <w:pPr>
        <w:pStyle w:val="Heading41"/>
        <w:spacing w:line="271" w:lineRule="auto"/>
        <w:rPr>
          <w:rFonts w:ascii="Arial" w:hAnsi="Arial" w:cs="Arial"/>
          <w:sz w:val="22"/>
          <w:szCs w:val="22"/>
        </w:rPr>
      </w:pPr>
      <w:r w:rsidRPr="00F463BC">
        <w:rPr>
          <w:rFonts w:ascii="Arial" w:hAnsi="Arial" w:cs="Arial"/>
          <w:sz w:val="22"/>
          <w:szCs w:val="22"/>
        </w:rPr>
        <w:t>Investments incorrectly derecognised</w:t>
      </w:r>
      <w:bookmarkEnd w:id="97"/>
      <w:r w:rsidRPr="00F463BC">
        <w:rPr>
          <w:rFonts w:ascii="Arial" w:hAnsi="Arial" w:cs="Arial"/>
          <w:sz w:val="22"/>
          <w:szCs w:val="22"/>
        </w:rPr>
        <w:t xml:space="preserve"> </w:t>
      </w:r>
    </w:p>
    <w:p w:rsidR="009A2A14" w:rsidRPr="00F463BC" w:rsidRDefault="00084D8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w:t>
      </w:r>
      <w:r w:rsidR="009A2A14" w:rsidRPr="00F463BC">
        <w:rPr>
          <w:rFonts w:ascii="Arial" w:hAnsi="Arial" w:cs="Arial"/>
          <w:sz w:val="22"/>
          <w:szCs w:val="22"/>
        </w:rPr>
        <w:t xml:space="preserve"> risk </w:t>
      </w:r>
      <w:r w:rsidRPr="00F463BC">
        <w:rPr>
          <w:rFonts w:ascii="Arial" w:hAnsi="Arial" w:cs="Arial"/>
          <w:sz w:val="22"/>
          <w:szCs w:val="22"/>
        </w:rPr>
        <w:t xml:space="preserve">exists </w:t>
      </w:r>
      <w:r w:rsidR="009A2A14" w:rsidRPr="00F463BC">
        <w:rPr>
          <w:rFonts w:ascii="Arial" w:hAnsi="Arial" w:cs="Arial"/>
          <w:sz w:val="22"/>
          <w:szCs w:val="22"/>
        </w:rPr>
        <w:t xml:space="preserve">that </w:t>
      </w:r>
      <w:r w:rsidRPr="00F463BC">
        <w:rPr>
          <w:rFonts w:ascii="Arial" w:hAnsi="Arial" w:cs="Arial"/>
          <w:sz w:val="22"/>
          <w:szCs w:val="22"/>
        </w:rPr>
        <w:t xml:space="preserve">a </w:t>
      </w:r>
      <w:r w:rsidR="009A2A14" w:rsidRPr="00F463BC">
        <w:rPr>
          <w:rFonts w:ascii="Arial" w:hAnsi="Arial" w:cs="Arial"/>
          <w:sz w:val="22"/>
          <w:szCs w:val="22"/>
        </w:rPr>
        <w:t xml:space="preserve">scheme may manipulate its solvency calculations by disinvesting from portfolios with the intention of releasing unrealised fair value gains, and then </w:t>
      </w:r>
      <w:r w:rsidRPr="00F463BC">
        <w:rPr>
          <w:rFonts w:ascii="Arial" w:hAnsi="Arial" w:cs="Arial"/>
          <w:sz w:val="22"/>
          <w:szCs w:val="22"/>
        </w:rPr>
        <w:t xml:space="preserve">immediately </w:t>
      </w:r>
      <w:r w:rsidR="009A2A14" w:rsidRPr="00F463BC">
        <w:rPr>
          <w:rFonts w:ascii="Arial" w:hAnsi="Arial" w:cs="Arial"/>
          <w:sz w:val="22"/>
          <w:szCs w:val="22"/>
        </w:rPr>
        <w:t xml:space="preserve">reinvesting into the same investment risk profile. This type of transaction is also commonly known as a wash-sale transaction. Assuming all other variables in the calculation being constant, realised gains would have a positive impact on the solvency calculation of a scheme. This is </w:t>
      </w:r>
      <w:r w:rsidR="00E11401" w:rsidRPr="00F463BC">
        <w:rPr>
          <w:rFonts w:ascii="Arial" w:hAnsi="Arial" w:cs="Arial"/>
          <w:sz w:val="22"/>
          <w:szCs w:val="22"/>
        </w:rPr>
        <w:t xml:space="preserve">therefore </w:t>
      </w:r>
      <w:r w:rsidR="009A2A14" w:rsidRPr="00F463BC">
        <w:rPr>
          <w:rFonts w:ascii="Arial" w:hAnsi="Arial" w:cs="Arial"/>
          <w:sz w:val="22"/>
          <w:szCs w:val="22"/>
        </w:rPr>
        <w:t>an avenue through which schemes could manipulate their solvency ratio.</w:t>
      </w:r>
      <w:r w:rsidR="00E859E3" w:rsidRPr="00F463BC">
        <w:rPr>
          <w:rFonts w:ascii="Arial" w:hAnsi="Arial" w:cs="Arial"/>
          <w:sz w:val="22"/>
          <w:szCs w:val="22"/>
        </w:rPr>
        <w:t xml:space="preserve"> </w:t>
      </w:r>
      <w:r w:rsidR="009A2A14" w:rsidRPr="00F463BC">
        <w:rPr>
          <w:rFonts w:ascii="Arial" w:hAnsi="Arial" w:cs="Arial"/>
          <w:sz w:val="22"/>
          <w:szCs w:val="22"/>
        </w:rPr>
        <w:t>Having regard for the derecognition criteria</w:t>
      </w:r>
      <w:r w:rsidR="00E859E3" w:rsidRPr="00F463BC">
        <w:rPr>
          <w:rFonts w:ascii="Arial" w:hAnsi="Arial" w:cs="Arial"/>
          <w:sz w:val="22"/>
          <w:szCs w:val="22"/>
        </w:rPr>
        <w:t xml:space="preserve">, </w:t>
      </w:r>
      <w:r w:rsidR="009A2A14" w:rsidRPr="00F463BC">
        <w:rPr>
          <w:rFonts w:ascii="Arial" w:hAnsi="Arial" w:cs="Arial"/>
          <w:sz w:val="22"/>
          <w:szCs w:val="22"/>
        </w:rPr>
        <w:t>such transactions would typically need to be reversed.</w:t>
      </w:r>
    </w:p>
    <w:p w:rsidR="00306A78" w:rsidRPr="00F463BC" w:rsidRDefault="00306A78" w:rsidP="00B82F08">
      <w:pPr>
        <w:pStyle w:val="Bulletnrs"/>
        <w:numPr>
          <w:ilvl w:val="0"/>
          <w:numId w:val="0"/>
        </w:numPr>
        <w:tabs>
          <w:tab w:val="left" w:pos="567"/>
        </w:tabs>
        <w:spacing w:before="0" w:line="271" w:lineRule="auto"/>
        <w:ind w:left="567"/>
        <w:rPr>
          <w:rFonts w:ascii="Arial" w:hAnsi="Arial" w:cs="Arial"/>
          <w:sz w:val="22"/>
          <w:szCs w:val="22"/>
        </w:rPr>
      </w:pPr>
    </w:p>
    <w:p w:rsidR="0026573A" w:rsidRPr="00F463BC" w:rsidRDefault="00227896" w:rsidP="00B82F08">
      <w:pPr>
        <w:pStyle w:val="Heading2"/>
        <w:keepNext/>
        <w:spacing w:before="0" w:line="271" w:lineRule="auto"/>
      </w:pPr>
      <w:bookmarkStart w:id="98" w:name="_Toc300572963"/>
      <w:bookmarkStart w:id="99" w:name="_Toc304897924"/>
      <w:bookmarkStart w:id="100" w:name="_Toc305083358"/>
      <w:bookmarkStart w:id="101" w:name="_Toc455582219"/>
      <w:r w:rsidRPr="00F463BC">
        <w:lastRenderedPageBreak/>
        <w:t>Personal m</w:t>
      </w:r>
      <w:r w:rsidR="001971A2" w:rsidRPr="00F463BC">
        <w:t>edical savings accounts</w:t>
      </w:r>
      <w:bookmarkEnd w:id="98"/>
      <w:bookmarkEnd w:id="99"/>
      <w:bookmarkEnd w:id="100"/>
      <w:r w:rsidR="002F0A50" w:rsidRPr="00F463BC">
        <w:t xml:space="preserve"> (PMSAs)</w:t>
      </w:r>
      <w:bookmarkEnd w:id="101"/>
    </w:p>
    <w:p w:rsidR="001971A2" w:rsidRPr="00F463BC" w:rsidRDefault="001971A2" w:rsidP="00B82F08">
      <w:pPr>
        <w:pStyle w:val="Heading41"/>
        <w:spacing w:line="271" w:lineRule="auto"/>
        <w:rPr>
          <w:rFonts w:ascii="Arial" w:hAnsi="Arial" w:cs="Arial"/>
          <w:sz w:val="22"/>
          <w:szCs w:val="22"/>
        </w:rPr>
      </w:pPr>
      <w:bookmarkStart w:id="102" w:name="_Toc304897925"/>
      <w:r w:rsidRPr="00F463BC">
        <w:rPr>
          <w:rFonts w:ascii="Arial" w:hAnsi="Arial" w:cs="Arial"/>
          <w:sz w:val="22"/>
          <w:szCs w:val="22"/>
        </w:rPr>
        <w:t xml:space="preserve">Restrictions on </w:t>
      </w:r>
      <w:r w:rsidR="00227896" w:rsidRPr="00F463BC">
        <w:rPr>
          <w:rFonts w:ascii="Arial" w:hAnsi="Arial" w:cs="Arial"/>
          <w:sz w:val="22"/>
          <w:szCs w:val="22"/>
        </w:rPr>
        <w:t>PMSA</w:t>
      </w:r>
      <w:r w:rsidRPr="00F463BC">
        <w:rPr>
          <w:rFonts w:ascii="Arial" w:hAnsi="Arial" w:cs="Arial"/>
          <w:sz w:val="22"/>
          <w:szCs w:val="22"/>
        </w:rPr>
        <w:t xml:space="preserve"> contributions</w:t>
      </w:r>
      <w:bookmarkEnd w:id="102"/>
      <w:r w:rsidR="00B1585D" w:rsidRPr="00F463BC">
        <w:rPr>
          <w:rFonts w:ascii="Arial" w:hAnsi="Arial" w:cs="Arial"/>
          <w:sz w:val="22"/>
          <w:szCs w:val="22"/>
        </w:rPr>
        <w:t xml:space="preserve"> and claims</w:t>
      </w:r>
    </w:p>
    <w:p w:rsidR="001971A2" w:rsidRPr="00F463BC" w:rsidRDefault="001971A2"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accordance with </w:t>
      </w:r>
      <w:r w:rsidR="000D0C03" w:rsidRPr="00F463BC">
        <w:rPr>
          <w:rFonts w:ascii="Arial" w:hAnsi="Arial" w:cs="Arial"/>
          <w:sz w:val="22"/>
          <w:szCs w:val="22"/>
        </w:rPr>
        <w:t xml:space="preserve">section 10 of </w:t>
      </w:r>
      <w:r w:rsidRPr="00F463BC">
        <w:rPr>
          <w:rFonts w:ascii="Arial" w:hAnsi="Arial" w:cs="Arial"/>
          <w:sz w:val="22"/>
          <w:szCs w:val="22"/>
        </w:rPr>
        <w:t xml:space="preserve">the Act, a maximum of 25% of the total gross contribution in respect of a member can be allocated to a </w:t>
      </w:r>
      <w:r w:rsidR="00227896" w:rsidRPr="00F463BC">
        <w:rPr>
          <w:rFonts w:ascii="Arial" w:hAnsi="Arial" w:cs="Arial"/>
          <w:sz w:val="22"/>
          <w:szCs w:val="22"/>
        </w:rPr>
        <w:t>PMSA</w:t>
      </w:r>
      <w:r w:rsidRPr="00F463BC">
        <w:rPr>
          <w:rFonts w:ascii="Arial" w:hAnsi="Arial" w:cs="Arial"/>
          <w:sz w:val="22"/>
          <w:szCs w:val="22"/>
        </w:rPr>
        <w:t xml:space="preserve">. This limit needs to be applied at an individual member level. The </w:t>
      </w:r>
      <w:r w:rsidR="00227896" w:rsidRPr="00F463BC">
        <w:rPr>
          <w:rFonts w:ascii="Arial" w:hAnsi="Arial" w:cs="Arial"/>
          <w:sz w:val="22"/>
          <w:szCs w:val="22"/>
        </w:rPr>
        <w:t>percentage</w:t>
      </w:r>
      <w:r w:rsidRPr="00F463BC">
        <w:rPr>
          <w:rFonts w:ascii="Arial" w:hAnsi="Arial" w:cs="Arial"/>
          <w:sz w:val="22"/>
          <w:szCs w:val="22"/>
        </w:rPr>
        <w:t xml:space="preserve"> of total gross contributions in respect of a </w:t>
      </w:r>
      <w:r w:rsidR="00227896" w:rsidRPr="00F463BC">
        <w:rPr>
          <w:rFonts w:ascii="Arial" w:hAnsi="Arial" w:cs="Arial"/>
          <w:sz w:val="22"/>
          <w:szCs w:val="22"/>
        </w:rPr>
        <w:t>PMSA</w:t>
      </w:r>
      <w:r w:rsidRPr="00F463BC">
        <w:rPr>
          <w:rFonts w:ascii="Arial" w:hAnsi="Arial" w:cs="Arial"/>
          <w:sz w:val="22"/>
          <w:szCs w:val="22"/>
        </w:rPr>
        <w:t xml:space="preserve"> will also be prescribed in the registered </w:t>
      </w:r>
      <w:r w:rsidR="00EA3C6A" w:rsidRPr="00F463BC">
        <w:rPr>
          <w:rFonts w:ascii="Arial" w:hAnsi="Arial" w:cs="Arial"/>
          <w:sz w:val="22"/>
          <w:szCs w:val="22"/>
        </w:rPr>
        <w:t>Rule</w:t>
      </w:r>
      <w:r w:rsidRPr="00F463BC">
        <w:rPr>
          <w:rFonts w:ascii="Arial" w:hAnsi="Arial" w:cs="Arial"/>
          <w:sz w:val="22"/>
          <w:szCs w:val="22"/>
        </w:rPr>
        <w:t xml:space="preserve">s. While these savings belong to the member, they may only be used for healthcare services </w:t>
      </w:r>
      <w:r w:rsidR="00FD2B90" w:rsidRPr="00F463BC">
        <w:rPr>
          <w:rFonts w:ascii="Arial" w:hAnsi="Arial" w:cs="Arial"/>
          <w:sz w:val="22"/>
          <w:szCs w:val="22"/>
        </w:rPr>
        <w:t xml:space="preserve">as provided for in the scheme’s </w:t>
      </w:r>
      <w:r w:rsidR="00EA3C6A" w:rsidRPr="00F463BC">
        <w:rPr>
          <w:rFonts w:ascii="Arial" w:hAnsi="Arial" w:cs="Arial"/>
          <w:sz w:val="22"/>
          <w:szCs w:val="22"/>
        </w:rPr>
        <w:t>Rule</w:t>
      </w:r>
      <w:r w:rsidR="00FD2B90" w:rsidRPr="00F463BC">
        <w:rPr>
          <w:rFonts w:ascii="Arial" w:hAnsi="Arial" w:cs="Arial"/>
          <w:sz w:val="22"/>
          <w:szCs w:val="22"/>
        </w:rPr>
        <w:t xml:space="preserve">s </w:t>
      </w:r>
      <w:r w:rsidRPr="00F463BC">
        <w:rPr>
          <w:rFonts w:ascii="Arial" w:hAnsi="Arial" w:cs="Arial"/>
          <w:sz w:val="22"/>
          <w:szCs w:val="22"/>
        </w:rPr>
        <w:t xml:space="preserve">and are only refundable as provided for in Regulation 10. The funds in a </w:t>
      </w:r>
      <w:r w:rsidR="00227896" w:rsidRPr="00F463BC">
        <w:rPr>
          <w:rFonts w:ascii="Arial" w:hAnsi="Arial" w:cs="Arial"/>
          <w:sz w:val="22"/>
          <w:szCs w:val="22"/>
        </w:rPr>
        <w:t>PMSA</w:t>
      </w:r>
      <w:r w:rsidRPr="00F463BC">
        <w:rPr>
          <w:rFonts w:ascii="Arial" w:hAnsi="Arial" w:cs="Arial"/>
          <w:sz w:val="22"/>
          <w:szCs w:val="22"/>
        </w:rPr>
        <w:t xml:space="preserve"> shall not be used to pay for the costs of a </w:t>
      </w:r>
      <w:r w:rsidR="00227896" w:rsidRPr="00F463BC">
        <w:rPr>
          <w:rFonts w:ascii="Arial" w:hAnsi="Arial" w:cs="Arial"/>
          <w:sz w:val="22"/>
          <w:szCs w:val="22"/>
        </w:rPr>
        <w:t>PMB</w:t>
      </w:r>
      <w:r w:rsidR="00FD2B90" w:rsidRPr="00F463BC">
        <w:rPr>
          <w:rFonts w:ascii="Arial" w:hAnsi="Arial" w:cs="Arial"/>
          <w:sz w:val="22"/>
          <w:szCs w:val="22"/>
        </w:rPr>
        <w:t xml:space="preserve"> or a member’s portion relating to a PMB</w:t>
      </w:r>
      <w:r w:rsidR="00227896" w:rsidRPr="00F463BC">
        <w:rPr>
          <w:rFonts w:ascii="Arial" w:hAnsi="Arial" w:cs="Arial"/>
          <w:sz w:val="22"/>
          <w:szCs w:val="22"/>
        </w:rPr>
        <w:t>.</w:t>
      </w:r>
    </w:p>
    <w:p w:rsidR="001971A2" w:rsidRPr="00F463BC" w:rsidRDefault="001971A2"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Accordingly the following risk</w:t>
      </w:r>
      <w:r w:rsidR="00E11401" w:rsidRPr="00F463BC">
        <w:rPr>
          <w:rFonts w:ascii="Arial" w:hAnsi="Arial" w:cs="Arial"/>
          <w:sz w:val="22"/>
          <w:szCs w:val="22"/>
        </w:rPr>
        <w:t>s</w:t>
      </w:r>
      <w:r w:rsidR="00E43D9A" w:rsidRPr="00F463BC">
        <w:rPr>
          <w:rFonts w:ascii="Arial" w:hAnsi="Arial" w:cs="Arial"/>
          <w:sz w:val="22"/>
          <w:szCs w:val="22"/>
        </w:rPr>
        <w:t xml:space="preserve"> of material misstatement</w:t>
      </w:r>
      <w:r w:rsidRPr="00F463BC">
        <w:rPr>
          <w:rFonts w:ascii="Arial" w:hAnsi="Arial" w:cs="Arial"/>
          <w:sz w:val="22"/>
          <w:szCs w:val="22"/>
        </w:rPr>
        <w:t xml:space="preserve"> may arise:</w:t>
      </w:r>
    </w:p>
    <w:p w:rsidR="001B3000" w:rsidRPr="00F463BC" w:rsidRDefault="001971A2" w:rsidP="00B82F08">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Inaccurate member records impacting on the accuracy of savings account balances or claims being paid from savings account balances where the member in fact still has available benefits. </w:t>
      </w:r>
    </w:p>
    <w:p w:rsidR="001971A2" w:rsidRPr="00F463BC" w:rsidRDefault="001B3000" w:rsidP="00B82F08">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S</w:t>
      </w:r>
      <w:r w:rsidR="001971A2" w:rsidRPr="00F463BC">
        <w:rPr>
          <w:rFonts w:ascii="Arial" w:hAnsi="Arial" w:cs="Arial"/>
          <w:sz w:val="22"/>
          <w:szCs w:val="22"/>
        </w:rPr>
        <w:t>avings account balances are not refunded to the intended recipient. This risk is exacerbated where the account relates to a member that has been inactive for an extended period of time.</w:t>
      </w:r>
    </w:p>
    <w:p w:rsidR="001971A2" w:rsidRPr="00F463BC" w:rsidRDefault="00617636"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Savings c</w:t>
      </w:r>
      <w:r w:rsidR="001971A2" w:rsidRPr="00F463BC">
        <w:rPr>
          <w:rFonts w:ascii="Arial" w:hAnsi="Arial" w:cs="Arial"/>
          <w:sz w:val="22"/>
          <w:szCs w:val="22"/>
        </w:rPr>
        <w:t xml:space="preserve">ontributions allocated, at a member level, may not be in accordance with the requirements of the Act or the registered </w:t>
      </w:r>
      <w:r w:rsidR="00EA3C6A" w:rsidRPr="00F463BC">
        <w:rPr>
          <w:rFonts w:ascii="Arial" w:hAnsi="Arial" w:cs="Arial"/>
          <w:sz w:val="22"/>
          <w:szCs w:val="22"/>
        </w:rPr>
        <w:t>Rule</w:t>
      </w:r>
      <w:r w:rsidR="001971A2" w:rsidRPr="00F463BC">
        <w:rPr>
          <w:rFonts w:ascii="Arial" w:hAnsi="Arial" w:cs="Arial"/>
          <w:sz w:val="22"/>
          <w:szCs w:val="22"/>
        </w:rPr>
        <w:t>s.</w:t>
      </w:r>
    </w:p>
    <w:p w:rsidR="001971A2" w:rsidRPr="00F463BC" w:rsidRDefault="001971A2"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Savings accounts </w:t>
      </w:r>
      <w:r w:rsidR="004E6F2B" w:rsidRPr="00F463BC">
        <w:rPr>
          <w:rFonts w:ascii="Arial" w:hAnsi="Arial" w:cs="Arial"/>
          <w:sz w:val="22"/>
          <w:szCs w:val="22"/>
        </w:rPr>
        <w:t>may</w:t>
      </w:r>
      <w:r w:rsidRPr="00F463BC">
        <w:rPr>
          <w:rFonts w:ascii="Arial" w:hAnsi="Arial" w:cs="Arial"/>
          <w:sz w:val="22"/>
          <w:szCs w:val="22"/>
        </w:rPr>
        <w:t xml:space="preserve"> be used for the payment of non-healthcare services.</w:t>
      </w:r>
    </w:p>
    <w:p w:rsidR="001971A2" w:rsidRPr="00F463BC" w:rsidRDefault="001971A2"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PMBs </w:t>
      </w:r>
      <w:r w:rsidR="00FF5286" w:rsidRPr="00F463BC">
        <w:rPr>
          <w:rFonts w:ascii="Arial" w:hAnsi="Arial" w:cs="Arial"/>
          <w:sz w:val="22"/>
          <w:szCs w:val="22"/>
        </w:rPr>
        <w:t xml:space="preserve">and </w:t>
      </w:r>
      <w:r w:rsidR="00184505" w:rsidRPr="00F463BC">
        <w:rPr>
          <w:rFonts w:ascii="Arial" w:hAnsi="Arial" w:cs="Arial"/>
          <w:sz w:val="22"/>
          <w:szCs w:val="22"/>
        </w:rPr>
        <w:t>members’ portions</w:t>
      </w:r>
      <w:r w:rsidR="00FF5286" w:rsidRPr="00F463BC">
        <w:rPr>
          <w:rFonts w:ascii="Arial" w:hAnsi="Arial" w:cs="Arial"/>
          <w:sz w:val="22"/>
          <w:szCs w:val="22"/>
        </w:rPr>
        <w:t xml:space="preserve"> of PMBs </w:t>
      </w:r>
      <w:r w:rsidRPr="00F463BC">
        <w:rPr>
          <w:rFonts w:ascii="Arial" w:hAnsi="Arial" w:cs="Arial"/>
          <w:sz w:val="22"/>
          <w:szCs w:val="22"/>
        </w:rPr>
        <w:t xml:space="preserve">are paid from </w:t>
      </w:r>
      <w:r w:rsidR="00227896" w:rsidRPr="00F463BC">
        <w:rPr>
          <w:rFonts w:ascii="Arial" w:hAnsi="Arial" w:cs="Arial"/>
          <w:sz w:val="22"/>
          <w:szCs w:val="22"/>
        </w:rPr>
        <w:t>the PMSAs</w:t>
      </w:r>
      <w:r w:rsidRPr="00F463BC">
        <w:rPr>
          <w:rFonts w:ascii="Arial" w:hAnsi="Arial" w:cs="Arial"/>
          <w:sz w:val="22"/>
          <w:szCs w:val="22"/>
        </w:rPr>
        <w:t xml:space="preserve">. </w:t>
      </w:r>
    </w:p>
    <w:p w:rsidR="001971A2" w:rsidRPr="00F463BC" w:rsidRDefault="001971A2"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Savings account balances are inappropriately </w:t>
      </w:r>
      <w:r w:rsidR="000D0C03" w:rsidRPr="00F463BC">
        <w:rPr>
          <w:rFonts w:ascii="Arial" w:hAnsi="Arial" w:cs="Arial"/>
          <w:sz w:val="22"/>
          <w:szCs w:val="22"/>
        </w:rPr>
        <w:t xml:space="preserve">set </w:t>
      </w:r>
      <w:r w:rsidRPr="00F463BC">
        <w:rPr>
          <w:rFonts w:ascii="Arial" w:hAnsi="Arial" w:cs="Arial"/>
          <w:sz w:val="22"/>
          <w:szCs w:val="22"/>
        </w:rPr>
        <w:t>off against arrear contribution debt or credit savings account balances. Regulation 10(</w:t>
      </w:r>
      <w:r w:rsidR="00892719" w:rsidRPr="00F463BC">
        <w:rPr>
          <w:rFonts w:ascii="Arial" w:hAnsi="Arial" w:cs="Arial"/>
          <w:sz w:val="22"/>
          <w:szCs w:val="22"/>
        </w:rPr>
        <w:t>5</w:t>
      </w:r>
      <w:r w:rsidRPr="00F463BC">
        <w:rPr>
          <w:rFonts w:ascii="Arial" w:hAnsi="Arial" w:cs="Arial"/>
          <w:sz w:val="22"/>
          <w:szCs w:val="22"/>
        </w:rPr>
        <w:t xml:space="preserve">) states, “Funds deposited in a member’s personal medical savings account shall be available for the exclusive benefit of the member and his or her dependants but may not be used to offset contributions, provided that the medical scheme may use funds in a member’s personal medical savings account to offset debt owed by the member to the medical scheme following that member’s termination of membership of the medical scheme.” </w:t>
      </w:r>
    </w:p>
    <w:p w:rsidR="001971A2" w:rsidRPr="00F463BC" w:rsidRDefault="001971A2" w:rsidP="00B82F08">
      <w:pPr>
        <w:pStyle w:val="Heading41"/>
        <w:spacing w:line="271" w:lineRule="auto"/>
        <w:rPr>
          <w:rFonts w:ascii="Arial" w:hAnsi="Arial" w:cs="Arial"/>
          <w:sz w:val="22"/>
          <w:szCs w:val="22"/>
        </w:rPr>
      </w:pPr>
      <w:bookmarkStart w:id="103" w:name="_Toc304897926"/>
      <w:r w:rsidRPr="00F463BC">
        <w:rPr>
          <w:rFonts w:ascii="Arial" w:hAnsi="Arial" w:cs="Arial"/>
          <w:sz w:val="22"/>
          <w:szCs w:val="22"/>
        </w:rPr>
        <w:t>Savings account balances written off</w:t>
      </w:r>
      <w:bookmarkEnd w:id="103"/>
    </w:p>
    <w:p w:rsidR="00880A56" w:rsidRPr="00F463BC" w:rsidRDefault="00712DA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long outstanding savings account balances (credit balances) are written off thereby contravening Regulation 10(3) of the Act. </w:t>
      </w:r>
    </w:p>
    <w:p w:rsidR="00712DA6" w:rsidRPr="00F463BC" w:rsidRDefault="00712DA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Old credit balances (longer than 5 years) </w:t>
      </w:r>
      <w:r w:rsidR="008F315D">
        <w:rPr>
          <w:rFonts w:ascii="Arial" w:hAnsi="Arial" w:cs="Arial"/>
          <w:sz w:val="22"/>
          <w:szCs w:val="22"/>
        </w:rPr>
        <w:t>must</w:t>
      </w:r>
      <w:r w:rsidR="008F315D" w:rsidRPr="00F463BC">
        <w:rPr>
          <w:rFonts w:ascii="Arial" w:hAnsi="Arial" w:cs="Arial"/>
          <w:sz w:val="22"/>
          <w:szCs w:val="22"/>
        </w:rPr>
        <w:t xml:space="preserve"> </w:t>
      </w:r>
      <w:r w:rsidRPr="00F463BC">
        <w:rPr>
          <w:rFonts w:ascii="Arial" w:hAnsi="Arial" w:cs="Arial"/>
          <w:sz w:val="22"/>
          <w:szCs w:val="22"/>
        </w:rPr>
        <w:t>be paid over to the Guardian</w:t>
      </w:r>
      <w:r w:rsidR="00750486" w:rsidRPr="00F463BC">
        <w:rPr>
          <w:rFonts w:ascii="Arial" w:hAnsi="Arial" w:cs="Arial"/>
          <w:sz w:val="22"/>
          <w:szCs w:val="22"/>
        </w:rPr>
        <w:t>’s Fund in terms of s</w:t>
      </w:r>
      <w:r w:rsidRPr="00F463BC">
        <w:rPr>
          <w:rFonts w:ascii="Arial" w:hAnsi="Arial" w:cs="Arial"/>
          <w:sz w:val="22"/>
          <w:szCs w:val="22"/>
        </w:rPr>
        <w:t>ection 93 of the Administration of Estates Act 66 of 1965.</w:t>
      </w:r>
      <w:r w:rsidR="008F315D">
        <w:rPr>
          <w:rStyle w:val="FootnoteReference"/>
          <w:rFonts w:ascii="Arial" w:hAnsi="Arial" w:cs="Arial"/>
          <w:sz w:val="22"/>
          <w:szCs w:val="22"/>
        </w:rPr>
        <w:footnoteReference w:id="19"/>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t xml:space="preserve">Incorrect interest allocated to savings accounts </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There is a risk that i</w:t>
      </w:r>
      <w:r w:rsidR="00712DA6" w:rsidRPr="00F463BC">
        <w:rPr>
          <w:rFonts w:ascii="Arial" w:hAnsi="Arial" w:cs="Arial"/>
          <w:sz w:val="22"/>
          <w:szCs w:val="22"/>
        </w:rPr>
        <w:t>nterest accrued on savings accounts to the credit of members may not be based on the effective interest method.</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There is a risk that i</w:t>
      </w:r>
      <w:r w:rsidR="00712DA6" w:rsidRPr="00F463BC">
        <w:rPr>
          <w:rFonts w:ascii="Arial" w:hAnsi="Arial" w:cs="Arial"/>
          <w:sz w:val="22"/>
          <w:szCs w:val="22"/>
        </w:rPr>
        <w:t>nterest may be charged on savings accounts</w:t>
      </w:r>
      <w:r w:rsidR="000563E2" w:rsidRPr="00F463BC">
        <w:rPr>
          <w:rFonts w:ascii="Arial" w:hAnsi="Arial" w:cs="Arial"/>
          <w:sz w:val="22"/>
          <w:szCs w:val="22"/>
        </w:rPr>
        <w:t xml:space="preserve"> funded by the trust monies</w:t>
      </w:r>
      <w:r w:rsidR="00712DA6" w:rsidRPr="00F463BC">
        <w:rPr>
          <w:rFonts w:ascii="Arial" w:hAnsi="Arial" w:cs="Arial"/>
          <w:sz w:val="22"/>
          <w:szCs w:val="22"/>
        </w:rPr>
        <w:t xml:space="preserve"> in contravention of Circular 38 of 2011</w:t>
      </w:r>
      <w:r w:rsidR="002004A8" w:rsidRPr="00F463BC">
        <w:rPr>
          <w:rStyle w:val="FootnoteReference"/>
          <w:rFonts w:ascii="Arial" w:hAnsi="Arial" w:cs="Arial"/>
          <w:sz w:val="22"/>
          <w:szCs w:val="22"/>
        </w:rPr>
        <w:footnoteReference w:id="20"/>
      </w:r>
      <w:r w:rsidR="00712DA6" w:rsidRPr="00F463BC">
        <w:rPr>
          <w:rFonts w:ascii="Arial" w:hAnsi="Arial" w:cs="Arial"/>
          <w:sz w:val="22"/>
          <w:szCs w:val="22"/>
        </w:rPr>
        <w:t>.</w:t>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t>Overdrawn savings accounts</w:t>
      </w:r>
    </w:p>
    <w:p w:rsidR="00712DA6" w:rsidRPr="00F463BC" w:rsidRDefault="00712DA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advances are made from savings plan </w:t>
      </w:r>
      <w:r w:rsidR="00E05AC8" w:rsidRPr="00F463BC">
        <w:rPr>
          <w:rFonts w:ascii="Arial" w:hAnsi="Arial" w:cs="Arial"/>
          <w:sz w:val="22"/>
          <w:szCs w:val="22"/>
        </w:rPr>
        <w:t>monies</w:t>
      </w:r>
      <w:r w:rsidRPr="00F463BC">
        <w:rPr>
          <w:rFonts w:ascii="Arial" w:hAnsi="Arial" w:cs="Arial"/>
          <w:sz w:val="22"/>
          <w:szCs w:val="22"/>
        </w:rPr>
        <w:t xml:space="preserve"> and not from a scheme’s funds in contravention of Circular 38 of 2011.</w:t>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t xml:space="preserve">Savings plan </w:t>
      </w:r>
      <w:r w:rsidR="00E05AC8" w:rsidRPr="00F463BC">
        <w:rPr>
          <w:rFonts w:ascii="Arial" w:hAnsi="Arial" w:cs="Arial"/>
          <w:sz w:val="22"/>
          <w:szCs w:val="22"/>
        </w:rPr>
        <w:t>monies</w:t>
      </w:r>
      <w:r w:rsidRPr="00F463BC">
        <w:rPr>
          <w:rFonts w:ascii="Arial" w:hAnsi="Arial" w:cs="Arial"/>
          <w:sz w:val="22"/>
          <w:szCs w:val="22"/>
        </w:rPr>
        <w:t xml:space="preserve"> not invested separately</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PMSAs may not be invested separately from scheme assets as required in terms of the Protection of Funds Act</w:t>
      </w:r>
      <w:r w:rsidR="00C9287D" w:rsidRPr="00F463BC">
        <w:rPr>
          <w:rFonts w:ascii="Arial" w:hAnsi="Arial" w:cs="Arial"/>
          <w:sz w:val="22"/>
          <w:szCs w:val="22"/>
        </w:rPr>
        <w:t>.</w:t>
      </w:r>
    </w:p>
    <w:p w:rsidR="00BC45CB" w:rsidRDefault="00BC45CB"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There is a risk that there are mismatches between the PMSA assets and the related PMSA liability.</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PMSAs may not be invested in bank deposits and call accounts or instruments with similar risk and liquidity characteristics as required by Circular 38 of 2011.</w:t>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t>Prescribed disclosure not adhered to</w:t>
      </w:r>
    </w:p>
    <w:p w:rsidR="000C2E78" w:rsidRDefault="00712DA6"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the scheme does not adhere to </w:t>
      </w:r>
      <w:r w:rsidR="0050692E" w:rsidRPr="00F463BC">
        <w:rPr>
          <w:rFonts w:ascii="Arial" w:hAnsi="Arial" w:cs="Arial"/>
          <w:sz w:val="22"/>
          <w:szCs w:val="22"/>
        </w:rPr>
        <w:t xml:space="preserve">the </w:t>
      </w:r>
      <w:r w:rsidRPr="00F463BC">
        <w:rPr>
          <w:rFonts w:ascii="Arial" w:hAnsi="Arial" w:cs="Arial"/>
          <w:sz w:val="22"/>
          <w:szCs w:val="22"/>
        </w:rPr>
        <w:t>Circular 5 of 2012</w:t>
      </w:r>
      <w:r w:rsidR="00226802" w:rsidRPr="00AD04F5">
        <w:rPr>
          <w:rFonts w:ascii="Arial" w:hAnsi="Arial" w:cs="Arial"/>
          <w:vertAlign w:val="superscript"/>
        </w:rPr>
        <w:footnoteReference w:id="21"/>
      </w:r>
      <w:r w:rsidRPr="00F463BC">
        <w:rPr>
          <w:rFonts w:ascii="Arial" w:hAnsi="Arial" w:cs="Arial"/>
          <w:sz w:val="22"/>
          <w:szCs w:val="22"/>
        </w:rPr>
        <w:t xml:space="preserve"> prescribed minimum disclosure requirements relating to PMSA trust investments and trust liabilities.</w:t>
      </w:r>
    </w:p>
    <w:p w:rsidR="000C2E78" w:rsidRPr="00F463BC" w:rsidRDefault="000C2E78" w:rsidP="001B129E">
      <w:pPr>
        <w:pStyle w:val="Bulletnrs"/>
        <w:numPr>
          <w:ilvl w:val="0"/>
          <w:numId w:val="0"/>
        </w:numPr>
        <w:tabs>
          <w:tab w:val="left" w:pos="567"/>
        </w:tabs>
        <w:spacing w:before="0" w:line="271" w:lineRule="auto"/>
        <w:ind w:left="360" w:hanging="360"/>
        <w:rPr>
          <w:rFonts w:ascii="Arial" w:hAnsi="Arial" w:cs="Arial"/>
          <w:sz w:val="22"/>
          <w:szCs w:val="22"/>
        </w:rPr>
      </w:pPr>
    </w:p>
    <w:p w:rsidR="007A6B01" w:rsidRPr="00F463BC" w:rsidRDefault="00304D8E" w:rsidP="001B129E">
      <w:pPr>
        <w:pStyle w:val="Heading2"/>
      </w:pPr>
      <w:bookmarkStart w:id="104" w:name="_Part_E_–"/>
      <w:bookmarkStart w:id="105" w:name="_Auditor_and_management"/>
      <w:bookmarkStart w:id="106" w:name="_Ref299641985"/>
      <w:bookmarkStart w:id="107" w:name="_Toc300572965"/>
      <w:bookmarkStart w:id="108" w:name="_Toc304897932"/>
      <w:bookmarkStart w:id="109" w:name="_Toc305083360"/>
      <w:bookmarkStart w:id="110" w:name="_Toc455582220"/>
      <w:bookmarkEnd w:id="104"/>
      <w:bookmarkEnd w:id="105"/>
      <w:r w:rsidRPr="00F463BC">
        <w:t>Auditor and management e</w:t>
      </w:r>
      <w:r w:rsidR="007A6B01" w:rsidRPr="00F463BC">
        <w:t>xperts</w:t>
      </w:r>
      <w:bookmarkEnd w:id="106"/>
      <w:bookmarkEnd w:id="107"/>
      <w:bookmarkEnd w:id="108"/>
      <w:bookmarkEnd w:id="109"/>
      <w:bookmarkEnd w:id="110"/>
    </w:p>
    <w:p w:rsidR="00F03CD4" w:rsidRPr="00F03CD4" w:rsidRDefault="00F03CD4" w:rsidP="001B129E">
      <w:pPr>
        <w:pStyle w:val="Bulletnrs"/>
        <w:tabs>
          <w:tab w:val="left" w:pos="567"/>
        </w:tabs>
        <w:spacing w:before="0" w:line="271" w:lineRule="auto"/>
        <w:ind w:left="567" w:hanging="567"/>
        <w:rPr>
          <w:rFonts w:ascii="Arial" w:hAnsi="Arial" w:cs="Arial"/>
          <w:sz w:val="22"/>
          <w:szCs w:val="22"/>
        </w:rPr>
      </w:pPr>
      <w:r w:rsidRPr="00F03CD4">
        <w:rPr>
          <w:rFonts w:ascii="Arial" w:hAnsi="Arial" w:cs="Arial"/>
          <w:sz w:val="22"/>
          <w:szCs w:val="22"/>
        </w:rPr>
        <w:t xml:space="preserve">An auditor applies </w:t>
      </w:r>
      <w:r w:rsidRPr="00944A95">
        <w:rPr>
          <w:rFonts w:ascii="Arial" w:hAnsi="Arial" w:cs="Arial"/>
          <w:sz w:val="22"/>
          <w:szCs w:val="22"/>
          <w:lang w:eastAsia="en-US"/>
        </w:rPr>
        <w:t xml:space="preserve">ISA 620, </w:t>
      </w:r>
      <w:r w:rsidRPr="00944A95">
        <w:rPr>
          <w:rFonts w:ascii="Arial" w:hAnsi="Arial" w:cs="Arial"/>
          <w:i/>
          <w:sz w:val="22"/>
          <w:szCs w:val="22"/>
          <w:lang w:eastAsia="en-US"/>
        </w:rPr>
        <w:t xml:space="preserve">Using the Work of an Auditor’s Expert, </w:t>
      </w:r>
      <w:r w:rsidRPr="00944A95">
        <w:rPr>
          <w:rFonts w:ascii="Arial" w:hAnsi="Arial" w:cs="Arial"/>
          <w:sz w:val="22"/>
          <w:szCs w:val="22"/>
          <w:lang w:eastAsia="en-US"/>
        </w:rPr>
        <w:t xml:space="preserve">ISA 500, </w:t>
      </w:r>
      <w:r w:rsidRPr="00944A95">
        <w:rPr>
          <w:rFonts w:ascii="Arial" w:hAnsi="Arial" w:cs="Arial"/>
          <w:i/>
          <w:sz w:val="22"/>
          <w:szCs w:val="22"/>
          <w:lang w:eastAsia="en-US"/>
        </w:rPr>
        <w:t>Audit Evidence</w:t>
      </w:r>
      <w:r w:rsidRPr="00944A95">
        <w:rPr>
          <w:rFonts w:ascii="Arial" w:hAnsi="Arial" w:cs="Arial"/>
          <w:sz w:val="22"/>
          <w:szCs w:val="22"/>
          <w:lang w:eastAsia="en-US"/>
        </w:rPr>
        <w:t xml:space="preserve"> and ISA 540, </w:t>
      </w:r>
      <w:r w:rsidRPr="00944A95">
        <w:rPr>
          <w:rFonts w:ascii="Arial" w:hAnsi="Arial" w:cs="Arial"/>
          <w:i/>
          <w:sz w:val="22"/>
          <w:szCs w:val="22"/>
          <w:lang w:eastAsia="en-US"/>
        </w:rPr>
        <w:t>Auditing Accounting Estimates, Including Fair Value Accounting Estimates, and Related Disclosures.</w:t>
      </w:r>
    </w:p>
    <w:p w:rsidR="007A6B01" w:rsidRPr="00F463BC" w:rsidRDefault="00F03CD4" w:rsidP="001B129E">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An auditor</w:t>
      </w:r>
      <w:r w:rsidRPr="00F463BC">
        <w:rPr>
          <w:rFonts w:ascii="Arial" w:hAnsi="Arial" w:cs="Arial"/>
          <w:sz w:val="22"/>
          <w:szCs w:val="22"/>
        </w:rPr>
        <w:t xml:space="preserve"> </w:t>
      </w:r>
      <w:r w:rsidR="00B74B6B" w:rsidRPr="00F463BC">
        <w:rPr>
          <w:rFonts w:ascii="Arial" w:hAnsi="Arial" w:cs="Arial"/>
          <w:sz w:val="22"/>
          <w:szCs w:val="22"/>
        </w:rPr>
        <w:t xml:space="preserve">may use experts in order to obtain evidence. </w:t>
      </w:r>
      <w:r w:rsidR="007A6B01" w:rsidRPr="00F463BC">
        <w:rPr>
          <w:rFonts w:ascii="Arial" w:hAnsi="Arial" w:cs="Arial"/>
          <w:sz w:val="22"/>
          <w:szCs w:val="22"/>
        </w:rPr>
        <w:t xml:space="preserve">Experts within </w:t>
      </w:r>
      <w:r w:rsidR="00B348C0" w:rsidRPr="00F463BC">
        <w:rPr>
          <w:rFonts w:ascii="Arial" w:hAnsi="Arial" w:cs="Arial"/>
          <w:sz w:val="22"/>
          <w:szCs w:val="22"/>
        </w:rPr>
        <w:t xml:space="preserve">a </w:t>
      </w:r>
      <w:r w:rsidR="007A6B01" w:rsidRPr="00F463BC">
        <w:rPr>
          <w:rFonts w:ascii="Arial" w:hAnsi="Arial" w:cs="Arial"/>
          <w:sz w:val="22"/>
          <w:szCs w:val="22"/>
        </w:rPr>
        <w:t xml:space="preserve">medical scheme environment </w:t>
      </w:r>
      <w:r w:rsidR="00330D91" w:rsidRPr="00F463BC">
        <w:rPr>
          <w:rFonts w:ascii="Arial" w:hAnsi="Arial" w:cs="Arial"/>
          <w:sz w:val="22"/>
          <w:szCs w:val="22"/>
        </w:rPr>
        <w:t xml:space="preserve">may </w:t>
      </w:r>
      <w:r w:rsidR="007A6B01" w:rsidRPr="00F463BC">
        <w:rPr>
          <w:rFonts w:ascii="Arial" w:hAnsi="Arial" w:cs="Arial"/>
          <w:sz w:val="22"/>
          <w:szCs w:val="22"/>
        </w:rPr>
        <w:t>include</w:t>
      </w:r>
      <w:r w:rsidR="002032CF" w:rsidRPr="00F463BC">
        <w:rPr>
          <w:rFonts w:ascii="Arial" w:hAnsi="Arial" w:cs="Arial"/>
          <w:sz w:val="22"/>
          <w:szCs w:val="22"/>
        </w:rPr>
        <w:t>, but are not limited to,</w:t>
      </w:r>
      <w:r w:rsidR="007A6B01" w:rsidRPr="00F463BC">
        <w:rPr>
          <w:rFonts w:ascii="Arial" w:hAnsi="Arial" w:cs="Arial"/>
          <w:sz w:val="22"/>
          <w:szCs w:val="22"/>
        </w:rPr>
        <w:t xml:space="preserve"> the following:</w:t>
      </w:r>
    </w:p>
    <w:p w:rsidR="00822688" w:rsidRPr="00F463BC" w:rsidRDefault="001F4D71" w:rsidP="001B129E">
      <w:pPr>
        <w:pStyle w:val="Bulletsa"/>
        <w:numPr>
          <w:ilvl w:val="0"/>
          <w:numId w:val="6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Actuary:</w:t>
      </w:r>
    </w:p>
    <w:p w:rsidR="00822688" w:rsidRPr="00F463BC" w:rsidRDefault="00822688" w:rsidP="001B129E">
      <w:pPr>
        <w:numPr>
          <w:ilvl w:val="0"/>
          <w:numId w:val="130"/>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 actuary </w:t>
      </w:r>
      <w:r w:rsidR="008163F0" w:rsidRPr="00F463BC">
        <w:rPr>
          <w:rFonts w:ascii="Arial" w:hAnsi="Arial" w:cs="Arial"/>
          <w:i/>
          <w:color w:val="000000"/>
          <w:sz w:val="22"/>
          <w:szCs w:val="22"/>
          <w:lang w:val="en-US" w:eastAsia="en-US"/>
        </w:rPr>
        <w:t>may</w:t>
      </w:r>
      <w:r w:rsidR="008163F0" w:rsidRPr="00F463BC">
        <w:rPr>
          <w:rFonts w:ascii="Arial" w:hAnsi="Arial" w:cs="Arial"/>
          <w:color w:val="000000"/>
          <w:sz w:val="22"/>
          <w:szCs w:val="22"/>
          <w:lang w:val="en-US" w:eastAsia="en-US"/>
        </w:rPr>
        <w:t xml:space="preserve"> be </w:t>
      </w:r>
      <w:r w:rsidRPr="00F463BC">
        <w:rPr>
          <w:rFonts w:ascii="Arial" w:hAnsi="Arial" w:cs="Arial"/>
          <w:color w:val="000000"/>
          <w:sz w:val="22"/>
          <w:szCs w:val="22"/>
          <w:lang w:val="en-US" w:eastAsia="en-US"/>
        </w:rPr>
        <w:t xml:space="preserve">used within </w:t>
      </w:r>
      <w:r w:rsidR="00B348C0" w:rsidRPr="00F463BC">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 xml:space="preserve">medical scheme environment to assist the scheme in assessing the adequacy of 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r w:rsidR="007C3783" w:rsidRPr="00F463BC">
        <w:rPr>
          <w:rStyle w:val="FootnoteReference"/>
          <w:rFonts w:ascii="Arial" w:hAnsi="Arial" w:cs="Arial"/>
          <w:color w:val="000000"/>
          <w:sz w:val="22"/>
          <w:szCs w:val="22"/>
          <w:lang w:val="en-US" w:eastAsia="en-US"/>
        </w:rPr>
        <w:footnoteReference w:id="22"/>
      </w:r>
      <w:r w:rsidRPr="00F463BC">
        <w:rPr>
          <w:rFonts w:ascii="Arial" w:hAnsi="Arial" w:cs="Arial"/>
          <w:color w:val="000000"/>
          <w:sz w:val="22"/>
          <w:szCs w:val="22"/>
          <w:lang w:val="en-US" w:eastAsia="en-US"/>
        </w:rPr>
        <w:t xml:space="preserve"> </w:t>
      </w:r>
    </w:p>
    <w:p w:rsidR="00A31791" w:rsidRPr="00F463BC" w:rsidRDefault="00A31791" w:rsidP="001B129E">
      <w:pPr>
        <w:numPr>
          <w:ilvl w:val="0"/>
          <w:numId w:val="130"/>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Refer to </w:t>
      </w:r>
      <w:r w:rsidR="001F4D71" w:rsidRPr="00F463BC">
        <w:rPr>
          <w:rFonts w:ascii="Arial" w:hAnsi="Arial" w:cs="Arial"/>
          <w:color w:val="000000"/>
          <w:sz w:val="22"/>
          <w:szCs w:val="22"/>
          <w:lang w:val="en-US" w:eastAsia="en-US"/>
        </w:rPr>
        <w:t xml:space="preserve">the section </w:t>
      </w:r>
      <w:hyperlink w:anchor="_Risk_assessment" w:history="1">
        <w:r w:rsidR="001F4D71" w:rsidRPr="00F463BC">
          <w:rPr>
            <w:rStyle w:val="Hyperlink"/>
            <w:rFonts w:ascii="Arial" w:hAnsi="Arial" w:cs="Arial"/>
            <w:sz w:val="22"/>
            <w:szCs w:val="22"/>
            <w:lang w:val="en-US" w:eastAsia="en-US"/>
          </w:rPr>
          <w:t>Risk assessment</w:t>
        </w:r>
      </w:hyperlink>
      <w:r w:rsidRPr="00F463BC">
        <w:rPr>
          <w:rFonts w:ascii="Arial" w:hAnsi="Arial" w:cs="Arial"/>
          <w:color w:val="000000"/>
          <w:sz w:val="22"/>
          <w:szCs w:val="22"/>
          <w:lang w:val="en-US" w:eastAsia="en-US"/>
        </w:rPr>
        <w:t xml:space="preserve"> for risk assessment relating to </w:t>
      </w:r>
      <w:r w:rsidR="00AF7D8B" w:rsidRPr="00F463BC">
        <w:rPr>
          <w:rFonts w:ascii="Arial" w:hAnsi="Arial" w:cs="Arial"/>
          <w:color w:val="000000"/>
          <w:sz w:val="22"/>
          <w:szCs w:val="22"/>
          <w:lang w:val="en-US" w:eastAsia="en-US"/>
        </w:rPr>
        <w:t xml:space="preserve">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p>
    <w:p w:rsidR="007A6B01" w:rsidRPr="00F463BC" w:rsidRDefault="001F4D71" w:rsidP="001B129E">
      <w:pPr>
        <w:pStyle w:val="Bulletsa"/>
        <w:numPr>
          <w:ilvl w:val="0"/>
          <w:numId w:val="6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Valuation specialists:</w:t>
      </w:r>
    </w:p>
    <w:p w:rsidR="007A6B01" w:rsidRPr="00F463BC" w:rsidRDefault="007A6B01" w:rsidP="001B129E">
      <w:pPr>
        <w:numPr>
          <w:ilvl w:val="0"/>
          <w:numId w:val="131"/>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Where the scheme holds complex investments </w:t>
      </w:r>
      <w:r w:rsidR="007C1C08" w:rsidRPr="00F463BC">
        <w:rPr>
          <w:rFonts w:ascii="Arial" w:hAnsi="Arial" w:cs="Arial"/>
          <w:color w:val="000000"/>
          <w:sz w:val="22"/>
          <w:szCs w:val="22"/>
          <w:lang w:val="en-US" w:eastAsia="en-US"/>
        </w:rPr>
        <w:t xml:space="preserve">an </w:t>
      </w:r>
      <w:r w:rsidRPr="00F463BC">
        <w:rPr>
          <w:rFonts w:ascii="Arial" w:hAnsi="Arial" w:cs="Arial"/>
          <w:color w:val="000000"/>
          <w:sz w:val="22"/>
          <w:szCs w:val="22"/>
          <w:lang w:val="en-US" w:eastAsia="en-US"/>
        </w:rPr>
        <w:t xml:space="preserve">auditor may require the use of an expert.  </w:t>
      </w:r>
    </w:p>
    <w:p w:rsidR="0073798E" w:rsidRPr="00F463BC" w:rsidRDefault="002032CF" w:rsidP="00FF587C">
      <w:pPr>
        <w:pStyle w:val="Bulletsa"/>
        <w:numPr>
          <w:ilvl w:val="0"/>
          <w:numId w:val="6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Other</w:t>
      </w:r>
      <w:r w:rsidR="001F4D71" w:rsidRPr="00F463BC">
        <w:rPr>
          <w:rFonts w:ascii="Arial" w:hAnsi="Arial" w:cs="Arial"/>
          <w:sz w:val="22"/>
          <w:szCs w:val="22"/>
        </w:rPr>
        <w:t>:</w:t>
      </w:r>
    </w:p>
    <w:p w:rsidR="002032CF" w:rsidRPr="00F463BC" w:rsidRDefault="007C1C08" w:rsidP="00FF587C">
      <w:pPr>
        <w:numPr>
          <w:ilvl w:val="0"/>
          <w:numId w:val="132"/>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 </w:t>
      </w:r>
      <w:r w:rsidR="002032CF" w:rsidRPr="00F463BC">
        <w:rPr>
          <w:rFonts w:ascii="Arial" w:hAnsi="Arial" w:cs="Arial"/>
          <w:color w:val="000000"/>
          <w:sz w:val="22"/>
          <w:szCs w:val="22"/>
          <w:lang w:val="en-US" w:eastAsia="en-US"/>
        </w:rPr>
        <w:t>auditor consider</w:t>
      </w:r>
      <w:r w:rsidR="00117963" w:rsidRPr="00F463BC">
        <w:rPr>
          <w:rFonts w:ascii="Arial" w:hAnsi="Arial" w:cs="Arial"/>
          <w:color w:val="000000"/>
          <w:sz w:val="22"/>
          <w:szCs w:val="22"/>
          <w:lang w:val="en-US" w:eastAsia="en-US"/>
        </w:rPr>
        <w:t>s</w:t>
      </w:r>
      <w:r w:rsidR="002032CF" w:rsidRPr="00F463BC">
        <w:rPr>
          <w:rFonts w:ascii="Arial" w:hAnsi="Arial" w:cs="Arial"/>
          <w:color w:val="000000"/>
          <w:sz w:val="22"/>
          <w:szCs w:val="22"/>
          <w:lang w:val="en-US" w:eastAsia="en-US"/>
        </w:rPr>
        <w:t xml:space="preserve"> all areas where significant estimates are made within the scheme where an expert may be required, for example post-retirement benefit plans, investment property and property, plant and equipment.</w:t>
      </w:r>
    </w:p>
    <w:p w:rsidR="002032CF" w:rsidRPr="00F463BC" w:rsidRDefault="002032CF" w:rsidP="00FF587C">
      <w:pPr>
        <w:pStyle w:val="Bulletnrs"/>
        <w:numPr>
          <w:ilvl w:val="0"/>
          <w:numId w:val="0"/>
        </w:numPr>
        <w:spacing w:before="0" w:line="271" w:lineRule="auto"/>
        <w:rPr>
          <w:rFonts w:ascii="Arial" w:hAnsi="Arial" w:cs="Arial"/>
          <w:sz w:val="22"/>
          <w:szCs w:val="22"/>
        </w:rPr>
      </w:pPr>
    </w:p>
    <w:bookmarkStart w:id="111" w:name="_Part_F_–"/>
    <w:bookmarkStart w:id="112" w:name="_Service_organisations"/>
    <w:bookmarkEnd w:id="111"/>
    <w:bookmarkEnd w:id="112"/>
    <w:p w:rsidR="0073798E" w:rsidRPr="001B129E" w:rsidRDefault="00707681" w:rsidP="001B129E">
      <w:pPr>
        <w:pStyle w:val="Heading2"/>
        <w:keepNext/>
        <w:spacing w:before="0" w:line="271" w:lineRule="auto"/>
      </w:pPr>
      <w:r w:rsidRPr="00F463BC">
        <w:fldChar w:fldCharType="begin"/>
      </w:r>
      <w:r w:rsidR="00D07EA8" w:rsidRPr="00F463BC">
        <w:instrText xml:space="preserve"> HYPERLINK  \l "_Part_F_–" </w:instrText>
      </w:r>
      <w:r w:rsidRPr="00F463BC">
        <w:fldChar w:fldCharType="separate"/>
      </w:r>
      <w:bookmarkStart w:id="113" w:name="_Toc455582221"/>
      <w:bookmarkStart w:id="114" w:name="_Toc305083361"/>
      <w:bookmarkStart w:id="115" w:name="_Toc304897933"/>
      <w:bookmarkStart w:id="116" w:name="_Ref300581210"/>
      <w:bookmarkStart w:id="117" w:name="_Ref300580636"/>
      <w:bookmarkStart w:id="118" w:name="_Ref300580370"/>
      <w:bookmarkStart w:id="119" w:name="_Ref300580287"/>
      <w:bookmarkStart w:id="120" w:name="_Ref300580227"/>
      <w:bookmarkStart w:id="121" w:name="_Toc300572966"/>
      <w:r w:rsidR="00D07EA8" w:rsidRPr="00F463BC">
        <w:t>S</w:t>
      </w:r>
      <w:r w:rsidR="0073798E" w:rsidRPr="00F463BC">
        <w:t>ervice organisations</w:t>
      </w:r>
      <w:bookmarkEnd w:id="113"/>
      <w:bookmarkEnd w:id="114"/>
      <w:bookmarkEnd w:id="115"/>
      <w:bookmarkEnd w:id="116"/>
      <w:bookmarkEnd w:id="117"/>
      <w:bookmarkEnd w:id="118"/>
      <w:bookmarkEnd w:id="119"/>
      <w:bookmarkEnd w:id="120"/>
      <w:bookmarkEnd w:id="121"/>
      <w:r w:rsidRPr="00F463BC">
        <w:fldChar w:fldCharType="end"/>
      </w:r>
    </w:p>
    <w:p w:rsidR="00F03CD4" w:rsidRPr="00F03CD4" w:rsidRDefault="00F03CD4" w:rsidP="00B82F08">
      <w:pPr>
        <w:pStyle w:val="Bulletnrs"/>
        <w:tabs>
          <w:tab w:val="left" w:pos="567"/>
        </w:tabs>
        <w:spacing w:before="0" w:line="271" w:lineRule="auto"/>
        <w:ind w:left="567" w:hanging="567"/>
        <w:rPr>
          <w:rFonts w:ascii="Arial" w:hAnsi="Arial" w:cs="Arial"/>
          <w:sz w:val="22"/>
          <w:szCs w:val="22"/>
        </w:rPr>
      </w:pPr>
      <w:bookmarkStart w:id="122" w:name="_Ref299641519"/>
      <w:r w:rsidRPr="00F03CD4">
        <w:rPr>
          <w:rFonts w:ascii="Arial" w:hAnsi="Arial" w:cs="Arial"/>
          <w:sz w:val="22"/>
          <w:szCs w:val="22"/>
        </w:rPr>
        <w:t xml:space="preserve">An auditor applies </w:t>
      </w:r>
      <w:r w:rsidRPr="00944A95">
        <w:rPr>
          <w:rFonts w:ascii="Arial" w:hAnsi="Arial" w:cs="Arial"/>
          <w:sz w:val="22"/>
          <w:szCs w:val="22"/>
        </w:rPr>
        <w:t xml:space="preserve">ISA 402, </w:t>
      </w:r>
      <w:r w:rsidRPr="00944A95">
        <w:rPr>
          <w:rFonts w:ascii="Arial" w:hAnsi="Arial" w:cs="Arial"/>
          <w:i/>
          <w:sz w:val="22"/>
          <w:szCs w:val="22"/>
        </w:rPr>
        <w:t>Audit Considerations Relating to an Entity Using a Service Organization</w:t>
      </w:r>
      <w:r w:rsidRPr="00F03CD4">
        <w:rPr>
          <w:rFonts w:ascii="Arial" w:hAnsi="Arial" w:cs="Arial"/>
          <w:sz w:val="22"/>
          <w:szCs w:val="22"/>
        </w:rPr>
        <w:t>.</w:t>
      </w:r>
    </w:p>
    <w:p w:rsidR="00FC161C" w:rsidRPr="00F463BC" w:rsidRDefault="00E147F3"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obligation for obtaining of the audit evidence is that of a medical scheme. It would be helpful to an auditor if a contract between a medical scheme and a service organisation provides for a requirement for an independent report (preferably in compliance with ISAE 3402</w:t>
      </w:r>
      <w:r w:rsidR="00356464" w:rsidRPr="00F463BC">
        <w:rPr>
          <w:rStyle w:val="FootnoteReference"/>
          <w:rFonts w:ascii="Arial" w:hAnsi="Arial" w:cs="Arial"/>
          <w:sz w:val="22"/>
          <w:szCs w:val="22"/>
        </w:rPr>
        <w:footnoteReference w:id="23"/>
      </w:r>
      <w:r w:rsidRPr="00F463BC">
        <w:rPr>
          <w:rFonts w:ascii="Arial" w:hAnsi="Arial" w:cs="Arial"/>
          <w:sz w:val="22"/>
          <w:szCs w:val="22"/>
        </w:rPr>
        <w:t>) by the service organisation on its control environment.</w:t>
      </w:r>
    </w:p>
    <w:bookmarkEnd w:id="122"/>
    <w:p w:rsidR="000D6BE8" w:rsidRPr="00F463BC" w:rsidRDefault="00FC161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refers to ISA 402</w:t>
      </w:r>
      <w:r w:rsidR="007662FD" w:rsidRPr="00F463BC">
        <w:rPr>
          <w:rFonts w:ascii="Arial" w:hAnsi="Arial" w:cs="Arial"/>
          <w:sz w:val="22"/>
          <w:szCs w:val="22"/>
        </w:rPr>
        <w:t>.</w:t>
      </w:r>
      <w:r w:rsidRPr="00F463BC">
        <w:rPr>
          <w:rFonts w:ascii="Arial" w:hAnsi="Arial" w:cs="Arial"/>
          <w:sz w:val="22"/>
          <w:szCs w:val="22"/>
        </w:rPr>
        <w:t xml:space="preserve"> The auditor applies judg</w:t>
      </w:r>
      <w:r w:rsidR="00807B83" w:rsidRPr="00F463BC">
        <w:rPr>
          <w:rFonts w:ascii="Arial" w:hAnsi="Arial" w:cs="Arial"/>
          <w:sz w:val="22"/>
          <w:szCs w:val="22"/>
        </w:rPr>
        <w:t>e</w:t>
      </w:r>
      <w:r w:rsidRPr="00F463BC">
        <w:rPr>
          <w:rFonts w:ascii="Arial" w:hAnsi="Arial" w:cs="Arial"/>
          <w:sz w:val="22"/>
          <w:szCs w:val="22"/>
        </w:rPr>
        <w:t>ment and documents considerations regarding the audit of service organisations.</w:t>
      </w:r>
    </w:p>
    <w:p w:rsidR="000D6BE8" w:rsidRDefault="000D6BE8" w:rsidP="00B82F08">
      <w:pPr>
        <w:pStyle w:val="Bulletnrs"/>
        <w:tabs>
          <w:tab w:val="left" w:pos="567"/>
        </w:tabs>
        <w:spacing w:before="0" w:line="271" w:lineRule="auto"/>
        <w:ind w:left="567" w:hanging="567"/>
        <w:rPr>
          <w:rFonts w:ascii="Arial" w:hAnsi="Arial" w:cs="Arial"/>
          <w:sz w:val="22"/>
          <w:szCs w:val="22"/>
        </w:rPr>
      </w:pPr>
      <w:bookmarkStart w:id="123" w:name="_Ref299641544"/>
      <w:bookmarkStart w:id="124" w:name="_Ref299706553"/>
      <w:r w:rsidRPr="00F463BC">
        <w:rPr>
          <w:rFonts w:ascii="Arial" w:hAnsi="Arial" w:cs="Arial"/>
          <w:sz w:val="22"/>
          <w:szCs w:val="22"/>
        </w:rPr>
        <w:t xml:space="preserve">The decision tree below illustrates the aspects </w:t>
      </w:r>
      <w:r w:rsidR="007C1C08" w:rsidRPr="00F463BC">
        <w:rPr>
          <w:rFonts w:ascii="Arial" w:hAnsi="Arial" w:cs="Arial"/>
          <w:sz w:val="22"/>
          <w:szCs w:val="22"/>
        </w:rPr>
        <w:t xml:space="preserve">an </w:t>
      </w:r>
      <w:r w:rsidRPr="00F463BC">
        <w:rPr>
          <w:rFonts w:ascii="Arial" w:hAnsi="Arial" w:cs="Arial"/>
          <w:sz w:val="22"/>
          <w:szCs w:val="22"/>
        </w:rPr>
        <w:t>auditor consider</w:t>
      </w:r>
      <w:r w:rsidR="00117963" w:rsidRPr="00F463BC">
        <w:rPr>
          <w:rFonts w:ascii="Arial" w:hAnsi="Arial" w:cs="Arial"/>
          <w:sz w:val="22"/>
          <w:szCs w:val="22"/>
        </w:rPr>
        <w:t>s</w:t>
      </w:r>
      <w:r w:rsidRPr="00F463BC">
        <w:rPr>
          <w:rFonts w:ascii="Arial" w:hAnsi="Arial" w:cs="Arial"/>
          <w:sz w:val="22"/>
          <w:szCs w:val="22"/>
        </w:rPr>
        <w:t xml:space="preserve"> when reliance on a service organisation is required</w:t>
      </w:r>
      <w:r w:rsidR="00843012" w:rsidRPr="00F463BC">
        <w:rPr>
          <w:rFonts w:ascii="Arial" w:hAnsi="Arial" w:cs="Arial"/>
          <w:sz w:val="22"/>
          <w:szCs w:val="22"/>
        </w:rPr>
        <w:t>:</w:t>
      </w:r>
      <w:bookmarkEnd w:id="123"/>
      <w:bookmarkEnd w:id="124"/>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Pr="00F463BC"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22703E" w:rsidRDefault="0022703E" w:rsidP="0022703E">
      <w:pPr>
        <w:pStyle w:val="Bulletnrs"/>
        <w:numPr>
          <w:ilvl w:val="0"/>
          <w:numId w:val="0"/>
        </w:numPr>
        <w:tabs>
          <w:tab w:val="left" w:pos="567"/>
        </w:tabs>
        <w:spacing w:before="0" w:line="271" w:lineRule="auto"/>
        <w:ind w:left="360" w:hanging="360"/>
        <w:rPr>
          <w:rFonts w:ascii="Arial" w:hAnsi="Arial" w:cs="Arial"/>
          <w:sz w:val="22"/>
          <w:szCs w:val="22"/>
        </w:rPr>
      </w:pPr>
    </w:p>
    <w:p w:rsidR="0022703E" w:rsidRDefault="0022703E" w:rsidP="0022703E">
      <w:pPr>
        <w:pStyle w:val="Bulletnrs"/>
        <w:numPr>
          <w:ilvl w:val="0"/>
          <w:numId w:val="0"/>
        </w:numPr>
        <w:tabs>
          <w:tab w:val="left" w:pos="567"/>
        </w:tabs>
        <w:spacing w:before="0" w:line="271" w:lineRule="auto"/>
        <w:ind w:left="360" w:hanging="360"/>
        <w:rPr>
          <w:rFonts w:ascii="Arial" w:hAnsi="Arial" w:cs="Arial"/>
          <w:sz w:val="22"/>
          <w:szCs w:val="22"/>
        </w:rPr>
      </w:pPr>
    </w:p>
    <w:p w:rsidR="00AD04F5" w:rsidRPr="00F463BC" w:rsidRDefault="00AD04F5" w:rsidP="0022703E">
      <w:pPr>
        <w:pStyle w:val="Bulletnrs"/>
        <w:numPr>
          <w:ilvl w:val="0"/>
          <w:numId w:val="0"/>
        </w:numPr>
        <w:tabs>
          <w:tab w:val="left" w:pos="567"/>
        </w:tabs>
        <w:spacing w:before="0" w:line="271" w:lineRule="auto"/>
        <w:ind w:left="360" w:hanging="360"/>
        <w:rPr>
          <w:rFonts w:ascii="Arial" w:hAnsi="Arial" w:cs="Arial"/>
          <w:sz w:val="22"/>
          <w:szCs w:val="22"/>
        </w:rPr>
      </w:pPr>
    </w:p>
    <w:p w:rsidR="0022703E" w:rsidRPr="00F463BC" w:rsidRDefault="0022703E" w:rsidP="0022703E">
      <w:pPr>
        <w:keepNext/>
        <w:spacing w:before="0" w:line="271" w:lineRule="auto"/>
        <w:ind w:left="709"/>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31616" behindDoc="0" locked="0" layoutInCell="1" allowOverlap="1" wp14:anchorId="0AA95377" wp14:editId="1CF3B029">
                <wp:simplePos x="0" y="0"/>
                <wp:positionH relativeFrom="column">
                  <wp:posOffset>563880</wp:posOffset>
                </wp:positionH>
                <wp:positionV relativeFrom="paragraph">
                  <wp:posOffset>-71120</wp:posOffset>
                </wp:positionV>
                <wp:extent cx="3771900" cy="609600"/>
                <wp:effectExtent l="0" t="0" r="19050" b="19050"/>
                <wp:wrapNone/>
                <wp:docPr id="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960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b/>
                                <w:sz w:val="20"/>
                                <w:szCs w:val="20"/>
                              </w:rPr>
                            </w:pPr>
                            <w:r w:rsidRPr="004077D6">
                              <w:rPr>
                                <w:rFonts w:ascii="Arial" w:hAnsi="Arial" w:cs="Arial"/>
                                <w:b/>
                                <w:sz w:val="20"/>
                                <w:szCs w:val="20"/>
                              </w:rPr>
                              <w:t>ARE THE SERVICE ORGANISATIONS ACTIVITIES SIGNIFICANT TO THE SCHEME AND THE AUDIT?</w:t>
                            </w:r>
                          </w:p>
                          <w:p w:rsidR="00C82670" w:rsidRPr="004077D6" w:rsidRDefault="00C82670" w:rsidP="0022703E"/>
                          <w:p w:rsidR="00C82670" w:rsidRPr="004077D6" w:rsidRDefault="00C82670"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5377" id="Rectangle 105" o:spid="_x0000_s1026" style="position:absolute;left:0;text-align:left;margin-left:44.4pt;margin-top:-5.6pt;width:297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">
                <v:textbox>
                  <w:txbxContent>
                    <w:p w:rsidR="00C82670" w:rsidRPr="004077D6" w:rsidRDefault="00C82670" w:rsidP="0022703E">
                      <w:pPr>
                        <w:jc w:val="center"/>
                        <w:rPr>
                          <w:rFonts w:ascii="Arial" w:hAnsi="Arial" w:cs="Arial"/>
                          <w:b/>
                          <w:sz w:val="20"/>
                          <w:szCs w:val="20"/>
                        </w:rPr>
                      </w:pPr>
                      <w:r w:rsidRPr="004077D6">
                        <w:rPr>
                          <w:rFonts w:ascii="Arial" w:hAnsi="Arial" w:cs="Arial"/>
                          <w:b/>
                          <w:sz w:val="20"/>
                          <w:szCs w:val="20"/>
                        </w:rPr>
                        <w:t>ARE THE SERVICE ORGANISATIONS ACTIVITIES SIGNIFICANT TO THE SCHEME AND THE AUDIT?</w:t>
                      </w:r>
                    </w:p>
                    <w:p w:rsidR="00C82670" w:rsidRPr="004077D6" w:rsidRDefault="00C82670" w:rsidP="0022703E"/>
                    <w:p w:rsidR="00C82670" w:rsidRPr="004077D6" w:rsidRDefault="00C82670"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54144" behindDoc="0" locked="0" layoutInCell="1" allowOverlap="1" wp14:anchorId="4BB9C3A6" wp14:editId="30939E55">
                <wp:simplePos x="0" y="0"/>
                <wp:positionH relativeFrom="column">
                  <wp:posOffset>1687830</wp:posOffset>
                </wp:positionH>
                <wp:positionV relativeFrom="paragraph">
                  <wp:posOffset>162560</wp:posOffset>
                </wp:positionV>
                <wp:extent cx="493395" cy="284480"/>
                <wp:effectExtent l="0" t="0" r="20955" b="20320"/>
                <wp:wrapNone/>
                <wp:docPr id="3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28448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C3A6" id="Rectangle 116" o:spid="_x0000_s1027" style="position:absolute;left:0;text-align:left;margin-left:132.9pt;margin-top:12.8pt;width:38.85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48000" behindDoc="0" locked="0" layoutInCell="1" allowOverlap="1" wp14:anchorId="2A2DF35B" wp14:editId="3FDDA0AF">
                <wp:simplePos x="0" y="0"/>
                <wp:positionH relativeFrom="column">
                  <wp:posOffset>2728595</wp:posOffset>
                </wp:positionH>
                <wp:positionV relativeFrom="paragraph">
                  <wp:posOffset>162560</wp:posOffset>
                </wp:positionV>
                <wp:extent cx="452755" cy="284480"/>
                <wp:effectExtent l="0" t="0" r="23495" b="20320"/>
                <wp:wrapNone/>
                <wp:docPr id="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8448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DF35B" id="Rectangle 113" o:spid="_x0000_s1028" style="position:absolute;left:0;text-align:left;margin-left:214.85pt;margin-top:12.8pt;width:35.65pt;height:2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41856" behindDoc="0" locked="0" layoutInCell="1" allowOverlap="1" wp14:anchorId="346A1D03" wp14:editId="65E7C1D9">
                <wp:simplePos x="0" y="0"/>
                <wp:positionH relativeFrom="column">
                  <wp:posOffset>2438400</wp:posOffset>
                </wp:positionH>
                <wp:positionV relativeFrom="paragraph">
                  <wp:posOffset>20955</wp:posOffset>
                </wp:positionV>
                <wp:extent cx="914400" cy="571500"/>
                <wp:effectExtent l="0" t="0" r="76200" b="57150"/>
                <wp:wrapNone/>
                <wp:docPr id="3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F819" id="_x0000_t32" coordsize="21600,21600" o:spt="32" o:oned="t" path="m,l21600,21600e" filled="f">
                <v:path arrowok="t" fillok="f" o:connecttype="none"/>
                <o:lock v:ext="edit" shapetype="t"/>
              </v:shapetype>
              <v:shape id="AutoShape 110" o:spid="_x0000_s1026" type="#_x0000_t32" style="position:absolute;margin-left:192pt;margin-top:1.65pt;width:1in;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50048" behindDoc="0" locked="0" layoutInCell="1" allowOverlap="1" wp14:anchorId="07047FCC" wp14:editId="52A7600B">
                <wp:simplePos x="0" y="0"/>
                <wp:positionH relativeFrom="column">
                  <wp:posOffset>1590675</wp:posOffset>
                </wp:positionH>
                <wp:positionV relativeFrom="paragraph">
                  <wp:posOffset>20955</wp:posOffset>
                </wp:positionV>
                <wp:extent cx="847725" cy="574040"/>
                <wp:effectExtent l="38100" t="0" r="28575" b="54610"/>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AE72C" id="AutoShape 114" o:spid="_x0000_s1026" type="#_x0000_t32" style="position:absolute;margin-left:125.25pt;margin-top:1.65pt;width:66.75pt;height:45.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OQAIAAG4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33664" behindDoc="0" locked="0" layoutInCell="1" allowOverlap="1" wp14:anchorId="7A1C62E7" wp14:editId="2E0B411D">
                <wp:simplePos x="0" y="0"/>
                <wp:positionH relativeFrom="column">
                  <wp:posOffset>2545080</wp:posOffset>
                </wp:positionH>
                <wp:positionV relativeFrom="paragraph">
                  <wp:posOffset>79375</wp:posOffset>
                </wp:positionV>
                <wp:extent cx="2710180" cy="828675"/>
                <wp:effectExtent l="0" t="0" r="13970" b="28575"/>
                <wp:wrapNone/>
                <wp:docPr id="3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82867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Obtain sufficient understanding of the service organisation and its environment to identify risk of material misstatement and design further audit procedures to respond to assessed risks. Determine whether reliance is appropriate</w:t>
                            </w:r>
                            <w:r>
                              <w:rPr>
                                <w:rFonts w:ascii="Arial" w:hAnsi="Arial" w:cs="Arial"/>
                                <w:sz w:val="18"/>
                                <w:szCs w:val="18"/>
                              </w:rPr>
                              <w:t>.</w:t>
                            </w:r>
                          </w:p>
                          <w:p w:rsidR="00C82670" w:rsidRPr="004077D6" w:rsidRDefault="00C82670" w:rsidP="0022703E">
                            <w:pPr>
                              <w:jc w:val="center"/>
                              <w:rPr>
                                <w:rFonts w:ascii="Calibri" w:hAnsi="Calibri"/>
                                <w:sz w:val="22"/>
                                <w:szCs w:val="22"/>
                              </w:rPr>
                            </w:pP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rsidR="00C82670" w:rsidRPr="004077D6" w:rsidRDefault="00C82670"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C62E7" id="Rectangle 106" o:spid="_x0000_s1029" style="position:absolute;left:0;text-align:left;margin-left:200.4pt;margin-top:6.25pt;width:213.4pt;height:6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KdKw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Obtain sufficient understanding of the service organisation and its environment to identify risk of material misstatement and design further audit procedures to respond to assessed risks. Determine whether reliance is appropriate</w:t>
                      </w:r>
                      <w:r>
                        <w:rPr>
                          <w:rFonts w:ascii="Arial" w:hAnsi="Arial" w:cs="Arial"/>
                          <w:sz w:val="18"/>
                          <w:szCs w:val="18"/>
                        </w:rPr>
                        <w:t>.</w:t>
                      </w:r>
                    </w:p>
                    <w:p w:rsidR="00C82670" w:rsidRPr="004077D6" w:rsidRDefault="00C82670" w:rsidP="0022703E">
                      <w:pPr>
                        <w:jc w:val="center"/>
                        <w:rPr>
                          <w:rFonts w:ascii="Calibri" w:hAnsi="Calibri"/>
                          <w:sz w:val="22"/>
                          <w:szCs w:val="22"/>
                        </w:rPr>
                      </w:pP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rsidR="00C82670" w:rsidRPr="004077D6" w:rsidRDefault="00C82670" w:rsidP="0022703E">
                      <w:pPr>
                        <w:jc w:val="center"/>
                        <w:rPr>
                          <w:rFonts w:ascii="Calibri" w:hAnsi="Calibri"/>
                          <w:sz w:val="21"/>
                          <w:szCs w:val="21"/>
                        </w:rPr>
                      </w:pP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52096" behindDoc="0" locked="0" layoutInCell="1" allowOverlap="1" wp14:anchorId="00CDBF7E" wp14:editId="703802F6">
                <wp:simplePos x="0" y="0"/>
                <wp:positionH relativeFrom="column">
                  <wp:posOffset>209550</wp:posOffset>
                </wp:positionH>
                <wp:positionV relativeFrom="paragraph">
                  <wp:posOffset>78105</wp:posOffset>
                </wp:positionV>
                <wp:extent cx="1971675" cy="424180"/>
                <wp:effectExtent l="0" t="0" r="28575" b="13970"/>
                <wp:wrapNone/>
                <wp:docPr id="3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2418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rsidR="00C82670" w:rsidRPr="004077D6" w:rsidRDefault="00C82670" w:rsidP="0022703E">
                            <w:pPr>
                              <w:jc w:val="center"/>
                              <w:rPr>
                                <w:rFonts w:ascii="Calibri" w:hAnsi="Calibri"/>
                                <w:sz w:val="22"/>
                                <w:szCs w:val="22"/>
                              </w:rPr>
                            </w:pP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rsidR="00C82670" w:rsidRPr="004077D6" w:rsidRDefault="00C82670"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BF7E" id="Rectangle 115" o:spid="_x0000_s1030" style="position:absolute;left:0;text-align:left;margin-left:16.5pt;margin-top:6.15pt;width:155.25pt;height:3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SLQIAAFEEAAAOAAAAZHJzL2Uyb0RvYy54bWysVMGO0zAQvSPxD5bvNE1Jt2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rsidR="00C82670" w:rsidRPr="004077D6" w:rsidRDefault="00C82670" w:rsidP="0022703E">
                      <w:pPr>
                        <w:jc w:val="center"/>
                        <w:rPr>
                          <w:rFonts w:ascii="Calibri" w:hAnsi="Calibri"/>
                          <w:sz w:val="22"/>
                          <w:szCs w:val="22"/>
                        </w:rPr>
                      </w:pP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rsidR="00C82670" w:rsidRPr="004077D6" w:rsidRDefault="00C82670" w:rsidP="0022703E">
                      <w:pPr>
                        <w:jc w:val="center"/>
                        <w:rPr>
                          <w:rFonts w:ascii="Calibri" w:hAnsi="Calibri"/>
                          <w:sz w:val="21"/>
                          <w:szCs w:val="21"/>
                        </w:rPr>
                      </w:pP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298" distR="114298" simplePos="0" relativeHeight="251658240" behindDoc="0" locked="0" layoutInCell="1" allowOverlap="1" wp14:anchorId="2FD68E6E" wp14:editId="5522E91A">
                <wp:simplePos x="0" y="0"/>
                <wp:positionH relativeFrom="column">
                  <wp:posOffset>1210945</wp:posOffset>
                </wp:positionH>
                <wp:positionV relativeFrom="paragraph">
                  <wp:posOffset>248285</wp:posOffset>
                </wp:positionV>
                <wp:extent cx="0" cy="566420"/>
                <wp:effectExtent l="76200" t="0" r="57150" b="62230"/>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E33D3" id="AutoShape 118" o:spid="_x0000_s1026" type="#_x0000_t32" style="position:absolute;margin-left:95.35pt;margin-top:19.55pt;width:0;height:44.6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KJ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45952" behindDoc="0" locked="0" layoutInCell="1" allowOverlap="1" wp14:anchorId="37556DCD" wp14:editId="636225C4">
                <wp:simplePos x="0" y="0"/>
                <wp:positionH relativeFrom="column">
                  <wp:posOffset>3886200</wp:posOffset>
                </wp:positionH>
                <wp:positionV relativeFrom="paragraph">
                  <wp:posOffset>139700</wp:posOffset>
                </wp:positionV>
                <wp:extent cx="885825" cy="619125"/>
                <wp:effectExtent l="0" t="0" r="66675" b="47625"/>
                <wp:wrapNone/>
                <wp:docPr id="3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55178" id="AutoShape 112" o:spid="_x0000_s1026" type="#_x0000_t32" style="position:absolute;margin-left:306pt;margin-top:11pt;width:69.75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43904" behindDoc="0" locked="0" layoutInCell="1" allowOverlap="1" wp14:anchorId="474FB74E" wp14:editId="583802C7">
                <wp:simplePos x="0" y="0"/>
                <wp:positionH relativeFrom="column">
                  <wp:posOffset>3072765</wp:posOffset>
                </wp:positionH>
                <wp:positionV relativeFrom="paragraph">
                  <wp:posOffset>143510</wp:posOffset>
                </wp:positionV>
                <wp:extent cx="819150" cy="619125"/>
                <wp:effectExtent l="38100" t="0" r="19050" b="47625"/>
                <wp:wrapNone/>
                <wp:docPr id="3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8CD17" id="AutoShape 111" o:spid="_x0000_s1026" type="#_x0000_t32" style="position:absolute;margin-left:241.95pt;margin-top:11.3pt;width:64.5pt;height:48.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2336" behindDoc="0" locked="0" layoutInCell="1" allowOverlap="1" wp14:anchorId="77CF6528" wp14:editId="6A6899B4">
                <wp:simplePos x="0" y="0"/>
                <wp:positionH relativeFrom="column">
                  <wp:posOffset>4048125</wp:posOffset>
                </wp:positionH>
                <wp:positionV relativeFrom="paragraph">
                  <wp:posOffset>53340</wp:posOffset>
                </wp:positionV>
                <wp:extent cx="447675" cy="299085"/>
                <wp:effectExtent l="0" t="0" r="28575" b="2476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908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6528" id="Rectangle 120" o:spid="_x0000_s1031" style="position:absolute;left:0;text-align:left;margin-left:318.75pt;margin-top:4.2pt;width:35.2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ALLAIAAFA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60288" behindDoc="0" locked="0" layoutInCell="1" allowOverlap="1" wp14:anchorId="49DD7711" wp14:editId="502D9780">
                <wp:simplePos x="0" y="0"/>
                <wp:positionH relativeFrom="column">
                  <wp:posOffset>3329940</wp:posOffset>
                </wp:positionH>
                <wp:positionV relativeFrom="paragraph">
                  <wp:posOffset>53340</wp:posOffset>
                </wp:positionV>
                <wp:extent cx="426720" cy="299085"/>
                <wp:effectExtent l="0" t="0" r="11430" b="24765"/>
                <wp:wrapNone/>
                <wp:docPr id="4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9908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D7711" id="Rectangle 119" o:spid="_x0000_s1032" style="position:absolute;left:0;text-align:left;margin-left:262.2pt;margin-top:4.2pt;width:33.6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B/KQ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56192" behindDoc="0" locked="0" layoutInCell="1" allowOverlap="1" wp14:anchorId="0019D88E" wp14:editId="7A9564E6">
                <wp:simplePos x="0" y="0"/>
                <wp:positionH relativeFrom="column">
                  <wp:posOffset>207645</wp:posOffset>
                </wp:positionH>
                <wp:positionV relativeFrom="paragraph">
                  <wp:posOffset>43815</wp:posOffset>
                </wp:positionV>
                <wp:extent cx="1971675" cy="568325"/>
                <wp:effectExtent l="0" t="0" r="28575" b="22225"/>
                <wp:wrapNone/>
                <wp:docPr id="4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6832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Perform normal audit procedures at the scheme in response to assessed risk level</w:t>
                            </w:r>
                            <w:r>
                              <w:rPr>
                                <w:rFonts w:ascii="Arial" w:hAnsi="Arial" w:cs="Arial"/>
                                <w:sz w:val="18"/>
                                <w:szCs w:val="18"/>
                              </w:rPr>
                              <w: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D88E" id="Rectangle 117" o:spid="_x0000_s1033" style="position:absolute;left:0;text-align:left;margin-left:16.35pt;margin-top:3.45pt;width:155.25pt;height: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Perform normal audit procedures at the scheme in response to assessed risk level</w:t>
                      </w:r>
                      <w:r>
                        <w:rPr>
                          <w:rFonts w:ascii="Arial" w:hAnsi="Arial" w:cs="Arial"/>
                          <w:sz w:val="18"/>
                          <w:szCs w:val="18"/>
                        </w:rPr>
                        <w: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37760" behindDoc="0" locked="0" layoutInCell="1" allowOverlap="1" wp14:anchorId="504CB6ED" wp14:editId="2A1294D1">
                <wp:simplePos x="0" y="0"/>
                <wp:positionH relativeFrom="column">
                  <wp:posOffset>2335530</wp:posOffset>
                </wp:positionH>
                <wp:positionV relativeFrom="paragraph">
                  <wp:posOffset>1270</wp:posOffset>
                </wp:positionV>
                <wp:extent cx="1417320" cy="866775"/>
                <wp:effectExtent l="0" t="0" r="11430" b="28575"/>
                <wp:wrapNone/>
                <wp:docPr id="4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86677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Perform own procedures at the service organisation to reduce assessed risk to an acceptable level.</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B6ED" id="Rectangle 108" o:spid="_x0000_s1034" style="position:absolute;left:0;text-align:left;margin-left:183.9pt;margin-top:.1pt;width:111.6pt;height:6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Perform own procedures at the service organisation to reduce assessed risk to an acceptable level.</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35712" behindDoc="0" locked="0" layoutInCell="1" allowOverlap="1" wp14:anchorId="25E3CCED" wp14:editId="2F396003">
                <wp:simplePos x="0" y="0"/>
                <wp:positionH relativeFrom="column">
                  <wp:posOffset>3888105</wp:posOffset>
                </wp:positionH>
                <wp:positionV relativeFrom="paragraph">
                  <wp:posOffset>10795</wp:posOffset>
                </wp:positionV>
                <wp:extent cx="1386205" cy="569595"/>
                <wp:effectExtent l="0" t="0" r="23495" b="2095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6959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Is a service organisation auditor’s report available?</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3CCED" id="Rectangle 107" o:spid="_x0000_s1035" style="position:absolute;left:0;text-align:left;margin-left:306.15pt;margin-top:.85pt;width:109.15pt;height:44.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C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Is a service organisation auditor’s report available?</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4384" behindDoc="0" locked="0" layoutInCell="1" allowOverlap="1" wp14:anchorId="47252A9B" wp14:editId="77E05C24">
                <wp:simplePos x="0" y="0"/>
                <wp:positionH relativeFrom="column">
                  <wp:posOffset>4573905</wp:posOffset>
                </wp:positionH>
                <wp:positionV relativeFrom="paragraph">
                  <wp:posOffset>66675</wp:posOffset>
                </wp:positionV>
                <wp:extent cx="0" cy="981075"/>
                <wp:effectExtent l="76200" t="0" r="76200" b="47625"/>
                <wp:wrapNone/>
                <wp:docPr id="4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8F2D2" id="AutoShape 121" o:spid="_x0000_s1026" type="#_x0000_t32" style="position:absolute;margin-left:360.15pt;margin-top:5.25pt;width:0;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DMQ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80768" behindDoc="0" locked="0" layoutInCell="1" allowOverlap="1" wp14:anchorId="753BB721" wp14:editId="0EED561E">
                <wp:simplePos x="0" y="0"/>
                <wp:positionH relativeFrom="column">
                  <wp:posOffset>3998595</wp:posOffset>
                </wp:positionH>
                <wp:positionV relativeFrom="paragraph">
                  <wp:posOffset>170815</wp:posOffset>
                </wp:positionV>
                <wp:extent cx="440055" cy="299085"/>
                <wp:effectExtent l="0" t="0" r="17145" b="24765"/>
                <wp:wrapNone/>
                <wp:docPr id="4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9908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BB721" id="Rectangle 129" o:spid="_x0000_s1036" style="position:absolute;left:0;text-align:left;margin-left:314.85pt;margin-top:13.45pt;width:34.65pt;height:2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sTKwIAAFEEAAAOAAAAZHJzL2Uyb0RvYy54bWysVNuO0zAQfUfiHyy/01zUwD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420D6A61" wp14:editId="17B6EEE5">
                <wp:simplePos x="0" y="0"/>
                <wp:positionH relativeFrom="column">
                  <wp:posOffset>3752850</wp:posOffset>
                </wp:positionH>
                <wp:positionV relativeFrom="paragraph">
                  <wp:posOffset>0</wp:posOffset>
                </wp:positionV>
                <wp:extent cx="830580" cy="0"/>
                <wp:effectExtent l="38100" t="76200" r="0" b="95250"/>
                <wp:wrapNone/>
                <wp:docPr id="4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6DAC0" id="AutoShape 122" o:spid="_x0000_s1026" type="#_x0000_t32" style="position:absolute;margin-left:295.5pt;margin-top:0;width:65.4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">
                <v:stroke endarrow="block" joinstyle="miter"/>
              </v:shape>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8480" behindDoc="0" locked="0" layoutInCell="1" allowOverlap="1" wp14:anchorId="5FF790FF" wp14:editId="37825D41">
                <wp:simplePos x="0" y="0"/>
                <wp:positionH relativeFrom="column">
                  <wp:posOffset>2611755</wp:posOffset>
                </wp:positionH>
                <wp:positionV relativeFrom="paragraph">
                  <wp:posOffset>33655</wp:posOffset>
                </wp:positionV>
                <wp:extent cx="938530" cy="546735"/>
                <wp:effectExtent l="5397" t="0" r="38418" b="95567"/>
                <wp:wrapNone/>
                <wp:docPr id="4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38530" cy="546735"/>
                        </a:xfrm>
                        <a:prstGeom prst="bentConnector3">
                          <a:avLst>
                            <a:gd name="adj1" fmla="val 1007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F24D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3" o:spid="_x0000_s1026" type="#_x0000_t34" style="position:absolute;margin-left:205.65pt;margin-top:2.65pt;width:73.9pt;height:43.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" adj="21761">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82816" behindDoc="0" locked="0" layoutInCell="1" allowOverlap="1" wp14:anchorId="1F405F8E" wp14:editId="039E955E">
                <wp:simplePos x="0" y="0"/>
                <wp:positionH relativeFrom="column">
                  <wp:posOffset>4381500</wp:posOffset>
                </wp:positionH>
                <wp:positionV relativeFrom="paragraph">
                  <wp:posOffset>29210</wp:posOffset>
                </wp:positionV>
                <wp:extent cx="478155" cy="331470"/>
                <wp:effectExtent l="0" t="0" r="17145" b="11430"/>
                <wp:wrapNone/>
                <wp:docPr id="4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33147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05F8E" id="Rectangle 130" o:spid="_x0000_s1037" style="position:absolute;left:0;text-align:left;margin-left:345pt;margin-top:2.3pt;width:37.65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39808" behindDoc="0" locked="0" layoutInCell="1" allowOverlap="1" wp14:anchorId="75D4F543" wp14:editId="05D1FB70">
                <wp:simplePos x="0" y="0"/>
                <wp:positionH relativeFrom="column">
                  <wp:posOffset>3353435</wp:posOffset>
                </wp:positionH>
                <wp:positionV relativeFrom="paragraph">
                  <wp:posOffset>20320</wp:posOffset>
                </wp:positionV>
                <wp:extent cx="1924050" cy="354330"/>
                <wp:effectExtent l="0" t="0" r="19050" b="26670"/>
                <wp:wrapNone/>
                <wp:docPr id="4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5433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Assurance sufficient?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Assurance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4F543" id="Rectangle 109" o:spid="_x0000_s1038" style="position:absolute;left:0;text-align:left;margin-left:264.05pt;margin-top:1.6pt;width:151.5pt;height:2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Assurance sufficient?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Assurance sufficient?</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70528" behindDoc="0" locked="0" layoutInCell="1" allowOverlap="1" wp14:anchorId="63A7A0F9" wp14:editId="30D74D85">
                <wp:simplePos x="0" y="0"/>
                <wp:positionH relativeFrom="column">
                  <wp:posOffset>4335780</wp:posOffset>
                </wp:positionH>
                <wp:positionV relativeFrom="paragraph">
                  <wp:posOffset>114300</wp:posOffset>
                </wp:positionV>
                <wp:extent cx="600075" cy="771525"/>
                <wp:effectExtent l="0" t="0" r="66675" b="47625"/>
                <wp:wrapNone/>
                <wp:docPr id="5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AF42C" id="AutoShape 124" o:spid="_x0000_s1026" type="#_x0000_t32" style="position:absolute;margin-left:341.4pt;margin-top:9pt;width:47.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72576" behindDoc="0" locked="0" layoutInCell="1" allowOverlap="1" wp14:anchorId="4EC5B1B8" wp14:editId="113FC7D9">
                <wp:simplePos x="0" y="0"/>
                <wp:positionH relativeFrom="column">
                  <wp:posOffset>3752850</wp:posOffset>
                </wp:positionH>
                <wp:positionV relativeFrom="paragraph">
                  <wp:posOffset>114300</wp:posOffset>
                </wp:positionV>
                <wp:extent cx="581025" cy="771525"/>
                <wp:effectExtent l="38100" t="0" r="28575" b="47625"/>
                <wp:wrapNone/>
                <wp:docPr id="5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03A5E" id="AutoShape 125" o:spid="_x0000_s1026" type="#_x0000_t32" style="position:absolute;margin-left:295.5pt;margin-top:9pt;width:45.75pt;height:6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84864" behindDoc="0" locked="0" layoutInCell="1" allowOverlap="1" wp14:anchorId="56E287CD" wp14:editId="4B80B79C">
                <wp:simplePos x="0" y="0"/>
                <wp:positionH relativeFrom="column">
                  <wp:posOffset>4440555</wp:posOffset>
                </wp:positionH>
                <wp:positionV relativeFrom="paragraph">
                  <wp:posOffset>73660</wp:posOffset>
                </wp:positionV>
                <wp:extent cx="483870" cy="300355"/>
                <wp:effectExtent l="0" t="0" r="11430" b="23495"/>
                <wp:wrapNone/>
                <wp:docPr id="5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0035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87CD" id="Rectangle 131" o:spid="_x0000_s1039" style="position:absolute;left:0;text-align:left;margin-left:349.65pt;margin-top:5.8pt;width:38.1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YES</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78720" behindDoc="0" locked="0" layoutInCell="1" allowOverlap="1" wp14:anchorId="2410CA58" wp14:editId="332F504F">
                <wp:simplePos x="0" y="0"/>
                <wp:positionH relativeFrom="column">
                  <wp:posOffset>3790950</wp:posOffset>
                </wp:positionH>
                <wp:positionV relativeFrom="paragraph">
                  <wp:posOffset>69215</wp:posOffset>
                </wp:positionV>
                <wp:extent cx="419100" cy="290830"/>
                <wp:effectExtent l="0" t="0" r="19050" b="13970"/>
                <wp:wrapNone/>
                <wp:docPr id="5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083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CA58" id="Rectangle 128" o:spid="_x0000_s1040" style="position:absolute;left:0;text-align:left;margin-left:298.5pt;margin-top:5.45pt;width:33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74624" behindDoc="0" locked="0" layoutInCell="1" allowOverlap="1" wp14:anchorId="3928C556" wp14:editId="6C273787">
                <wp:simplePos x="0" y="0"/>
                <wp:positionH relativeFrom="column">
                  <wp:posOffset>4002405</wp:posOffset>
                </wp:positionH>
                <wp:positionV relativeFrom="paragraph">
                  <wp:posOffset>120651</wp:posOffset>
                </wp:positionV>
                <wp:extent cx="1228725" cy="438150"/>
                <wp:effectExtent l="0" t="0" r="28575" b="19050"/>
                <wp:wrapNone/>
                <wp:docPr id="5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8150"/>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 further audit response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C556" id="Rectangle 126" o:spid="_x0000_s1041" style="position:absolute;left:0;text-align:left;margin-left:315.15pt;margin-top:9.5pt;width:96.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No further audit response required</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76672" behindDoc="0" locked="0" layoutInCell="1" allowOverlap="1" wp14:anchorId="378A143B" wp14:editId="4736DB59">
                <wp:simplePos x="0" y="0"/>
                <wp:positionH relativeFrom="column">
                  <wp:posOffset>2849880</wp:posOffset>
                </wp:positionH>
                <wp:positionV relativeFrom="paragraph">
                  <wp:posOffset>111125</wp:posOffset>
                </wp:positionV>
                <wp:extent cx="1038225" cy="447675"/>
                <wp:effectExtent l="0" t="0" r="28575" b="28575"/>
                <wp:wrapNone/>
                <wp:docPr id="5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7675"/>
                        </a:xfrm>
                        <a:prstGeom prst="rect">
                          <a:avLst/>
                        </a:prstGeom>
                        <a:solidFill>
                          <a:srgbClr val="FFFFFF"/>
                        </a:solidFill>
                        <a:ln w="9525">
                          <a:solidFill>
                            <a:srgbClr val="000000"/>
                          </a:solidFill>
                          <a:miter lim="800000"/>
                          <a:headEnd/>
                          <a:tailEnd/>
                        </a:ln>
                      </wps:spPr>
                      <wps:txb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Modify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A143B" id="Rectangle 127" o:spid="_x0000_s1042" style="position:absolute;left:0;text-align:left;margin-left:224.4pt;margin-top:8.75pt;width:81.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">
                <v:textbox>
                  <w:txbxContent>
                    <w:p w:rsidR="00C82670" w:rsidRPr="004077D6" w:rsidRDefault="00C82670"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rsidR="00C82670" w:rsidRPr="004077D6" w:rsidRDefault="00C82670" w:rsidP="0022703E"/>
                    <w:p w:rsidR="00C82670" w:rsidRPr="004077D6" w:rsidRDefault="00C82670" w:rsidP="0022703E">
                      <w:pPr>
                        <w:jc w:val="center"/>
                        <w:rPr>
                          <w:rFonts w:ascii="Arial" w:hAnsi="Arial" w:cs="Arial"/>
                          <w:sz w:val="17"/>
                          <w:szCs w:val="17"/>
                        </w:rPr>
                      </w:pPr>
                      <w:r w:rsidRPr="004077D6">
                        <w:rPr>
                          <w:rFonts w:ascii="Arial" w:hAnsi="Arial" w:cs="Arial"/>
                          <w:sz w:val="17"/>
                          <w:szCs w:val="17"/>
                        </w:rPr>
                        <w:t>Modify audit opinion</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p>
    <w:p w:rsidR="000D6BE8" w:rsidRPr="00F463BC" w:rsidRDefault="000D6BE8" w:rsidP="00B82F08">
      <w:pPr>
        <w:keepNext/>
        <w:spacing w:before="0" w:line="271" w:lineRule="auto"/>
        <w:rPr>
          <w:rFonts w:ascii="Arial" w:hAnsi="Arial" w:cs="Arial"/>
          <w:sz w:val="22"/>
          <w:szCs w:val="22"/>
        </w:rPr>
      </w:pPr>
    </w:p>
    <w:p w:rsidR="000D6BE8" w:rsidRPr="00F463BC" w:rsidRDefault="000D6BE8" w:rsidP="00B82F08">
      <w:pPr>
        <w:keepNext/>
        <w:spacing w:before="0" w:line="271" w:lineRule="auto"/>
        <w:rPr>
          <w:rFonts w:ascii="Arial" w:hAnsi="Arial" w:cs="Arial"/>
          <w:sz w:val="22"/>
          <w:szCs w:val="22"/>
        </w:rPr>
      </w:pPr>
    </w:p>
    <w:p w:rsidR="005A1BBF" w:rsidRDefault="006D5317">
      <w:pPr>
        <w:spacing w:before="0" w:after="0"/>
        <w:jc w:val="left"/>
        <w:rPr>
          <w:rFonts w:ascii="Arial" w:hAnsi="Arial" w:cs="Arial"/>
          <w:b/>
          <w:color w:val="000000"/>
          <w:lang w:val="en-GB"/>
        </w:rPr>
      </w:pPr>
      <w:bookmarkStart w:id="125" w:name="_Reporting"/>
      <w:bookmarkStart w:id="126" w:name="_Toc300572967"/>
      <w:bookmarkStart w:id="127" w:name="_Toc304897934"/>
      <w:bookmarkStart w:id="128" w:name="_Toc305083362"/>
      <w:bookmarkEnd w:id="125"/>
      <w:r>
        <w:br w:type="page"/>
      </w:r>
    </w:p>
    <w:p w:rsidR="00C617D6" w:rsidRPr="00F463BC" w:rsidRDefault="00C617D6" w:rsidP="001B129E">
      <w:pPr>
        <w:pStyle w:val="Heading2"/>
        <w:keepNext/>
        <w:spacing w:before="0" w:line="271" w:lineRule="auto"/>
      </w:pPr>
      <w:bookmarkStart w:id="129" w:name="_Toc455582222"/>
      <w:r w:rsidRPr="00F463BC">
        <w:lastRenderedPageBreak/>
        <w:t>Related parties</w:t>
      </w:r>
      <w:bookmarkEnd w:id="129"/>
    </w:p>
    <w:p w:rsidR="00FD74BD" w:rsidRDefault="00FD74BD"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 xml:space="preserve">An auditor applies ISA 550, </w:t>
      </w:r>
      <w:r w:rsidRPr="00944A95">
        <w:rPr>
          <w:rFonts w:ascii="Arial" w:hAnsi="Arial" w:cs="Arial"/>
          <w:i/>
          <w:sz w:val="22"/>
          <w:szCs w:val="22"/>
        </w:rPr>
        <w:t>Related Parties</w:t>
      </w:r>
      <w:r>
        <w:rPr>
          <w:rFonts w:ascii="Arial" w:hAnsi="Arial" w:cs="Arial"/>
          <w:sz w:val="22"/>
          <w:szCs w:val="22"/>
        </w:rPr>
        <w:t>.</w:t>
      </w:r>
    </w:p>
    <w:p w:rsidR="00C617D6" w:rsidRPr="00F463BC" w:rsidRDefault="00C617D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SAICA </w:t>
      </w:r>
      <w:r w:rsidRPr="00F463BC">
        <w:rPr>
          <w:rFonts w:ascii="Arial" w:hAnsi="Arial" w:cs="Arial"/>
          <w:i/>
          <w:sz w:val="22"/>
          <w:szCs w:val="22"/>
        </w:rPr>
        <w:t>Medical Schemes Accounting Guide</w:t>
      </w:r>
      <w:r w:rsidR="00B256B4" w:rsidRPr="00766953">
        <w:rPr>
          <w:rStyle w:val="FootnoteReference"/>
          <w:rFonts w:ascii="Arial" w:hAnsi="Arial" w:cs="Arial"/>
          <w:sz w:val="22"/>
          <w:szCs w:val="22"/>
        </w:rPr>
        <w:footnoteReference w:id="24"/>
      </w:r>
      <w:r w:rsidRPr="00F463BC">
        <w:rPr>
          <w:rFonts w:ascii="Arial" w:hAnsi="Arial" w:cs="Arial"/>
          <w:sz w:val="22"/>
          <w:szCs w:val="22"/>
        </w:rPr>
        <w:t xml:space="preserve"> provides guidance in Appendix IV on identification of related parties and the disclosures required.  </w:t>
      </w:r>
    </w:p>
    <w:p w:rsidR="00C617D6" w:rsidRPr="00F463BC" w:rsidRDefault="007C1C08"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w:t>
      </w:r>
      <w:r w:rsidR="00117963" w:rsidRPr="00F463BC">
        <w:rPr>
          <w:rFonts w:ascii="Arial" w:hAnsi="Arial" w:cs="Arial"/>
          <w:sz w:val="22"/>
          <w:szCs w:val="22"/>
        </w:rPr>
        <w:t xml:space="preserve"> </w:t>
      </w:r>
      <w:r w:rsidR="00C617D6" w:rsidRPr="00F463BC">
        <w:rPr>
          <w:rFonts w:ascii="Arial" w:hAnsi="Arial" w:cs="Arial"/>
          <w:sz w:val="22"/>
          <w:szCs w:val="22"/>
        </w:rPr>
        <w:t xml:space="preserve">auditor </w:t>
      </w:r>
      <w:r w:rsidR="00A94EA6" w:rsidRPr="00F463BC">
        <w:rPr>
          <w:rFonts w:ascii="Arial" w:hAnsi="Arial" w:cs="Arial"/>
          <w:sz w:val="22"/>
          <w:szCs w:val="22"/>
        </w:rPr>
        <w:t>considers whether a</w:t>
      </w:r>
      <w:r w:rsidR="00117963" w:rsidRPr="00F463BC">
        <w:rPr>
          <w:rFonts w:ascii="Arial" w:hAnsi="Arial" w:cs="Arial"/>
          <w:sz w:val="22"/>
          <w:szCs w:val="22"/>
        </w:rPr>
        <w:t xml:space="preserve"> medical scheme has</w:t>
      </w:r>
      <w:r w:rsidR="00C617D6" w:rsidRPr="00F463BC">
        <w:rPr>
          <w:rFonts w:ascii="Arial" w:hAnsi="Arial" w:cs="Arial"/>
          <w:sz w:val="22"/>
          <w:szCs w:val="22"/>
        </w:rPr>
        <w:t xml:space="preserve"> followed due process for the identification of all related party relationships, as well as the identification of related party transactions and balances and that the disclosure thereof has been provided in accordance with IAS 24</w:t>
      </w:r>
      <w:r w:rsidR="00A94B15" w:rsidRPr="00F463BC">
        <w:rPr>
          <w:rStyle w:val="FootnoteReference"/>
          <w:rFonts w:ascii="Arial" w:hAnsi="Arial" w:cs="Arial"/>
          <w:sz w:val="22"/>
          <w:szCs w:val="22"/>
        </w:rPr>
        <w:footnoteReference w:id="25"/>
      </w:r>
      <w:r w:rsidR="00C617D6" w:rsidRPr="00F463BC">
        <w:rPr>
          <w:rFonts w:ascii="Arial" w:hAnsi="Arial" w:cs="Arial"/>
          <w:sz w:val="22"/>
          <w:szCs w:val="22"/>
        </w:rPr>
        <w:t>.</w:t>
      </w:r>
    </w:p>
    <w:p w:rsidR="00C617D6" w:rsidRPr="00F463BC" w:rsidRDefault="00C617D6" w:rsidP="00B82F08">
      <w:pPr>
        <w:pStyle w:val="Bulletnrs"/>
        <w:numPr>
          <w:ilvl w:val="0"/>
          <w:numId w:val="0"/>
        </w:numPr>
        <w:tabs>
          <w:tab w:val="left" w:pos="567"/>
        </w:tabs>
        <w:spacing w:before="0" w:line="271" w:lineRule="auto"/>
        <w:ind w:left="567"/>
        <w:rPr>
          <w:rFonts w:ascii="Arial" w:hAnsi="Arial" w:cs="Arial"/>
          <w:sz w:val="22"/>
          <w:szCs w:val="22"/>
        </w:rPr>
      </w:pPr>
    </w:p>
    <w:p w:rsidR="00085C12" w:rsidRPr="00F463BC" w:rsidRDefault="00085C12" w:rsidP="00085C12">
      <w:pPr>
        <w:pStyle w:val="Heading2"/>
        <w:keepNext/>
        <w:spacing w:before="0" w:line="271" w:lineRule="auto"/>
      </w:pPr>
      <w:bookmarkStart w:id="130" w:name="_Reporting_1"/>
      <w:bookmarkStart w:id="131" w:name="_Toc455582223"/>
      <w:bookmarkEnd w:id="126"/>
      <w:bookmarkEnd w:id="127"/>
      <w:bookmarkEnd w:id="128"/>
      <w:bookmarkEnd w:id="130"/>
      <w:r w:rsidRPr="00F463BC">
        <w:t>Sundry considerations</w:t>
      </w:r>
      <w:bookmarkEnd w:id="131"/>
    </w:p>
    <w:p w:rsidR="00085C12" w:rsidRPr="00F463BC" w:rsidRDefault="00085C12" w:rsidP="00085C12">
      <w:pPr>
        <w:pStyle w:val="Heading41"/>
        <w:spacing w:line="271" w:lineRule="auto"/>
        <w:rPr>
          <w:rFonts w:ascii="Arial" w:hAnsi="Arial" w:cs="Arial"/>
          <w:sz w:val="22"/>
          <w:szCs w:val="22"/>
        </w:rPr>
      </w:pPr>
      <w:r w:rsidRPr="00F463BC">
        <w:rPr>
          <w:rFonts w:ascii="Arial" w:hAnsi="Arial" w:cs="Arial"/>
          <w:sz w:val="22"/>
          <w:szCs w:val="22"/>
        </w:rPr>
        <w:t>Statutory solvency requirements</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Regulation 29(2) of the Act specifically states that a medical scheme must maintain accumulated funds expressed as a percentage of gross annual contributions for the accounting period under review, which may not be less than 25%.  </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Regulation 29(3A) further indicates that a medical scheme which is registered for the first time after the coming into operation of the Regulations must maintain accumulated funds, expressed as a percentage of gross annual contributions, of not less than:</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10% during the first year after the scheme was registered;</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13.5% during the second year;</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17.5% during the third year; and</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22% during the fourth year.</w:t>
      </w:r>
    </w:p>
    <w:p w:rsidR="00085C12" w:rsidRPr="00F463BC" w:rsidRDefault="00085C12" w:rsidP="00085C12">
      <w:pPr>
        <w:pStyle w:val="Bulletnrs"/>
        <w:numPr>
          <w:ilvl w:val="0"/>
          <w:numId w:val="0"/>
        </w:numPr>
        <w:tabs>
          <w:tab w:val="left" w:pos="567"/>
        </w:tabs>
        <w:spacing w:before="0" w:line="271" w:lineRule="auto"/>
        <w:ind w:left="567"/>
        <w:rPr>
          <w:rFonts w:ascii="Arial" w:hAnsi="Arial" w:cs="Arial"/>
          <w:sz w:val="22"/>
          <w:szCs w:val="22"/>
        </w:rPr>
      </w:pPr>
      <w:r w:rsidRPr="00F463BC">
        <w:rPr>
          <w:rFonts w:ascii="Arial" w:hAnsi="Arial" w:cs="Arial"/>
          <w:sz w:val="22"/>
          <w:szCs w:val="22"/>
        </w:rPr>
        <w:t>For example, should a scheme be registered in June 2009, the scheme only needs to obtain a 10% solvency level at 31 December 2010.</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Circular 13 of 2001</w:t>
      </w:r>
      <w:r w:rsidRPr="00F463BC">
        <w:rPr>
          <w:rStyle w:val="FootnoteReference"/>
          <w:rFonts w:ascii="Arial" w:hAnsi="Arial" w:cs="Arial"/>
          <w:sz w:val="22"/>
          <w:szCs w:val="22"/>
        </w:rPr>
        <w:footnoteReference w:id="26"/>
      </w:r>
      <w:r w:rsidRPr="00F463BC">
        <w:rPr>
          <w:rFonts w:ascii="Arial" w:hAnsi="Arial" w:cs="Arial"/>
          <w:sz w:val="22"/>
          <w:szCs w:val="22"/>
        </w:rPr>
        <w:t>, provides further guidance on what items need to be excluded from the computation of accumulated funds for solvency purposes:</w:t>
      </w:r>
    </w:p>
    <w:p w:rsidR="00085C12" w:rsidRPr="00F463BC" w:rsidRDefault="00085C12" w:rsidP="00085C12">
      <w:pPr>
        <w:pStyle w:val="Bulletsa"/>
        <w:numPr>
          <w:ilvl w:val="0"/>
          <w:numId w:val="5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Funds set aside for specific non-claims purposes;</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Encumbered assets in respect of non-scheme liabilities; and</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Accumulated net unrealised gains.</w:t>
      </w:r>
    </w:p>
    <w:p w:rsidR="00085C12" w:rsidRPr="00F463BC" w:rsidRDefault="00085C12" w:rsidP="00085C12">
      <w:pPr>
        <w:pStyle w:val="Bulletsa"/>
        <w:spacing w:before="0" w:line="271" w:lineRule="auto"/>
        <w:ind w:left="567"/>
        <w:rPr>
          <w:rFonts w:ascii="Arial" w:hAnsi="Arial" w:cs="Arial"/>
          <w:sz w:val="22"/>
          <w:szCs w:val="22"/>
          <w:lang w:eastAsia="en-US"/>
        </w:rPr>
      </w:pPr>
      <w:r w:rsidRPr="00F463BC">
        <w:rPr>
          <w:rFonts w:ascii="Arial" w:hAnsi="Arial" w:cs="Arial"/>
          <w:sz w:val="22"/>
          <w:szCs w:val="22"/>
          <w:lang w:eastAsia="en-US"/>
        </w:rPr>
        <w:t>Accumulated net losses are ignored for solvency purposes, and not added back. This is done in an attempt to be more conservative.</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Consolidated results should also be excluded from solvency calculations as it is deemed not to be realised for scheme-purposes.</w:t>
      </w:r>
    </w:p>
    <w:p w:rsidR="00085C12" w:rsidRPr="00F463BC" w:rsidRDefault="00085C12" w:rsidP="00085C12">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Where a medical scheme fails to comply with the requirements of these Regulations, for a period of 90 days, they must notify the Registrar in writing of such failure, and must provide information relating to:</w:t>
      </w:r>
    </w:p>
    <w:p w:rsidR="00085C12" w:rsidRPr="00F463BC" w:rsidRDefault="00085C12" w:rsidP="00085C12">
      <w:pPr>
        <w:pStyle w:val="Bulletsa"/>
        <w:keepNext/>
        <w:numPr>
          <w:ilvl w:val="0"/>
          <w:numId w:val="6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nature and causes of the failure; and</w:t>
      </w:r>
    </w:p>
    <w:p w:rsidR="00085C12" w:rsidRPr="00F463BC" w:rsidRDefault="00085C12" w:rsidP="00085C12">
      <w:pPr>
        <w:pStyle w:val="Bulletsa"/>
        <w:keepNext/>
        <w:numPr>
          <w:ilvl w:val="0"/>
          <w:numId w:val="5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course of action being adopted to ensure compliance therewith.</w:t>
      </w:r>
    </w:p>
    <w:p w:rsidR="00085C12" w:rsidRPr="00F463BC" w:rsidRDefault="00085C12" w:rsidP="00085C12">
      <w:pPr>
        <w:pStyle w:val="Bulletsa"/>
        <w:spacing w:before="0" w:line="271" w:lineRule="auto"/>
        <w:ind w:left="567"/>
        <w:rPr>
          <w:rFonts w:ascii="Arial" w:hAnsi="Arial" w:cs="Arial"/>
          <w:sz w:val="22"/>
          <w:szCs w:val="22"/>
          <w:lang w:eastAsia="en-US"/>
        </w:rPr>
      </w:pPr>
      <w:r w:rsidRPr="00F463BC">
        <w:rPr>
          <w:rFonts w:ascii="Arial" w:hAnsi="Arial" w:cs="Arial"/>
          <w:sz w:val="22"/>
          <w:szCs w:val="22"/>
          <w:lang w:eastAsia="en-US"/>
        </w:rPr>
        <w:t>The Registrar will approve such course of action and monitor the scheme’s performance versus the approved requirements.</w:t>
      </w:r>
    </w:p>
    <w:p w:rsidR="00085C12" w:rsidRPr="00F463BC" w:rsidRDefault="00085C12" w:rsidP="00085C12">
      <w:pPr>
        <w:pStyle w:val="Heading41"/>
        <w:spacing w:line="271" w:lineRule="auto"/>
        <w:rPr>
          <w:rFonts w:ascii="Arial" w:hAnsi="Arial" w:cs="Arial"/>
          <w:sz w:val="22"/>
          <w:szCs w:val="22"/>
        </w:rPr>
      </w:pPr>
      <w:r w:rsidRPr="00F463BC">
        <w:rPr>
          <w:rFonts w:ascii="Arial" w:hAnsi="Arial" w:cs="Arial"/>
          <w:sz w:val="22"/>
          <w:szCs w:val="22"/>
        </w:rPr>
        <w:t>Exemptions in terms of section 8(h)</w:t>
      </w:r>
    </w:p>
    <w:p w:rsidR="00085C12" w:rsidRPr="00F463BC" w:rsidRDefault="00085C12" w:rsidP="00085C12">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Council may under exceptional circumstances grant exemption from the requirements of the Act, in the form of a directive.</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directive given by Council relating to the exemption request sets certain new compliance Rules that the scheme needs to comply with. These “new” compliance Rules need to be complied with as if they were the initial Rules as set by the Act. An auditor considers whether the scheme has understood the new compliance Rules and whether the scheme has complied with all the reporting requirements to the Registrar. (It must be noted that compliance with the amended Rules, as set by the Registrar, does not remove the obligation from either the scheme or an auditor to report on the primary non-compliance with the Act).</w:t>
      </w:r>
    </w:p>
    <w:p w:rsidR="00085C12" w:rsidRPr="00F463BC" w:rsidRDefault="00085C12" w:rsidP="00085C12">
      <w:pPr>
        <w:pStyle w:val="Heading41"/>
        <w:spacing w:line="271" w:lineRule="auto"/>
        <w:rPr>
          <w:rFonts w:ascii="Arial" w:hAnsi="Arial" w:cs="Arial"/>
          <w:sz w:val="22"/>
          <w:szCs w:val="22"/>
        </w:rPr>
      </w:pPr>
      <w:r w:rsidRPr="00F463BC">
        <w:rPr>
          <w:rFonts w:ascii="Arial" w:hAnsi="Arial" w:cs="Arial"/>
          <w:sz w:val="22"/>
          <w:szCs w:val="22"/>
        </w:rPr>
        <w:t>Allocation of income and expenses between different benefit options</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In terms of section 33 of the Act, each benefit option is required to be financially sound and self-supporting in terms of membership and financial performance. In terms of section 37(4)(d) of the Act, read together with section 33, accounting records for each benefit option should be maintained. These accounting records should be maintained in such a way that the net surplus/deficit for the year for each benefit option can be determined.</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Circular 4 of 2008</w:t>
      </w:r>
      <w:r w:rsidRPr="00F463BC">
        <w:rPr>
          <w:rStyle w:val="FootnoteReference"/>
          <w:rFonts w:ascii="Arial" w:hAnsi="Arial" w:cs="Arial"/>
          <w:sz w:val="22"/>
          <w:szCs w:val="22"/>
        </w:rPr>
        <w:footnoteReference w:id="27"/>
      </w:r>
      <w:r w:rsidRPr="00F463BC">
        <w:rPr>
          <w:rFonts w:ascii="Arial" w:hAnsi="Arial" w:cs="Arial"/>
          <w:sz w:val="22"/>
          <w:szCs w:val="22"/>
        </w:rPr>
        <w:t>, effected the requirement that the annual financial statements should include the results of the benefit options offered by a medical scheme indicating the financial performance thereof and the number of members enrolled per option in terms of the provisions of section 37(2)(e). These benefit option results (as part of the annual financial statements) are required to be audited.</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statement of comprehensive income is allocated to the benefit options in the manner described in the accounting policies. An auditor is also aware of the disclosure requirements of changes in the accounting policy.</w:t>
      </w:r>
    </w:p>
    <w:p w:rsidR="00085C12" w:rsidRPr="00F463BC" w:rsidRDefault="00085C12" w:rsidP="00085C12">
      <w:pPr>
        <w:pStyle w:val="Bulletnrs"/>
        <w:numPr>
          <w:ilvl w:val="0"/>
          <w:numId w:val="0"/>
        </w:numPr>
        <w:tabs>
          <w:tab w:val="left" w:pos="567"/>
        </w:tabs>
        <w:spacing w:before="0" w:line="271" w:lineRule="auto"/>
        <w:ind w:left="360" w:hanging="360"/>
        <w:rPr>
          <w:rFonts w:ascii="Arial" w:hAnsi="Arial" w:cs="Arial"/>
          <w:sz w:val="22"/>
          <w:szCs w:val="22"/>
        </w:rPr>
      </w:pPr>
    </w:p>
    <w:p w:rsidR="007D5253" w:rsidRPr="00F463BC" w:rsidRDefault="0065536E" w:rsidP="001B129E">
      <w:pPr>
        <w:pStyle w:val="Heading1"/>
        <w:keepNext/>
        <w:spacing w:line="271" w:lineRule="auto"/>
      </w:pPr>
      <w:bookmarkStart w:id="132" w:name="_Toc455582224"/>
      <w:r w:rsidRPr="00F463BC">
        <w:lastRenderedPageBreak/>
        <w:t>Auditor reporting</w:t>
      </w:r>
      <w:bookmarkEnd w:id="132"/>
    </w:p>
    <w:p w:rsidR="00165D74" w:rsidRPr="00F463BC" w:rsidRDefault="00165D74" w:rsidP="001B129E">
      <w:pPr>
        <w:pStyle w:val="Heading2"/>
        <w:keepNext/>
        <w:spacing w:before="0" w:line="271" w:lineRule="auto"/>
      </w:pPr>
      <w:bookmarkStart w:id="133" w:name="_Toc455582225"/>
      <w:r w:rsidRPr="00F463BC">
        <w:t>Schedule of reporting responsibilities</w:t>
      </w:r>
      <w:bookmarkEnd w:id="133"/>
    </w:p>
    <w:p w:rsidR="00CE18FE" w:rsidRPr="00F463BC" w:rsidRDefault="00165D74" w:rsidP="001B129E">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The schedule</w:t>
      </w:r>
      <w:r w:rsidR="00F10FEC" w:rsidRPr="00F463BC">
        <w:rPr>
          <w:rFonts w:ascii="Arial" w:hAnsi="Arial" w:cs="Arial"/>
          <w:sz w:val="22"/>
          <w:szCs w:val="22"/>
        </w:rPr>
        <w:t>s are</w:t>
      </w:r>
      <w:r w:rsidRPr="00F463BC">
        <w:rPr>
          <w:rFonts w:ascii="Arial" w:hAnsi="Arial" w:cs="Arial"/>
          <w:sz w:val="22"/>
          <w:szCs w:val="22"/>
        </w:rPr>
        <w:t xml:space="preserve"> a s</w:t>
      </w:r>
      <w:r w:rsidR="00D67615" w:rsidRPr="00F463BC">
        <w:rPr>
          <w:rFonts w:ascii="Arial" w:hAnsi="Arial" w:cs="Arial"/>
          <w:sz w:val="22"/>
          <w:szCs w:val="22"/>
        </w:rPr>
        <w:t xml:space="preserve">ummary of reporting </w:t>
      </w:r>
      <w:r w:rsidRPr="00F463BC">
        <w:rPr>
          <w:rFonts w:ascii="Arial" w:hAnsi="Arial" w:cs="Arial"/>
          <w:sz w:val="22"/>
          <w:szCs w:val="22"/>
        </w:rPr>
        <w:t xml:space="preserve">responsibilities of </w:t>
      </w:r>
      <w:r w:rsidR="00D67615" w:rsidRPr="00F463BC">
        <w:rPr>
          <w:rFonts w:ascii="Arial" w:hAnsi="Arial" w:cs="Arial"/>
          <w:sz w:val="22"/>
          <w:szCs w:val="22"/>
        </w:rPr>
        <w:t xml:space="preserve">an </w:t>
      </w:r>
      <w:r w:rsidRPr="00F463BC">
        <w:rPr>
          <w:rFonts w:ascii="Arial" w:hAnsi="Arial" w:cs="Arial"/>
          <w:sz w:val="22"/>
          <w:szCs w:val="22"/>
        </w:rPr>
        <w:t>auditor</w:t>
      </w:r>
      <w:r w:rsidR="00D67615" w:rsidRPr="00F463BC">
        <w:rPr>
          <w:rFonts w:ascii="Arial" w:hAnsi="Arial" w:cs="Arial"/>
          <w:sz w:val="22"/>
          <w:szCs w:val="22"/>
        </w:rPr>
        <w:t xml:space="preserve"> of a medical scheme and a board of trustees</w:t>
      </w:r>
      <w:r w:rsidRPr="00F463BC">
        <w:rPr>
          <w:rStyle w:val="FootnoteReference"/>
          <w:rFonts w:ascii="Arial" w:hAnsi="Arial" w:cs="Arial"/>
          <w:sz w:val="22"/>
          <w:szCs w:val="22"/>
        </w:rPr>
        <w:footnoteReference w:id="28"/>
      </w:r>
      <w:r w:rsidR="00D67615" w:rsidRPr="00F463BC">
        <w:rPr>
          <w:rFonts w:ascii="Arial" w:hAnsi="Arial" w:cs="Arial"/>
          <w:sz w:val="22"/>
          <w:szCs w:val="22"/>
        </w:rPr>
        <w:t>:</w:t>
      </w:r>
    </w:p>
    <w:p w:rsidR="00165D74" w:rsidRPr="00F463BC" w:rsidRDefault="00165D74" w:rsidP="001B129E">
      <w:pPr>
        <w:pStyle w:val="Bulletnrs"/>
        <w:keepNext/>
        <w:numPr>
          <w:ilvl w:val="0"/>
          <w:numId w:val="0"/>
        </w:numPr>
        <w:tabs>
          <w:tab w:val="left" w:pos="567"/>
        </w:tabs>
        <w:spacing w:before="0" w:line="271" w:lineRule="auto"/>
        <w:ind w:left="567"/>
        <w:rPr>
          <w:rFonts w:ascii="Arial" w:hAnsi="Arial" w:cs="Arial"/>
          <w:sz w:val="22"/>
          <w:szCs w:val="22"/>
          <w:highlight w:val="yellow"/>
        </w:rPr>
      </w:pPr>
    </w:p>
    <w:tbl>
      <w:tblPr>
        <w:tblStyle w:val="TableGrid"/>
        <w:tblW w:w="8364" w:type="dxa"/>
        <w:tblInd w:w="108" w:type="dxa"/>
        <w:tblLook w:val="04A0" w:firstRow="1" w:lastRow="0" w:firstColumn="1" w:lastColumn="0" w:noHBand="0" w:noVBand="1"/>
      </w:tblPr>
      <w:tblGrid>
        <w:gridCol w:w="1701"/>
        <w:gridCol w:w="3331"/>
        <w:gridCol w:w="3332"/>
      </w:tblGrid>
      <w:tr w:rsidR="00F10FEC" w:rsidRPr="00FF2B5F" w:rsidTr="00853F1B">
        <w:trPr>
          <w:cantSplit/>
          <w:tblHeader/>
        </w:trPr>
        <w:tc>
          <w:tcPr>
            <w:tcW w:w="8364" w:type="dxa"/>
            <w:gridSpan w:val="3"/>
            <w:shd w:val="clear" w:color="auto" w:fill="BFBFBF" w:themeFill="background1" w:themeFillShade="BF"/>
          </w:tcPr>
          <w:p w:rsidR="00F10FEC" w:rsidRPr="00F463BC" w:rsidRDefault="00F10FEC" w:rsidP="001B129E">
            <w:pPr>
              <w:pStyle w:val="Bulletnrs"/>
              <w:keepNext/>
              <w:numPr>
                <w:ilvl w:val="0"/>
                <w:numId w:val="0"/>
              </w:numPr>
              <w:tabs>
                <w:tab w:val="left" w:pos="567"/>
              </w:tabs>
              <w:spacing w:before="40" w:after="40"/>
              <w:jc w:val="center"/>
              <w:rPr>
                <w:rFonts w:ascii="Arial" w:hAnsi="Arial" w:cs="Arial"/>
                <w:b/>
                <w:sz w:val="22"/>
                <w:szCs w:val="22"/>
              </w:rPr>
            </w:pPr>
            <w:r w:rsidRPr="00F463BC">
              <w:rPr>
                <w:rFonts w:ascii="Arial" w:hAnsi="Arial" w:cs="Arial"/>
                <w:b/>
                <w:sz w:val="22"/>
                <w:szCs w:val="22"/>
              </w:rPr>
              <w:t>Board of trustees</w:t>
            </w:r>
          </w:p>
        </w:tc>
      </w:tr>
      <w:tr w:rsidR="00925D86" w:rsidRPr="00FF2B5F" w:rsidTr="00F05E7E">
        <w:trPr>
          <w:cantSplit/>
          <w:tblHeader/>
        </w:trPr>
        <w:tc>
          <w:tcPr>
            <w:tcW w:w="1701" w:type="dxa"/>
            <w:shd w:val="clear" w:color="auto" w:fill="F2F2F2" w:themeFill="background1" w:themeFillShade="F2"/>
          </w:tcPr>
          <w:p w:rsidR="00925D86" w:rsidRPr="00F463BC" w:rsidRDefault="00925D86" w:rsidP="00516A59">
            <w:pPr>
              <w:pStyle w:val="Bulletnrs"/>
              <w:numPr>
                <w:ilvl w:val="0"/>
                <w:numId w:val="0"/>
              </w:numPr>
              <w:tabs>
                <w:tab w:val="left" w:pos="567"/>
              </w:tabs>
              <w:spacing w:before="40" w:after="40"/>
              <w:jc w:val="center"/>
              <w:rPr>
                <w:rFonts w:ascii="Arial" w:hAnsi="Arial" w:cs="Arial"/>
                <w:b/>
                <w:sz w:val="20"/>
                <w:szCs w:val="20"/>
              </w:rPr>
            </w:pPr>
            <w:r w:rsidRPr="00F463BC">
              <w:rPr>
                <w:rFonts w:ascii="Arial" w:hAnsi="Arial" w:cs="Arial"/>
                <w:b/>
                <w:sz w:val="20"/>
                <w:szCs w:val="20"/>
              </w:rPr>
              <w:t xml:space="preserve">Requirement in </w:t>
            </w:r>
            <w:r w:rsidR="00F10FEC" w:rsidRPr="00F463BC">
              <w:rPr>
                <w:rFonts w:ascii="Arial" w:hAnsi="Arial" w:cs="Arial"/>
                <w:b/>
                <w:sz w:val="20"/>
                <w:szCs w:val="20"/>
              </w:rPr>
              <w:t>legislation</w:t>
            </w:r>
          </w:p>
        </w:tc>
        <w:tc>
          <w:tcPr>
            <w:tcW w:w="3331" w:type="dxa"/>
            <w:shd w:val="clear" w:color="auto" w:fill="F2F2F2" w:themeFill="background1" w:themeFillShade="F2"/>
          </w:tcPr>
          <w:p w:rsidR="00925D86" w:rsidRPr="00F463BC" w:rsidRDefault="00925D86" w:rsidP="00516A59">
            <w:pPr>
              <w:pStyle w:val="Bulletnrs"/>
              <w:numPr>
                <w:ilvl w:val="0"/>
                <w:numId w:val="0"/>
              </w:numPr>
              <w:tabs>
                <w:tab w:val="left" w:pos="567"/>
              </w:tabs>
              <w:spacing w:before="40" w:after="40"/>
              <w:jc w:val="center"/>
              <w:rPr>
                <w:rFonts w:ascii="Arial" w:hAnsi="Arial" w:cs="Arial"/>
                <w:b/>
                <w:sz w:val="20"/>
                <w:szCs w:val="20"/>
              </w:rPr>
            </w:pPr>
            <w:r w:rsidRPr="00F463BC">
              <w:rPr>
                <w:rFonts w:ascii="Arial" w:hAnsi="Arial" w:cs="Arial"/>
                <w:b/>
                <w:sz w:val="20"/>
                <w:szCs w:val="20"/>
              </w:rPr>
              <w:t>Preparing and disclosing:</w:t>
            </w:r>
          </w:p>
        </w:tc>
        <w:tc>
          <w:tcPr>
            <w:tcW w:w="3332" w:type="dxa"/>
            <w:shd w:val="clear" w:color="auto" w:fill="F2F2F2" w:themeFill="background1" w:themeFillShade="F2"/>
          </w:tcPr>
          <w:p w:rsidR="00925D86" w:rsidRPr="00F463BC" w:rsidRDefault="00925D86" w:rsidP="00925D86">
            <w:pPr>
              <w:pStyle w:val="Bulletnrs"/>
              <w:numPr>
                <w:ilvl w:val="0"/>
                <w:numId w:val="0"/>
              </w:numPr>
              <w:tabs>
                <w:tab w:val="left" w:pos="567"/>
              </w:tabs>
              <w:spacing w:before="40" w:after="40"/>
              <w:jc w:val="center"/>
              <w:rPr>
                <w:rFonts w:ascii="Arial" w:hAnsi="Arial" w:cs="Arial"/>
                <w:b/>
                <w:sz w:val="20"/>
                <w:szCs w:val="20"/>
              </w:rPr>
            </w:pPr>
            <w:r w:rsidRPr="00F463BC">
              <w:rPr>
                <w:rFonts w:ascii="Arial" w:hAnsi="Arial" w:cs="Arial"/>
                <w:b/>
                <w:sz w:val="20"/>
                <w:szCs w:val="20"/>
              </w:rPr>
              <w:t>Section in guide below</w:t>
            </w:r>
          </w:p>
        </w:tc>
      </w:tr>
      <w:tr w:rsidR="00925D86" w:rsidRPr="00FF2B5F" w:rsidTr="00F05E7E">
        <w:trPr>
          <w:cantSplit/>
        </w:trPr>
        <w:tc>
          <w:tcPr>
            <w:tcW w:w="170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37(2)</w:t>
            </w:r>
            <w:r w:rsidR="00B105DD" w:rsidRPr="00F463BC">
              <w:rPr>
                <w:rFonts w:ascii="Arial" w:hAnsi="Arial" w:cs="Arial"/>
                <w:sz w:val="20"/>
                <w:szCs w:val="20"/>
              </w:rPr>
              <w:t xml:space="preserve"> </w:t>
            </w:r>
            <w:r w:rsidR="00732B5D" w:rsidRPr="00F463BC">
              <w:rPr>
                <w:rFonts w:ascii="Arial" w:hAnsi="Arial" w:cs="Arial"/>
                <w:sz w:val="20"/>
                <w:szCs w:val="20"/>
              </w:rPr>
              <w:t>and</w:t>
            </w:r>
            <w:r w:rsidR="00B105DD" w:rsidRPr="00F463BC">
              <w:rPr>
                <w:rFonts w:ascii="Arial" w:hAnsi="Arial" w:cs="Arial"/>
                <w:sz w:val="20"/>
                <w:szCs w:val="20"/>
              </w:rPr>
              <w:t xml:space="preserve"> Section 37(4)(d)</w:t>
            </w:r>
            <w:r w:rsidR="00732B5D" w:rsidRPr="00F463BC">
              <w:rPr>
                <w:rFonts w:ascii="Arial" w:hAnsi="Arial" w:cs="Arial"/>
                <w:sz w:val="20"/>
                <w:szCs w:val="20"/>
              </w:rPr>
              <w:t>,</w:t>
            </w:r>
            <w:r w:rsidR="00B105DD" w:rsidRPr="00F463BC">
              <w:rPr>
                <w:rFonts w:ascii="Arial" w:hAnsi="Arial" w:cs="Arial"/>
                <w:sz w:val="20"/>
                <w:szCs w:val="20"/>
              </w:rPr>
              <w:t xml:space="preserve"> read together with Circular 4 of 2008</w:t>
            </w:r>
          </w:p>
        </w:tc>
        <w:tc>
          <w:tcPr>
            <w:tcW w:w="3331" w:type="dxa"/>
          </w:tcPr>
          <w:p w:rsidR="00925D86" w:rsidRPr="00F463BC" w:rsidRDefault="006A1307" w:rsidP="006A1307">
            <w:pPr>
              <w:pStyle w:val="Bulletnrs"/>
              <w:numPr>
                <w:ilvl w:val="0"/>
                <w:numId w:val="0"/>
              </w:numPr>
              <w:tabs>
                <w:tab w:val="left" w:pos="567"/>
              </w:tabs>
              <w:spacing w:before="40" w:after="40"/>
              <w:jc w:val="left"/>
              <w:rPr>
                <w:rFonts w:ascii="Arial" w:hAnsi="Arial" w:cs="Arial"/>
                <w:sz w:val="20"/>
                <w:szCs w:val="20"/>
              </w:rPr>
            </w:pPr>
            <w:r>
              <w:rPr>
                <w:rFonts w:ascii="Arial" w:hAnsi="Arial" w:cs="Arial"/>
                <w:sz w:val="20"/>
                <w:szCs w:val="20"/>
              </w:rPr>
              <w:t>F</w:t>
            </w:r>
            <w:r w:rsidR="00925D86" w:rsidRPr="00F463BC">
              <w:rPr>
                <w:rFonts w:ascii="Arial" w:hAnsi="Arial" w:cs="Arial"/>
                <w:sz w:val="20"/>
                <w:szCs w:val="20"/>
              </w:rPr>
              <w:t>inancial statements</w:t>
            </w:r>
            <w:r w:rsidR="00B105DD" w:rsidRPr="00F463BC">
              <w:rPr>
                <w:rFonts w:ascii="Arial" w:hAnsi="Arial" w:cs="Arial"/>
                <w:sz w:val="20"/>
                <w:szCs w:val="20"/>
              </w:rPr>
              <w:t>, which include the benefit option results</w:t>
            </w:r>
          </w:p>
        </w:tc>
        <w:tc>
          <w:tcPr>
            <w:tcW w:w="3332" w:type="dxa"/>
          </w:tcPr>
          <w:p w:rsidR="00925D86" w:rsidRPr="00F463BC" w:rsidRDefault="00C86F03" w:rsidP="00AB67B3">
            <w:pPr>
              <w:pStyle w:val="Bulletnrs"/>
              <w:numPr>
                <w:ilvl w:val="0"/>
                <w:numId w:val="0"/>
              </w:numPr>
              <w:tabs>
                <w:tab w:val="left" w:pos="567"/>
              </w:tabs>
              <w:spacing w:before="40" w:after="40"/>
              <w:jc w:val="left"/>
              <w:rPr>
                <w:rFonts w:ascii="Arial" w:hAnsi="Arial" w:cs="Arial"/>
                <w:sz w:val="20"/>
                <w:szCs w:val="20"/>
              </w:rPr>
            </w:pPr>
            <w:hyperlink w:anchor="_Preparing_of_the" w:history="1">
              <w:r w:rsidR="00AB67B3" w:rsidRPr="00F463BC">
                <w:rPr>
                  <w:rStyle w:val="Hyperlink"/>
                  <w:rFonts w:ascii="Arial" w:hAnsi="Arial" w:cs="Arial"/>
                  <w:sz w:val="20"/>
                  <w:szCs w:val="20"/>
                </w:rPr>
                <w:t xml:space="preserve">Preparing </w:t>
              </w:r>
              <w:r w:rsidR="00853F1B" w:rsidRPr="00F463BC">
                <w:rPr>
                  <w:rStyle w:val="Hyperlink"/>
                  <w:rFonts w:ascii="Arial" w:hAnsi="Arial" w:cs="Arial"/>
                  <w:sz w:val="20"/>
                  <w:szCs w:val="20"/>
                </w:rPr>
                <w:t xml:space="preserve">of </w:t>
              </w:r>
              <w:r w:rsidR="00AB67B3" w:rsidRPr="00F463BC">
                <w:rPr>
                  <w:rStyle w:val="Hyperlink"/>
                  <w:rFonts w:ascii="Arial" w:hAnsi="Arial" w:cs="Arial"/>
                  <w:sz w:val="20"/>
                  <w:szCs w:val="20"/>
                </w:rPr>
                <w:t>the a</w:t>
              </w:r>
              <w:r w:rsidR="00925D86" w:rsidRPr="00F463BC">
                <w:rPr>
                  <w:rStyle w:val="Hyperlink"/>
                  <w:rFonts w:ascii="Arial" w:hAnsi="Arial" w:cs="Arial"/>
                  <w:sz w:val="20"/>
                  <w:szCs w:val="20"/>
                </w:rPr>
                <w:t>nnual financial statements</w:t>
              </w:r>
              <w:r w:rsidR="00853F1B" w:rsidRPr="00F463BC">
                <w:rPr>
                  <w:rStyle w:val="Hyperlink"/>
                  <w:rFonts w:ascii="Arial" w:hAnsi="Arial" w:cs="Arial"/>
                  <w:sz w:val="20"/>
                  <w:szCs w:val="20"/>
                </w:rPr>
                <w:t xml:space="preserve"> by the board of trustees</w:t>
              </w:r>
            </w:hyperlink>
          </w:p>
        </w:tc>
      </w:tr>
      <w:tr w:rsidR="00B105DD" w:rsidRPr="00FF2B5F" w:rsidTr="00F05E7E">
        <w:trPr>
          <w:cantSplit/>
        </w:trPr>
        <w:tc>
          <w:tcPr>
            <w:tcW w:w="1701" w:type="dxa"/>
          </w:tcPr>
          <w:p w:rsidR="00B105DD" w:rsidRPr="00F463BC" w:rsidRDefault="00B105DD"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41 of 2012</w:t>
            </w:r>
          </w:p>
        </w:tc>
        <w:tc>
          <w:tcPr>
            <w:tcW w:w="3331" w:type="dxa"/>
          </w:tcPr>
          <w:p w:rsidR="00B105DD" w:rsidRPr="00F463BC" w:rsidRDefault="00B105DD"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Prescribed minimum disclosure requirements relating to PMSA trust investments and trust liabilities</w:t>
            </w:r>
          </w:p>
        </w:tc>
        <w:tc>
          <w:tcPr>
            <w:tcW w:w="3332" w:type="dxa"/>
          </w:tcPr>
          <w:p w:rsidR="00B105DD" w:rsidRPr="00944A95" w:rsidRDefault="00C86F03" w:rsidP="00AB67B3">
            <w:pPr>
              <w:pStyle w:val="Bulletnrs"/>
              <w:numPr>
                <w:ilvl w:val="0"/>
                <w:numId w:val="0"/>
              </w:numPr>
              <w:tabs>
                <w:tab w:val="left" w:pos="567"/>
              </w:tabs>
              <w:spacing w:before="40" w:after="40"/>
              <w:jc w:val="left"/>
              <w:rPr>
                <w:rFonts w:ascii="Arial" w:hAnsi="Arial" w:cs="Arial"/>
              </w:rPr>
            </w:pPr>
            <w:hyperlink w:anchor="_Preparing_of_the" w:history="1">
              <w:r w:rsidR="00B105DD" w:rsidRPr="00F463BC">
                <w:rPr>
                  <w:rStyle w:val="Hyperlink"/>
                  <w:rFonts w:ascii="Arial" w:hAnsi="Arial" w:cs="Arial"/>
                  <w:sz w:val="20"/>
                  <w:szCs w:val="20"/>
                </w:rPr>
                <w:t>Preparing of the annual financial statements by the board of trustees</w:t>
              </w:r>
            </w:hyperlink>
          </w:p>
        </w:tc>
      </w:tr>
      <w:tr w:rsidR="00925D86" w:rsidRPr="00FF2B5F" w:rsidTr="00F05E7E">
        <w:trPr>
          <w:cantSplit/>
        </w:trPr>
        <w:tc>
          <w:tcPr>
            <w:tcW w:w="170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37(5)</w:t>
            </w:r>
          </w:p>
        </w:tc>
        <w:tc>
          <w:tcPr>
            <w:tcW w:w="333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 of the board of trustees</w:t>
            </w:r>
          </w:p>
        </w:tc>
        <w:tc>
          <w:tcPr>
            <w:tcW w:w="3332" w:type="dxa"/>
          </w:tcPr>
          <w:p w:rsidR="00925D86" w:rsidRPr="00F463BC" w:rsidRDefault="00C86F03" w:rsidP="00853F1B">
            <w:pPr>
              <w:pStyle w:val="Bulletnrs"/>
              <w:numPr>
                <w:ilvl w:val="0"/>
                <w:numId w:val="0"/>
              </w:numPr>
              <w:tabs>
                <w:tab w:val="left" w:pos="567"/>
              </w:tabs>
              <w:spacing w:before="40" w:after="40"/>
              <w:jc w:val="left"/>
              <w:rPr>
                <w:rFonts w:ascii="Arial" w:hAnsi="Arial" w:cs="Arial"/>
                <w:sz w:val="20"/>
                <w:szCs w:val="20"/>
              </w:rPr>
            </w:pPr>
            <w:hyperlink w:anchor="_Report_of_the_1" w:history="1">
              <w:r w:rsidR="00925D86" w:rsidRPr="00F463BC">
                <w:rPr>
                  <w:rStyle w:val="Hyperlink"/>
                  <w:rFonts w:ascii="Arial" w:hAnsi="Arial" w:cs="Arial"/>
                  <w:sz w:val="20"/>
                  <w:szCs w:val="20"/>
                </w:rPr>
                <w:t>Report of the board of trustees</w:t>
              </w:r>
            </w:hyperlink>
          </w:p>
        </w:tc>
      </w:tr>
      <w:tr w:rsidR="00925D86" w:rsidRPr="00FF2B5F" w:rsidTr="00F05E7E">
        <w:trPr>
          <w:cantSplit/>
        </w:trPr>
        <w:tc>
          <w:tcPr>
            <w:tcW w:w="170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11 of 2006</w:t>
            </w:r>
          </w:p>
        </w:tc>
        <w:tc>
          <w:tcPr>
            <w:tcW w:w="3331" w:type="dxa"/>
          </w:tcPr>
          <w:p w:rsidR="00925D86" w:rsidRPr="00F463BC" w:rsidRDefault="00925D86" w:rsidP="00D3441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Non-compliance in the notes to the financial statements</w:t>
            </w:r>
            <w:r w:rsidR="0087682D" w:rsidRPr="00F463BC">
              <w:rPr>
                <w:rFonts w:ascii="Arial" w:hAnsi="Arial" w:cs="Arial"/>
                <w:sz w:val="20"/>
                <w:szCs w:val="20"/>
              </w:rPr>
              <w:t xml:space="preserve"> and in the report of the board of trustees</w:t>
            </w:r>
          </w:p>
        </w:tc>
        <w:tc>
          <w:tcPr>
            <w:tcW w:w="3332" w:type="dxa"/>
          </w:tcPr>
          <w:p w:rsidR="00925D86" w:rsidRPr="00F463BC" w:rsidRDefault="00C86F03" w:rsidP="00217267">
            <w:pPr>
              <w:pStyle w:val="Bulletnrs"/>
              <w:numPr>
                <w:ilvl w:val="0"/>
                <w:numId w:val="0"/>
              </w:numPr>
              <w:tabs>
                <w:tab w:val="left" w:pos="567"/>
              </w:tabs>
              <w:spacing w:before="40" w:after="40"/>
              <w:jc w:val="left"/>
              <w:rPr>
                <w:rFonts w:ascii="Arial" w:hAnsi="Arial" w:cs="Arial"/>
                <w:sz w:val="20"/>
                <w:szCs w:val="20"/>
              </w:rPr>
            </w:pPr>
            <w:hyperlink w:anchor="_Report_on_Other" w:history="1">
              <w:r w:rsidR="00925D86" w:rsidRPr="00F463BC">
                <w:rPr>
                  <w:rStyle w:val="Hyperlink"/>
                  <w:rFonts w:ascii="Arial" w:hAnsi="Arial" w:cs="Arial"/>
                  <w:sz w:val="20"/>
                  <w:szCs w:val="20"/>
                </w:rPr>
                <w:t>Reporting on non-compliance by both an auditor and a board of trustees of a medical scheme</w:t>
              </w:r>
              <w:r w:rsidR="00AB67B3" w:rsidRPr="00F463BC">
                <w:rPr>
                  <w:rStyle w:val="Hyperlink"/>
                  <w:rFonts w:ascii="Arial" w:hAnsi="Arial" w:cs="Arial"/>
                  <w:sz w:val="20"/>
                  <w:szCs w:val="20"/>
                </w:rPr>
                <w:t>: Report on Other Legal and Regulatory Requirements</w:t>
              </w:r>
            </w:hyperlink>
          </w:p>
        </w:tc>
      </w:tr>
    </w:tbl>
    <w:p w:rsidR="00925D86" w:rsidRPr="00F463BC" w:rsidRDefault="00925D86">
      <w:pPr>
        <w:rPr>
          <w:rFonts w:ascii="Arial" w:hAnsi="Arial" w:cs="Arial"/>
        </w:rPr>
      </w:pPr>
    </w:p>
    <w:tbl>
      <w:tblPr>
        <w:tblStyle w:val="TableGrid"/>
        <w:tblW w:w="0" w:type="auto"/>
        <w:tblInd w:w="108" w:type="dxa"/>
        <w:tblLook w:val="04A0" w:firstRow="1" w:lastRow="0" w:firstColumn="1" w:lastColumn="0" w:noHBand="0" w:noVBand="1"/>
      </w:tblPr>
      <w:tblGrid>
        <w:gridCol w:w="1528"/>
        <w:gridCol w:w="1977"/>
        <w:gridCol w:w="1645"/>
        <w:gridCol w:w="2084"/>
        <w:gridCol w:w="1189"/>
      </w:tblGrid>
      <w:tr w:rsidR="003D7DC6" w:rsidRPr="00FF2B5F" w:rsidTr="00282506">
        <w:tc>
          <w:tcPr>
            <w:tcW w:w="8423" w:type="dxa"/>
            <w:gridSpan w:val="5"/>
            <w:shd w:val="clear" w:color="auto" w:fill="BFBFBF" w:themeFill="background1" w:themeFillShade="BF"/>
          </w:tcPr>
          <w:p w:rsidR="003D7DC6" w:rsidRPr="00F463BC" w:rsidRDefault="003D7DC6" w:rsidP="00F10FEC">
            <w:pPr>
              <w:pStyle w:val="Bulletnrs"/>
              <w:keepNext/>
              <w:numPr>
                <w:ilvl w:val="0"/>
                <w:numId w:val="0"/>
              </w:numPr>
              <w:tabs>
                <w:tab w:val="left" w:pos="567"/>
              </w:tabs>
              <w:spacing w:before="40" w:after="40"/>
              <w:jc w:val="center"/>
              <w:rPr>
                <w:rFonts w:ascii="Arial" w:hAnsi="Arial" w:cs="Arial"/>
                <w:b/>
                <w:sz w:val="22"/>
                <w:szCs w:val="22"/>
              </w:rPr>
            </w:pPr>
            <w:r w:rsidRPr="00F463BC">
              <w:rPr>
                <w:rFonts w:ascii="Arial" w:hAnsi="Arial" w:cs="Arial"/>
                <w:b/>
                <w:sz w:val="22"/>
                <w:szCs w:val="22"/>
              </w:rPr>
              <w:lastRenderedPageBreak/>
              <w:t>Auditor</w:t>
            </w:r>
          </w:p>
        </w:tc>
      </w:tr>
      <w:tr w:rsidR="00AE7060" w:rsidRPr="00FF2B5F" w:rsidTr="006A5F64">
        <w:tc>
          <w:tcPr>
            <w:tcW w:w="1528" w:type="dxa"/>
            <w:shd w:val="clear" w:color="auto" w:fill="F2F2F2" w:themeFill="background1" w:themeFillShade="F2"/>
          </w:tcPr>
          <w:p w:rsidR="00196F4C" w:rsidRPr="00E753ED" w:rsidRDefault="00196F4C" w:rsidP="00F10FE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Requirement in legislation</w:t>
            </w:r>
          </w:p>
        </w:tc>
        <w:tc>
          <w:tcPr>
            <w:tcW w:w="1977" w:type="dxa"/>
            <w:shd w:val="clear" w:color="auto" w:fill="F2F2F2" w:themeFill="background1" w:themeFillShade="F2"/>
          </w:tcPr>
          <w:p w:rsidR="00196F4C" w:rsidRPr="00E753ED" w:rsidRDefault="00196F4C" w:rsidP="00F10FE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Reporting on:</w:t>
            </w:r>
          </w:p>
        </w:tc>
        <w:tc>
          <w:tcPr>
            <w:tcW w:w="1645" w:type="dxa"/>
            <w:shd w:val="clear" w:color="auto" w:fill="F2F2F2" w:themeFill="background1" w:themeFillShade="F2"/>
          </w:tcPr>
          <w:p w:rsidR="00196F4C" w:rsidRPr="00E753ED" w:rsidRDefault="00196F4C" w:rsidP="00F10FE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Type of audit</w:t>
            </w:r>
            <w:r w:rsidR="003D7DC6" w:rsidRPr="00E753ED">
              <w:rPr>
                <w:rFonts w:ascii="Arial" w:hAnsi="Arial" w:cs="Arial"/>
                <w:b/>
                <w:sz w:val="20"/>
                <w:szCs w:val="20"/>
              </w:rPr>
              <w:t>or</w:t>
            </w:r>
            <w:r w:rsidRPr="00E753ED">
              <w:rPr>
                <w:rFonts w:ascii="Arial" w:hAnsi="Arial" w:cs="Arial"/>
                <w:b/>
                <w:sz w:val="20"/>
                <w:szCs w:val="20"/>
              </w:rPr>
              <w:t xml:space="preserve"> report</w:t>
            </w:r>
          </w:p>
        </w:tc>
        <w:tc>
          <w:tcPr>
            <w:tcW w:w="2084" w:type="dxa"/>
            <w:shd w:val="clear" w:color="auto" w:fill="F2F2F2" w:themeFill="background1" w:themeFillShade="F2"/>
          </w:tcPr>
          <w:p w:rsidR="00196F4C" w:rsidRPr="00E753ED" w:rsidRDefault="005E1A94" w:rsidP="00F10FEC">
            <w:pPr>
              <w:pStyle w:val="Bulletnrs"/>
              <w:keepNext/>
              <w:numPr>
                <w:ilvl w:val="0"/>
                <w:numId w:val="0"/>
              </w:numPr>
              <w:tabs>
                <w:tab w:val="left" w:pos="567"/>
              </w:tabs>
              <w:spacing w:before="40" w:after="40"/>
              <w:jc w:val="center"/>
              <w:rPr>
                <w:rFonts w:ascii="Arial" w:hAnsi="Arial" w:cs="Arial"/>
                <w:sz w:val="20"/>
                <w:szCs w:val="20"/>
              </w:rPr>
            </w:pPr>
            <w:r w:rsidRPr="00E753ED">
              <w:rPr>
                <w:rFonts w:ascii="Arial" w:hAnsi="Arial" w:cs="Arial"/>
                <w:b/>
                <w:sz w:val="20"/>
                <w:szCs w:val="20"/>
              </w:rPr>
              <w:t>Section in guide below</w:t>
            </w:r>
          </w:p>
        </w:tc>
        <w:tc>
          <w:tcPr>
            <w:tcW w:w="1189" w:type="dxa"/>
            <w:shd w:val="clear" w:color="auto" w:fill="F2F2F2" w:themeFill="background1" w:themeFillShade="F2"/>
          </w:tcPr>
          <w:p w:rsidR="00196F4C" w:rsidRPr="00F463BC" w:rsidRDefault="00196F4C" w:rsidP="00196F4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Appendix</w:t>
            </w:r>
          </w:p>
        </w:tc>
      </w:tr>
      <w:tr w:rsidR="00AE7060" w:rsidRPr="00FF2B5F" w:rsidTr="006A5F64">
        <w:trPr>
          <w:cantSplit/>
        </w:trPr>
        <w:tc>
          <w:tcPr>
            <w:tcW w:w="1528" w:type="dxa"/>
          </w:tcPr>
          <w:p w:rsidR="00196F4C" w:rsidRPr="00F463BC" w:rsidRDefault="00196F4C" w:rsidP="00F10FEC">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37(2)</w:t>
            </w:r>
          </w:p>
        </w:tc>
        <w:tc>
          <w:tcPr>
            <w:tcW w:w="1977" w:type="dxa"/>
          </w:tcPr>
          <w:p w:rsidR="00196F4C" w:rsidRPr="00F463BC" w:rsidRDefault="00E17620" w:rsidP="00D34417">
            <w:pPr>
              <w:pStyle w:val="Bulletnrs"/>
              <w:keepNext/>
              <w:numPr>
                <w:ilvl w:val="0"/>
                <w:numId w:val="0"/>
              </w:numPr>
              <w:tabs>
                <w:tab w:val="left" w:pos="567"/>
              </w:tabs>
              <w:spacing w:before="40" w:after="40"/>
              <w:jc w:val="left"/>
              <w:rPr>
                <w:rFonts w:ascii="Arial" w:hAnsi="Arial" w:cs="Arial"/>
                <w:sz w:val="20"/>
                <w:szCs w:val="20"/>
              </w:rPr>
            </w:pPr>
            <w:r>
              <w:rPr>
                <w:rFonts w:ascii="Arial" w:hAnsi="Arial" w:cs="Arial"/>
                <w:sz w:val="20"/>
                <w:szCs w:val="20"/>
              </w:rPr>
              <w:t>Annual f</w:t>
            </w:r>
            <w:r w:rsidR="00196F4C" w:rsidRPr="00F463BC">
              <w:rPr>
                <w:rFonts w:ascii="Arial" w:hAnsi="Arial" w:cs="Arial"/>
                <w:sz w:val="20"/>
                <w:szCs w:val="20"/>
              </w:rPr>
              <w:t>inancial statements</w:t>
            </w:r>
          </w:p>
        </w:tc>
        <w:tc>
          <w:tcPr>
            <w:tcW w:w="1645" w:type="dxa"/>
          </w:tcPr>
          <w:p w:rsidR="00196F4C" w:rsidRPr="00F463BC" w:rsidRDefault="00196F4C" w:rsidP="006540C4">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 700</w:t>
            </w:r>
          </w:p>
        </w:tc>
        <w:tc>
          <w:tcPr>
            <w:tcW w:w="2084" w:type="dxa"/>
          </w:tcPr>
          <w:p w:rsidR="00196F4C" w:rsidRPr="00F463BC" w:rsidRDefault="00C86F03" w:rsidP="00F10FEC">
            <w:pPr>
              <w:pStyle w:val="Bulletnrs"/>
              <w:keepNext/>
              <w:numPr>
                <w:ilvl w:val="0"/>
                <w:numId w:val="0"/>
              </w:numPr>
              <w:tabs>
                <w:tab w:val="left" w:pos="567"/>
              </w:tabs>
              <w:spacing w:before="40" w:after="40"/>
              <w:jc w:val="left"/>
              <w:rPr>
                <w:rFonts w:ascii="Arial" w:hAnsi="Arial" w:cs="Arial"/>
                <w:sz w:val="20"/>
                <w:szCs w:val="20"/>
              </w:rPr>
            </w:pPr>
            <w:hyperlink w:anchor="_Reporting_on_the_1" w:history="1">
              <w:r w:rsidR="00196F4C" w:rsidRPr="00F463BC">
                <w:rPr>
                  <w:rStyle w:val="Hyperlink"/>
                  <w:rFonts w:ascii="Arial" w:hAnsi="Arial" w:cs="Arial"/>
                  <w:sz w:val="20"/>
                  <w:szCs w:val="20"/>
                </w:rPr>
                <w:t>Reporting on the annual financial statements</w:t>
              </w:r>
            </w:hyperlink>
          </w:p>
        </w:tc>
        <w:tc>
          <w:tcPr>
            <w:tcW w:w="1189" w:type="dxa"/>
          </w:tcPr>
          <w:p w:rsidR="00196F4C" w:rsidRPr="00F463BC" w:rsidRDefault="00C86F03" w:rsidP="00F10FEC">
            <w:pPr>
              <w:pStyle w:val="Bulletnrs"/>
              <w:keepNext/>
              <w:numPr>
                <w:ilvl w:val="0"/>
                <w:numId w:val="0"/>
              </w:numPr>
              <w:tabs>
                <w:tab w:val="left" w:pos="567"/>
              </w:tabs>
              <w:spacing w:before="40" w:after="40"/>
              <w:jc w:val="left"/>
              <w:rPr>
                <w:rFonts w:ascii="Arial" w:hAnsi="Arial" w:cs="Arial"/>
                <w:sz w:val="20"/>
                <w:szCs w:val="20"/>
              </w:rPr>
            </w:pPr>
            <w:hyperlink w:anchor="_Appendix_5_–_1" w:history="1">
              <w:r w:rsidR="006540C4" w:rsidRPr="00F463BC">
                <w:rPr>
                  <w:rStyle w:val="Hyperlink"/>
                  <w:rFonts w:ascii="Arial" w:hAnsi="Arial" w:cs="Arial"/>
                  <w:sz w:val="20"/>
                  <w:szCs w:val="20"/>
                </w:rPr>
                <w:t>5</w:t>
              </w:r>
            </w:hyperlink>
          </w:p>
        </w:tc>
      </w:tr>
      <w:tr w:rsidR="00372B2C" w:rsidRPr="00FF2B5F" w:rsidTr="006A5F64">
        <w:tc>
          <w:tcPr>
            <w:tcW w:w="1528" w:type="dxa"/>
          </w:tcPr>
          <w:p w:rsidR="00372B2C" w:rsidRPr="00F463BC" w:rsidRDefault="004C7F55" w:rsidP="004C7F55">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Sections 36(8), 37(3) read in conjunction with 37(2)</w:t>
            </w:r>
          </w:p>
        </w:tc>
        <w:tc>
          <w:tcPr>
            <w:tcW w:w="1977" w:type="dxa"/>
          </w:tcPr>
          <w:p w:rsidR="00372B2C" w:rsidRPr="00F463BC" w:rsidRDefault="00F05E7E" w:rsidP="00AE1EA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P</w:t>
            </w:r>
            <w:r w:rsidR="004C7F55" w:rsidRPr="00F463BC">
              <w:rPr>
                <w:rFonts w:ascii="Arial" w:hAnsi="Arial" w:cs="Arial"/>
                <w:sz w:val="20"/>
                <w:szCs w:val="20"/>
              </w:rPr>
              <w:t xml:space="preserve">arts 4 to 10 of the </w:t>
            </w:r>
            <w:r w:rsidR="00AE1EAB">
              <w:rPr>
                <w:rFonts w:ascii="Arial" w:hAnsi="Arial" w:cs="Arial"/>
                <w:sz w:val="20"/>
                <w:szCs w:val="20"/>
              </w:rPr>
              <w:t>annual statutory return</w:t>
            </w:r>
          </w:p>
        </w:tc>
        <w:tc>
          <w:tcPr>
            <w:tcW w:w="1645" w:type="dxa"/>
          </w:tcPr>
          <w:p w:rsidR="00372B2C" w:rsidRPr="00F463BC" w:rsidRDefault="004C7F55" w:rsidP="004C7F55">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 800</w:t>
            </w:r>
            <w:r w:rsidR="00684013" w:rsidRPr="00F463BC">
              <w:rPr>
                <w:rFonts w:ascii="Arial" w:hAnsi="Arial" w:cs="Arial"/>
                <w:sz w:val="20"/>
                <w:szCs w:val="20"/>
              </w:rPr>
              <w:t xml:space="preserve"> and ISRE 2410</w:t>
            </w:r>
          </w:p>
        </w:tc>
        <w:tc>
          <w:tcPr>
            <w:tcW w:w="2084" w:type="dxa"/>
          </w:tcPr>
          <w:p w:rsidR="00372B2C" w:rsidRPr="00F463BC" w:rsidRDefault="00C86F03" w:rsidP="004C7F55">
            <w:pPr>
              <w:pStyle w:val="Bulletnrs"/>
              <w:keepNext/>
              <w:numPr>
                <w:ilvl w:val="0"/>
                <w:numId w:val="0"/>
              </w:numPr>
              <w:tabs>
                <w:tab w:val="left" w:pos="567"/>
              </w:tabs>
              <w:spacing w:before="40" w:after="40"/>
              <w:jc w:val="left"/>
              <w:rPr>
                <w:rFonts w:ascii="Arial" w:hAnsi="Arial" w:cs="Arial"/>
                <w:sz w:val="20"/>
                <w:szCs w:val="20"/>
              </w:rPr>
            </w:pPr>
            <w:hyperlink w:anchor="_Reporting_on_Parts" w:history="1">
              <w:r w:rsidR="004C7F55" w:rsidRPr="00F463BC">
                <w:rPr>
                  <w:rStyle w:val="Hyperlink"/>
                  <w:rFonts w:ascii="Arial" w:hAnsi="Arial" w:cs="Arial"/>
                  <w:sz w:val="20"/>
                  <w:szCs w:val="20"/>
                </w:rPr>
                <w:t>Reporting on Parts 4 to 10 of the annual statutory return</w:t>
              </w:r>
            </w:hyperlink>
          </w:p>
        </w:tc>
        <w:tc>
          <w:tcPr>
            <w:tcW w:w="1189" w:type="dxa"/>
          </w:tcPr>
          <w:p w:rsidR="00372B2C" w:rsidRPr="00F463BC" w:rsidRDefault="00C86F03" w:rsidP="004C7F55">
            <w:pPr>
              <w:pStyle w:val="Bulletnrs"/>
              <w:keepNext/>
              <w:numPr>
                <w:ilvl w:val="0"/>
                <w:numId w:val="0"/>
              </w:numPr>
              <w:tabs>
                <w:tab w:val="left" w:pos="567"/>
              </w:tabs>
              <w:spacing w:before="40" w:after="40"/>
              <w:jc w:val="left"/>
              <w:rPr>
                <w:rFonts w:ascii="Arial" w:hAnsi="Arial" w:cs="Arial"/>
                <w:sz w:val="20"/>
                <w:szCs w:val="20"/>
              </w:rPr>
            </w:pPr>
            <w:hyperlink w:anchor="_Appendix_6_–_1" w:history="1">
              <w:r w:rsidR="004C7F55" w:rsidRPr="00F463BC">
                <w:rPr>
                  <w:rStyle w:val="Hyperlink"/>
                  <w:rFonts w:ascii="Arial" w:hAnsi="Arial" w:cs="Arial"/>
                  <w:sz w:val="20"/>
                  <w:szCs w:val="20"/>
                </w:rPr>
                <w:t>6</w:t>
              </w:r>
            </w:hyperlink>
          </w:p>
        </w:tc>
      </w:tr>
      <w:tr w:rsidR="00F05E7E" w:rsidRPr="00FF2B5F" w:rsidTr="001B129E">
        <w:trPr>
          <w:cantSplit/>
        </w:trPr>
        <w:tc>
          <w:tcPr>
            <w:tcW w:w="1528" w:type="dxa"/>
          </w:tcPr>
          <w:p w:rsidR="00372B2C" w:rsidRPr="00F463BC" w:rsidRDefault="00372B2C"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Sections 36(5)</w:t>
            </w:r>
            <w:r w:rsidR="00B105DD" w:rsidRPr="00F463BC">
              <w:rPr>
                <w:rFonts w:ascii="Arial" w:hAnsi="Arial" w:cs="Arial"/>
                <w:sz w:val="20"/>
                <w:szCs w:val="20"/>
              </w:rPr>
              <w:t>(b)</w:t>
            </w:r>
            <w:r w:rsidRPr="00F463BC">
              <w:rPr>
                <w:rFonts w:ascii="Arial" w:hAnsi="Arial" w:cs="Arial"/>
                <w:sz w:val="20"/>
                <w:szCs w:val="20"/>
              </w:rPr>
              <w:t xml:space="preserve"> and 36(8)</w:t>
            </w:r>
          </w:p>
        </w:tc>
        <w:tc>
          <w:tcPr>
            <w:tcW w:w="1977" w:type="dxa"/>
          </w:tcPr>
          <w:p w:rsidR="00372B2C" w:rsidRPr="00F463BC" w:rsidRDefault="00372B2C"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Compliance with sections 36(5)</w:t>
            </w:r>
            <w:r w:rsidR="00B105DD" w:rsidRPr="00F463BC">
              <w:rPr>
                <w:rFonts w:ascii="Arial" w:hAnsi="Arial" w:cs="Arial"/>
                <w:sz w:val="20"/>
                <w:szCs w:val="20"/>
              </w:rPr>
              <w:t>(b)</w:t>
            </w:r>
            <w:r w:rsidRPr="00F463BC">
              <w:rPr>
                <w:rFonts w:ascii="Arial" w:hAnsi="Arial" w:cs="Arial"/>
                <w:sz w:val="20"/>
                <w:szCs w:val="20"/>
              </w:rPr>
              <w:t xml:space="preserve"> and 36(8) of the Act</w:t>
            </w:r>
          </w:p>
        </w:tc>
        <w:tc>
          <w:tcPr>
            <w:tcW w:w="1645" w:type="dxa"/>
          </w:tcPr>
          <w:p w:rsidR="00372B2C" w:rsidRPr="00F463BC" w:rsidRDefault="00372B2C"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ISAE 3000</w:t>
            </w:r>
            <w:r w:rsidR="00D656C2">
              <w:rPr>
                <w:rFonts w:ascii="Arial" w:hAnsi="Arial" w:cs="Arial"/>
                <w:sz w:val="20"/>
                <w:szCs w:val="20"/>
              </w:rPr>
              <w:t xml:space="preserve"> (Revised)</w:t>
            </w:r>
          </w:p>
        </w:tc>
        <w:tc>
          <w:tcPr>
            <w:tcW w:w="2084" w:type="dxa"/>
          </w:tcPr>
          <w:p w:rsidR="00372B2C" w:rsidRPr="00F463BC" w:rsidRDefault="00C86F03" w:rsidP="00853F1B">
            <w:pPr>
              <w:pStyle w:val="Bulletnrs"/>
              <w:numPr>
                <w:ilvl w:val="0"/>
                <w:numId w:val="0"/>
              </w:numPr>
              <w:tabs>
                <w:tab w:val="left" w:pos="567"/>
              </w:tabs>
              <w:spacing w:before="40" w:after="40"/>
              <w:jc w:val="left"/>
              <w:rPr>
                <w:rFonts w:ascii="Arial" w:hAnsi="Arial" w:cs="Arial"/>
                <w:sz w:val="20"/>
                <w:szCs w:val="20"/>
              </w:rPr>
            </w:pPr>
            <w:hyperlink w:anchor="_Report_on_Compliance" w:history="1">
              <w:r w:rsidR="00732B5D" w:rsidRPr="00F463BC">
                <w:rPr>
                  <w:rStyle w:val="Hyperlink"/>
                  <w:rFonts w:ascii="Arial" w:hAnsi="Arial" w:cs="Arial"/>
                  <w:sz w:val="20"/>
                  <w:szCs w:val="20"/>
                </w:rPr>
                <w:t>Report on Compliance with Sections 36(5)(b) and 36(8) of the Act</w:t>
              </w:r>
            </w:hyperlink>
          </w:p>
        </w:tc>
        <w:tc>
          <w:tcPr>
            <w:tcW w:w="1189" w:type="dxa"/>
          </w:tcPr>
          <w:p w:rsidR="00372B2C" w:rsidRPr="00F463BC" w:rsidRDefault="00C86F03" w:rsidP="00853F1B">
            <w:pPr>
              <w:pStyle w:val="Bulletnrs"/>
              <w:numPr>
                <w:ilvl w:val="0"/>
                <w:numId w:val="0"/>
              </w:numPr>
              <w:tabs>
                <w:tab w:val="left" w:pos="567"/>
              </w:tabs>
              <w:spacing w:before="40" w:after="40"/>
              <w:jc w:val="left"/>
              <w:rPr>
                <w:rFonts w:ascii="Arial" w:hAnsi="Arial" w:cs="Arial"/>
                <w:sz w:val="20"/>
                <w:szCs w:val="20"/>
              </w:rPr>
            </w:pPr>
            <w:hyperlink w:anchor="_Appendix_5_–" w:history="1">
              <w:r w:rsidR="00372B2C" w:rsidRPr="00F463BC">
                <w:rPr>
                  <w:rStyle w:val="Hyperlink"/>
                  <w:rFonts w:ascii="Arial" w:hAnsi="Arial" w:cs="Arial"/>
                  <w:sz w:val="20"/>
                  <w:szCs w:val="20"/>
                </w:rPr>
                <w:t>7</w:t>
              </w:r>
            </w:hyperlink>
          </w:p>
        </w:tc>
      </w:tr>
      <w:tr w:rsidR="00F05E7E" w:rsidRPr="00FF2B5F" w:rsidTr="006A5F64">
        <w:tc>
          <w:tcPr>
            <w:tcW w:w="1528"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11 of 2006</w:t>
            </w:r>
          </w:p>
        </w:tc>
        <w:tc>
          <w:tcPr>
            <w:tcW w:w="1977" w:type="dxa"/>
          </w:tcPr>
          <w:p w:rsidR="00282506" w:rsidRPr="00F463BC" w:rsidRDefault="00282506" w:rsidP="00D3441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Non-compliance in the auditor report to the financial statements</w:t>
            </w:r>
          </w:p>
        </w:tc>
        <w:tc>
          <w:tcPr>
            <w:tcW w:w="1645"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 on Other Legal and Regulatory Requirements” section of the ISA 700 report – compliance reporting</w:t>
            </w:r>
          </w:p>
        </w:tc>
        <w:tc>
          <w:tcPr>
            <w:tcW w:w="2084" w:type="dxa"/>
          </w:tcPr>
          <w:p w:rsidR="00282506" w:rsidRPr="00F463BC" w:rsidRDefault="00C86F03" w:rsidP="00853F1B">
            <w:pPr>
              <w:pStyle w:val="Bulletnrs"/>
              <w:numPr>
                <w:ilvl w:val="0"/>
                <w:numId w:val="0"/>
              </w:numPr>
              <w:tabs>
                <w:tab w:val="left" w:pos="567"/>
              </w:tabs>
              <w:spacing w:before="40" w:after="40"/>
              <w:jc w:val="left"/>
              <w:rPr>
                <w:rFonts w:ascii="Arial" w:hAnsi="Arial" w:cs="Arial"/>
                <w:sz w:val="20"/>
                <w:szCs w:val="20"/>
              </w:rPr>
            </w:pPr>
            <w:hyperlink w:anchor="_Report_on_Other" w:history="1">
              <w:r w:rsidR="00282506" w:rsidRPr="00F463BC">
                <w:rPr>
                  <w:rStyle w:val="Hyperlink"/>
                  <w:rFonts w:ascii="Arial" w:hAnsi="Arial" w:cs="Arial"/>
                  <w:sz w:val="20"/>
                  <w:szCs w:val="20"/>
                </w:rPr>
                <w:t>Reporting on non-compliance by both an auditor and a board of trustees of a medical scheme: Report on Other Legal and Regulatory Requirements</w:t>
              </w:r>
            </w:hyperlink>
          </w:p>
        </w:tc>
        <w:tc>
          <w:tcPr>
            <w:tcW w:w="1189" w:type="dxa"/>
          </w:tcPr>
          <w:p w:rsidR="00282506" w:rsidRPr="00F463BC" w:rsidRDefault="00C86F03" w:rsidP="00853F1B">
            <w:pPr>
              <w:pStyle w:val="Bulletnrs"/>
              <w:numPr>
                <w:ilvl w:val="0"/>
                <w:numId w:val="0"/>
              </w:numPr>
              <w:tabs>
                <w:tab w:val="left" w:pos="567"/>
              </w:tabs>
              <w:spacing w:before="40" w:after="40"/>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3C21C6" w:rsidRPr="00FF2B5F" w:rsidTr="006A5F64">
        <w:tc>
          <w:tcPr>
            <w:tcW w:w="1528" w:type="dxa"/>
          </w:tcPr>
          <w:p w:rsidR="003C21C6" w:rsidRPr="00F463BC" w:rsidRDefault="00F23C01"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6 of 2013</w:t>
            </w:r>
          </w:p>
        </w:tc>
        <w:tc>
          <w:tcPr>
            <w:tcW w:w="1977" w:type="dxa"/>
          </w:tcPr>
          <w:p w:rsidR="003C21C6" w:rsidRPr="00F463BC" w:rsidRDefault="006A1307" w:rsidP="00853F1B">
            <w:pPr>
              <w:pStyle w:val="Bulletnrs"/>
              <w:keepNext/>
              <w:numPr>
                <w:ilvl w:val="0"/>
                <w:numId w:val="0"/>
              </w:numPr>
              <w:tabs>
                <w:tab w:val="left" w:pos="567"/>
              </w:tabs>
              <w:spacing w:before="40" w:after="40"/>
              <w:jc w:val="left"/>
              <w:rPr>
                <w:rFonts w:ascii="Arial" w:hAnsi="Arial" w:cs="Arial"/>
                <w:sz w:val="20"/>
                <w:szCs w:val="20"/>
              </w:rPr>
            </w:pPr>
            <w:r>
              <w:rPr>
                <w:rFonts w:ascii="Arial" w:hAnsi="Arial" w:cs="Arial"/>
                <w:sz w:val="20"/>
                <w:szCs w:val="20"/>
              </w:rPr>
              <w:t>Summary</w:t>
            </w:r>
            <w:r w:rsidRPr="00F463BC">
              <w:rPr>
                <w:rFonts w:ascii="Arial" w:hAnsi="Arial" w:cs="Arial"/>
                <w:sz w:val="20"/>
                <w:szCs w:val="20"/>
              </w:rPr>
              <w:t xml:space="preserve"> </w:t>
            </w:r>
            <w:r w:rsidR="00761E98" w:rsidRPr="00F463BC">
              <w:rPr>
                <w:rFonts w:ascii="Arial" w:hAnsi="Arial" w:cs="Arial"/>
                <w:sz w:val="20"/>
                <w:szCs w:val="20"/>
              </w:rPr>
              <w:t>financial statements</w:t>
            </w:r>
          </w:p>
        </w:tc>
        <w:tc>
          <w:tcPr>
            <w:tcW w:w="1645" w:type="dxa"/>
          </w:tcPr>
          <w:p w:rsidR="003C21C6" w:rsidRPr="00F463BC" w:rsidRDefault="003C21C6"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 810</w:t>
            </w:r>
          </w:p>
        </w:tc>
        <w:tc>
          <w:tcPr>
            <w:tcW w:w="2084" w:type="dxa"/>
          </w:tcPr>
          <w:p w:rsidR="003C21C6" w:rsidRPr="00F463BC" w:rsidRDefault="00C86F03" w:rsidP="003C21C6">
            <w:pPr>
              <w:pStyle w:val="Bulletnrs"/>
              <w:numPr>
                <w:ilvl w:val="0"/>
                <w:numId w:val="0"/>
              </w:numPr>
              <w:tabs>
                <w:tab w:val="left" w:pos="567"/>
              </w:tabs>
              <w:spacing w:before="40" w:after="40"/>
              <w:jc w:val="left"/>
              <w:rPr>
                <w:rFonts w:ascii="Arial" w:hAnsi="Arial" w:cs="Arial"/>
                <w:sz w:val="20"/>
                <w:szCs w:val="20"/>
              </w:rPr>
            </w:pPr>
            <w:hyperlink w:anchor="_Reporting_on_summary" w:history="1">
              <w:r w:rsidR="00D52E98">
                <w:rPr>
                  <w:rStyle w:val="Hyperlink"/>
                  <w:rFonts w:ascii="Arial" w:hAnsi="Arial" w:cs="Arial"/>
                  <w:sz w:val="20"/>
                  <w:szCs w:val="20"/>
                </w:rPr>
                <w:t>Report on summary financial statements</w:t>
              </w:r>
            </w:hyperlink>
          </w:p>
        </w:tc>
        <w:tc>
          <w:tcPr>
            <w:tcW w:w="1189" w:type="dxa"/>
          </w:tcPr>
          <w:p w:rsidR="003C21C6" w:rsidRPr="00F463BC" w:rsidRDefault="00C86F03" w:rsidP="00853F1B">
            <w:pPr>
              <w:pStyle w:val="Bulletnrs"/>
              <w:numPr>
                <w:ilvl w:val="0"/>
                <w:numId w:val="0"/>
              </w:numPr>
              <w:tabs>
                <w:tab w:val="left" w:pos="567"/>
              </w:tabs>
              <w:spacing w:before="40" w:after="40"/>
              <w:jc w:val="left"/>
              <w:rPr>
                <w:rFonts w:ascii="Arial" w:hAnsi="Arial" w:cs="Arial"/>
                <w:sz w:val="20"/>
                <w:szCs w:val="20"/>
              </w:rPr>
            </w:pPr>
            <w:hyperlink w:anchor="_Appendix_8_–_1" w:history="1">
              <w:r w:rsidR="00761E98" w:rsidRPr="00F463BC">
                <w:rPr>
                  <w:rStyle w:val="Hyperlink"/>
                  <w:rFonts w:ascii="Arial" w:hAnsi="Arial" w:cs="Arial"/>
                  <w:sz w:val="20"/>
                  <w:szCs w:val="20"/>
                </w:rPr>
                <w:t>8</w:t>
              </w:r>
            </w:hyperlink>
          </w:p>
        </w:tc>
      </w:tr>
      <w:tr w:rsidR="00282506" w:rsidRPr="00FF2B5F" w:rsidTr="006A5F64">
        <w:tc>
          <w:tcPr>
            <w:tcW w:w="1528"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36(5)(a)</w:t>
            </w:r>
          </w:p>
        </w:tc>
        <w:tc>
          <w:tcPr>
            <w:tcW w:w="1977" w:type="dxa"/>
          </w:tcPr>
          <w:p w:rsidR="00282506" w:rsidRPr="00F463BC" w:rsidRDefault="00282506"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Reportable irregularities</w:t>
            </w:r>
          </w:p>
        </w:tc>
        <w:tc>
          <w:tcPr>
            <w:tcW w:w="1645"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 on Other Legal and Regulatory Requirements” section of the ISA 700 report</w:t>
            </w:r>
          </w:p>
        </w:tc>
        <w:tc>
          <w:tcPr>
            <w:tcW w:w="2084" w:type="dxa"/>
          </w:tcPr>
          <w:p w:rsidR="00282506" w:rsidRPr="00F463BC" w:rsidRDefault="00C86F03" w:rsidP="003C21C6">
            <w:pPr>
              <w:pStyle w:val="Bulletnrs"/>
              <w:numPr>
                <w:ilvl w:val="0"/>
                <w:numId w:val="0"/>
              </w:numPr>
              <w:tabs>
                <w:tab w:val="left" w:pos="567"/>
              </w:tabs>
              <w:spacing w:before="40" w:after="40"/>
              <w:jc w:val="left"/>
              <w:rPr>
                <w:rFonts w:ascii="Arial" w:hAnsi="Arial" w:cs="Arial"/>
                <w:sz w:val="20"/>
                <w:szCs w:val="20"/>
              </w:rPr>
            </w:pPr>
            <w:hyperlink w:anchor="_Reporting_on_reportable" w:history="1">
              <w:r w:rsidR="00282506" w:rsidRPr="00F463BC">
                <w:rPr>
                  <w:rStyle w:val="Hyperlink"/>
                  <w:rFonts w:ascii="Arial" w:hAnsi="Arial" w:cs="Arial"/>
                  <w:sz w:val="20"/>
                  <w:szCs w:val="20"/>
                </w:rPr>
                <w:t>Reporting on reportable irregularities</w:t>
              </w:r>
            </w:hyperlink>
          </w:p>
        </w:tc>
        <w:tc>
          <w:tcPr>
            <w:tcW w:w="1189" w:type="dxa"/>
          </w:tcPr>
          <w:p w:rsidR="00282506" w:rsidRPr="00F463BC" w:rsidRDefault="00C86F03" w:rsidP="00853F1B">
            <w:pPr>
              <w:pStyle w:val="Bulletnrs"/>
              <w:keepNext/>
              <w:numPr>
                <w:ilvl w:val="0"/>
                <w:numId w:val="0"/>
              </w:numPr>
              <w:tabs>
                <w:tab w:val="left" w:pos="567"/>
              </w:tabs>
              <w:spacing w:before="40" w:after="40"/>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6A5F64" w:rsidRPr="00FF2B5F" w:rsidTr="006A5F64">
        <w:tc>
          <w:tcPr>
            <w:tcW w:w="5150" w:type="dxa"/>
            <w:gridSpan w:val="3"/>
          </w:tcPr>
          <w:p w:rsidR="006A5F64" w:rsidRPr="00F463BC" w:rsidRDefault="006A5F64" w:rsidP="00853F1B">
            <w:pPr>
              <w:pStyle w:val="Bulletnrs"/>
              <w:numPr>
                <w:ilvl w:val="0"/>
                <w:numId w:val="0"/>
              </w:numPr>
              <w:tabs>
                <w:tab w:val="left" w:pos="567"/>
              </w:tabs>
              <w:spacing w:before="40" w:after="40"/>
              <w:jc w:val="left"/>
              <w:rPr>
                <w:rFonts w:ascii="Arial" w:hAnsi="Arial" w:cs="Arial"/>
                <w:sz w:val="20"/>
                <w:szCs w:val="20"/>
                <w:highlight w:val="yellow"/>
              </w:rPr>
            </w:pPr>
            <w:r w:rsidRPr="00F463BC">
              <w:rPr>
                <w:rFonts w:ascii="Arial" w:hAnsi="Arial" w:cs="Arial"/>
                <w:sz w:val="20"/>
                <w:szCs w:val="20"/>
              </w:rPr>
              <w:t xml:space="preserve">Other reporting responsibilities to the </w:t>
            </w:r>
            <w:r w:rsidRPr="00F463BC">
              <w:rPr>
                <w:rFonts w:ascii="Arial" w:hAnsi="Arial" w:cs="Arial"/>
                <w:i/>
                <w:sz w:val="20"/>
                <w:szCs w:val="20"/>
              </w:rPr>
              <w:t>Council</w:t>
            </w:r>
            <w:r w:rsidRPr="00F463BC">
              <w:rPr>
                <w:rFonts w:ascii="Arial" w:hAnsi="Arial" w:cs="Arial"/>
                <w:sz w:val="20"/>
                <w:szCs w:val="20"/>
              </w:rPr>
              <w:t xml:space="preserve"> include: Reasons for termination, </w:t>
            </w:r>
            <w:r w:rsidR="00C42F0A">
              <w:rPr>
                <w:rFonts w:ascii="Arial" w:hAnsi="Arial" w:cs="Arial"/>
                <w:sz w:val="20"/>
                <w:szCs w:val="20"/>
              </w:rPr>
              <w:t xml:space="preserve">Auditor Approval Questionnaire including </w:t>
            </w:r>
            <w:r w:rsidRPr="00F463BC">
              <w:rPr>
                <w:rFonts w:ascii="Arial" w:hAnsi="Arial" w:cs="Arial"/>
                <w:sz w:val="20"/>
                <w:szCs w:val="20"/>
              </w:rPr>
              <w:t>declaration on application regarding internal control weaknesses, management report and other duties provided for in the Act.</w:t>
            </w:r>
          </w:p>
        </w:tc>
        <w:tc>
          <w:tcPr>
            <w:tcW w:w="2084" w:type="dxa"/>
          </w:tcPr>
          <w:p w:rsidR="006A5F64" w:rsidRPr="00F463BC" w:rsidRDefault="00C86F03" w:rsidP="003C21C6">
            <w:pPr>
              <w:pStyle w:val="Bulletnrs"/>
              <w:numPr>
                <w:ilvl w:val="0"/>
                <w:numId w:val="0"/>
              </w:numPr>
              <w:tabs>
                <w:tab w:val="left" w:pos="567"/>
              </w:tabs>
              <w:spacing w:before="40" w:after="40"/>
              <w:jc w:val="left"/>
              <w:rPr>
                <w:rStyle w:val="Hyperlink"/>
                <w:rFonts w:ascii="Arial" w:hAnsi="Arial" w:cs="Arial"/>
                <w:sz w:val="20"/>
                <w:szCs w:val="20"/>
              </w:rPr>
            </w:pPr>
            <w:hyperlink w:anchor="_Other_reporting_responsibilities" w:history="1">
              <w:r w:rsidR="006A5F64" w:rsidRPr="00F463BC">
                <w:rPr>
                  <w:rStyle w:val="Hyperlink"/>
                  <w:rFonts w:ascii="Arial" w:hAnsi="Arial" w:cs="Arial"/>
                  <w:sz w:val="20"/>
                  <w:szCs w:val="20"/>
                </w:rPr>
                <w:t>Other reporting responsibilities to the Council</w:t>
              </w:r>
            </w:hyperlink>
          </w:p>
        </w:tc>
        <w:tc>
          <w:tcPr>
            <w:tcW w:w="1189" w:type="dxa"/>
          </w:tcPr>
          <w:p w:rsidR="006A5F64" w:rsidRPr="00F463BC" w:rsidRDefault="006A5F64" w:rsidP="00853F1B">
            <w:pPr>
              <w:pStyle w:val="Bulletnrs"/>
              <w:keepNext/>
              <w:numPr>
                <w:ilvl w:val="0"/>
                <w:numId w:val="0"/>
              </w:numPr>
              <w:tabs>
                <w:tab w:val="left" w:pos="567"/>
              </w:tabs>
              <w:spacing w:before="40" w:after="40"/>
              <w:jc w:val="left"/>
              <w:rPr>
                <w:rFonts w:ascii="Arial" w:hAnsi="Arial" w:cs="Arial"/>
                <w:sz w:val="20"/>
                <w:szCs w:val="20"/>
                <w:highlight w:val="yellow"/>
              </w:rPr>
            </w:pPr>
          </w:p>
        </w:tc>
      </w:tr>
      <w:tr w:rsidR="00B401D4" w:rsidRPr="00FF2B5F" w:rsidTr="006A5F64">
        <w:tc>
          <w:tcPr>
            <w:tcW w:w="5150" w:type="dxa"/>
            <w:gridSpan w:val="3"/>
          </w:tcPr>
          <w:p w:rsidR="00B401D4" w:rsidRPr="00F463BC" w:rsidRDefault="00B401D4"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 xml:space="preserve">Communication with </w:t>
            </w:r>
            <w:r w:rsidRPr="00F463BC">
              <w:rPr>
                <w:rFonts w:ascii="Arial" w:hAnsi="Arial" w:cs="Arial"/>
                <w:i/>
                <w:sz w:val="20"/>
                <w:szCs w:val="20"/>
              </w:rPr>
              <w:t>those charged with governance</w:t>
            </w:r>
          </w:p>
        </w:tc>
        <w:tc>
          <w:tcPr>
            <w:tcW w:w="2084" w:type="dxa"/>
          </w:tcPr>
          <w:p w:rsidR="00B401D4" w:rsidRPr="00F463BC" w:rsidRDefault="00C86F03" w:rsidP="003C21C6">
            <w:pPr>
              <w:pStyle w:val="Bulletnrs"/>
              <w:numPr>
                <w:ilvl w:val="0"/>
                <w:numId w:val="0"/>
              </w:numPr>
              <w:tabs>
                <w:tab w:val="left" w:pos="567"/>
              </w:tabs>
              <w:spacing w:before="40" w:after="40"/>
              <w:jc w:val="left"/>
              <w:rPr>
                <w:rStyle w:val="Hyperlink"/>
                <w:rFonts w:ascii="Arial" w:hAnsi="Arial" w:cs="Arial"/>
                <w:sz w:val="20"/>
                <w:szCs w:val="20"/>
              </w:rPr>
            </w:pPr>
            <w:hyperlink w:anchor="_Communication_with_those" w:history="1">
              <w:r w:rsidR="00B401D4" w:rsidRPr="00F463BC">
                <w:rPr>
                  <w:rStyle w:val="Hyperlink"/>
                  <w:rFonts w:ascii="Arial" w:hAnsi="Arial" w:cs="Arial"/>
                  <w:sz w:val="20"/>
                  <w:szCs w:val="20"/>
                </w:rPr>
                <w:t>Communication with those charged with governance</w:t>
              </w:r>
            </w:hyperlink>
          </w:p>
        </w:tc>
        <w:tc>
          <w:tcPr>
            <w:tcW w:w="1189" w:type="dxa"/>
          </w:tcPr>
          <w:p w:rsidR="00B401D4" w:rsidRPr="00F463BC" w:rsidRDefault="00B401D4" w:rsidP="00853F1B">
            <w:pPr>
              <w:pStyle w:val="Bulletnrs"/>
              <w:keepNext/>
              <w:numPr>
                <w:ilvl w:val="0"/>
                <w:numId w:val="0"/>
              </w:numPr>
              <w:tabs>
                <w:tab w:val="left" w:pos="567"/>
              </w:tabs>
              <w:spacing w:before="40" w:after="40"/>
              <w:jc w:val="left"/>
              <w:rPr>
                <w:rFonts w:ascii="Arial" w:hAnsi="Arial" w:cs="Arial"/>
                <w:sz w:val="20"/>
                <w:szCs w:val="20"/>
                <w:highlight w:val="yellow"/>
              </w:rPr>
            </w:pPr>
          </w:p>
        </w:tc>
      </w:tr>
    </w:tbl>
    <w:p w:rsidR="00CE18FE" w:rsidRPr="00F463BC" w:rsidRDefault="00CE18FE" w:rsidP="00165D74">
      <w:pPr>
        <w:pStyle w:val="Bulletnrs"/>
        <w:numPr>
          <w:ilvl w:val="0"/>
          <w:numId w:val="0"/>
        </w:numPr>
        <w:tabs>
          <w:tab w:val="left" w:pos="567"/>
        </w:tabs>
        <w:spacing w:before="0" w:line="271" w:lineRule="auto"/>
        <w:ind w:left="360" w:hanging="360"/>
        <w:rPr>
          <w:rFonts w:ascii="Arial" w:hAnsi="Arial" w:cs="Arial"/>
          <w:sz w:val="22"/>
          <w:szCs w:val="22"/>
        </w:rPr>
      </w:pPr>
    </w:p>
    <w:p w:rsidR="00165D74" w:rsidRPr="00F463BC" w:rsidRDefault="00584A70" w:rsidP="00B82F08">
      <w:pPr>
        <w:pStyle w:val="Heading2"/>
        <w:spacing w:before="0" w:line="271" w:lineRule="auto"/>
      </w:pPr>
      <w:bookmarkStart w:id="134" w:name="_Preparing_of_the"/>
      <w:bookmarkStart w:id="135" w:name="_Toc455582226"/>
      <w:bookmarkEnd w:id="134"/>
      <w:r w:rsidRPr="00F463BC">
        <w:t>Preparing of the a</w:t>
      </w:r>
      <w:r w:rsidR="00165D74" w:rsidRPr="00F463BC">
        <w:t>nnual financial statements</w:t>
      </w:r>
      <w:r w:rsidR="00853F1B" w:rsidRPr="00F463BC">
        <w:t xml:space="preserve"> by the board of trustees</w:t>
      </w:r>
      <w:bookmarkEnd w:id="135"/>
    </w:p>
    <w:p w:rsidR="00165D74" w:rsidRPr="00F463BC" w:rsidRDefault="00165D74"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In terms of section 37(2) of the Act, a board of trustees is responsible for preparing the annual financial statements of a medical scheme for every financial year, and furnishes copies of the statements together with the report of the board of trustees to the Registrar within four months after the end of the financial year.</w:t>
      </w:r>
    </w:p>
    <w:p w:rsidR="00165D74" w:rsidRPr="00F463BC" w:rsidRDefault="00165D74" w:rsidP="00944A95">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lastRenderedPageBreak/>
        <w:t>The annual financial statements comprise, inter alia:</w:t>
      </w:r>
    </w:p>
    <w:p w:rsidR="00165D74" w:rsidRPr="00F463BC" w:rsidRDefault="00165D74" w:rsidP="00944A95">
      <w:pPr>
        <w:pStyle w:val="Bulletsa"/>
        <w:keepNext/>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Statement of financial position;</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Statement of comprehensive income;</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 xml:space="preserve">Statement of changes in </w:t>
      </w:r>
      <w:r w:rsidR="00B105DD" w:rsidRPr="00F463BC">
        <w:rPr>
          <w:rFonts w:ascii="Arial" w:hAnsi="Arial" w:cs="Arial"/>
          <w:sz w:val="22"/>
          <w:szCs w:val="22"/>
        </w:rPr>
        <w:t xml:space="preserve">members’ </w:t>
      </w:r>
      <w:r w:rsidRPr="00F463BC">
        <w:rPr>
          <w:rFonts w:ascii="Arial" w:hAnsi="Arial" w:cs="Arial"/>
          <w:sz w:val="22"/>
          <w:szCs w:val="22"/>
        </w:rPr>
        <w:t>funds and reserves;</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Statement of cash flows;</w:t>
      </w:r>
    </w:p>
    <w:p w:rsidR="00165D74" w:rsidRPr="00F463BC" w:rsidRDefault="00C42F0A" w:rsidP="00B82F08">
      <w:pPr>
        <w:pStyle w:val="Bulletsa"/>
        <w:numPr>
          <w:ilvl w:val="0"/>
          <w:numId w:val="262"/>
        </w:numPr>
        <w:tabs>
          <w:tab w:val="left" w:pos="993"/>
        </w:tabs>
        <w:spacing w:before="0" w:line="271" w:lineRule="auto"/>
        <w:ind w:left="993"/>
        <w:rPr>
          <w:rFonts w:ascii="Arial" w:hAnsi="Arial" w:cs="Arial"/>
          <w:sz w:val="22"/>
          <w:szCs w:val="22"/>
        </w:rPr>
      </w:pPr>
      <w:r>
        <w:rPr>
          <w:rFonts w:ascii="Arial" w:hAnsi="Arial" w:cs="Arial"/>
          <w:sz w:val="22"/>
          <w:szCs w:val="22"/>
        </w:rPr>
        <w:t>Independent auditor’s report</w:t>
      </w:r>
      <w:r w:rsidR="00165D74" w:rsidRPr="00F463BC">
        <w:rPr>
          <w:rFonts w:ascii="Arial" w:hAnsi="Arial" w:cs="Arial"/>
          <w:sz w:val="22"/>
          <w:szCs w:val="22"/>
        </w:rPr>
        <w:t>; and</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Any such other returns as the Registrar may require, which includes the annual statutory return.</w:t>
      </w:r>
    </w:p>
    <w:p w:rsidR="00B105DD" w:rsidRPr="00F463BC" w:rsidRDefault="00B105DD"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The annual financial statements must in terms of Section 37(4)(d) also include the benefit options’ financial results, including its membership. These results are required to be audited in terms of Circular 4 of 2008.</w:t>
      </w:r>
    </w:p>
    <w:p w:rsidR="00C42F0A" w:rsidRPr="00F463BC" w:rsidRDefault="00C42F0A" w:rsidP="00C42F0A">
      <w:pPr>
        <w:pStyle w:val="Bulletnrs"/>
        <w:tabs>
          <w:tab w:val="left" w:pos="567"/>
        </w:tabs>
        <w:spacing w:before="0" w:line="271" w:lineRule="auto"/>
        <w:ind w:left="567" w:hanging="567"/>
        <w:rPr>
          <w:rFonts w:ascii="Arial" w:hAnsi="Arial" w:cs="Arial"/>
          <w:lang w:eastAsia="en-US"/>
        </w:rPr>
      </w:pPr>
      <w:r w:rsidRPr="00F463BC">
        <w:rPr>
          <w:rFonts w:ascii="Arial" w:hAnsi="Arial" w:cs="Arial"/>
          <w:sz w:val="22"/>
          <w:szCs w:val="22"/>
        </w:rPr>
        <w:t>For the purpose of this Guide, the annual financial statements may include</w:t>
      </w:r>
      <w:r w:rsidR="00374F5D">
        <w:rPr>
          <w:rFonts w:ascii="Arial" w:hAnsi="Arial" w:cs="Arial"/>
          <w:sz w:val="22"/>
          <w:szCs w:val="22"/>
        </w:rPr>
        <w:t>, inter alia,</w:t>
      </w:r>
      <w:r w:rsidRPr="00F463BC">
        <w:rPr>
          <w:rFonts w:ascii="Arial" w:hAnsi="Arial" w:cs="Arial"/>
          <w:sz w:val="22"/>
          <w:szCs w:val="22"/>
        </w:rPr>
        <w:t xml:space="preserve"> reports by the audit committee and investment committee or any other committees with a fiduciary responsibility towards a medical scheme and its members.</w:t>
      </w:r>
    </w:p>
    <w:p w:rsidR="00540275" w:rsidRPr="00F463BC" w:rsidRDefault="00540275"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financial statements of a medical scheme are prepared in accordance with IFRSs, and in the manner required by the Act. Refer to the </w:t>
      </w:r>
      <w:r w:rsidR="00B256B4" w:rsidRPr="00F463BC">
        <w:rPr>
          <w:rFonts w:ascii="Arial" w:hAnsi="Arial" w:cs="Arial"/>
          <w:sz w:val="22"/>
          <w:szCs w:val="22"/>
        </w:rPr>
        <w:t>SAICA</w:t>
      </w:r>
      <w:r w:rsidRPr="00F463BC">
        <w:rPr>
          <w:rFonts w:ascii="Arial" w:hAnsi="Arial" w:cs="Arial"/>
          <w:sz w:val="22"/>
          <w:szCs w:val="22"/>
        </w:rPr>
        <w:t xml:space="preserve"> </w:t>
      </w:r>
      <w:r w:rsidRPr="00F463BC">
        <w:rPr>
          <w:rFonts w:ascii="Arial" w:hAnsi="Arial" w:cs="Arial"/>
          <w:i/>
          <w:sz w:val="22"/>
          <w:szCs w:val="22"/>
        </w:rPr>
        <w:t>Medical Schemes Accounting Guide</w:t>
      </w:r>
      <w:r w:rsidRPr="00F463BC">
        <w:rPr>
          <w:rStyle w:val="FootnoteReference"/>
          <w:rFonts w:ascii="Arial" w:hAnsi="Arial" w:cs="Arial"/>
          <w:sz w:val="22"/>
          <w:szCs w:val="22"/>
        </w:rPr>
        <w:footnoteReference w:id="29"/>
      </w:r>
      <w:r w:rsidRPr="00944A95">
        <w:rPr>
          <w:rStyle w:val="FootnoteReference"/>
          <w:rFonts w:ascii="Arial" w:hAnsi="Arial" w:cs="Arial"/>
        </w:rPr>
        <w:t xml:space="preserve"> </w:t>
      </w:r>
      <w:r w:rsidRPr="00F463BC">
        <w:rPr>
          <w:rFonts w:ascii="Arial" w:hAnsi="Arial" w:cs="Arial"/>
          <w:sz w:val="22"/>
          <w:szCs w:val="22"/>
        </w:rPr>
        <w:t xml:space="preserve">for guidance on certain financial reporting issues specific to the medical schemes industry and for guidance on the form and content of the report of the board of trustees. Also refer to the format of the statement of comprehensive income </w:t>
      </w:r>
      <w:r w:rsidR="00D4350C" w:rsidRPr="00F463BC">
        <w:rPr>
          <w:rFonts w:ascii="Arial" w:hAnsi="Arial" w:cs="Arial"/>
          <w:sz w:val="22"/>
          <w:szCs w:val="22"/>
        </w:rPr>
        <w:t xml:space="preserve">as well as the minimum disclosure requirements relating to PMSA trust investments and trust liabilities </w:t>
      </w:r>
      <w:r w:rsidRPr="00F463BC">
        <w:rPr>
          <w:rFonts w:ascii="Arial" w:hAnsi="Arial" w:cs="Arial"/>
          <w:sz w:val="22"/>
          <w:szCs w:val="22"/>
        </w:rPr>
        <w:t>prescribed by the Council in terms of Circular </w:t>
      </w:r>
      <w:r w:rsidR="00D4350C" w:rsidRPr="00F463BC">
        <w:rPr>
          <w:rFonts w:ascii="Arial" w:hAnsi="Arial" w:cs="Arial"/>
          <w:sz w:val="22"/>
          <w:szCs w:val="22"/>
        </w:rPr>
        <w:t>41</w:t>
      </w:r>
      <w:r w:rsidRPr="00F463BC">
        <w:rPr>
          <w:rFonts w:ascii="Arial" w:hAnsi="Arial" w:cs="Arial"/>
          <w:sz w:val="22"/>
          <w:szCs w:val="22"/>
        </w:rPr>
        <w:t xml:space="preserve"> of </w:t>
      </w:r>
      <w:r w:rsidR="00D4350C" w:rsidRPr="00F463BC">
        <w:rPr>
          <w:rFonts w:ascii="Arial" w:hAnsi="Arial" w:cs="Arial"/>
          <w:sz w:val="22"/>
          <w:szCs w:val="22"/>
        </w:rPr>
        <w:t>2012</w:t>
      </w:r>
      <w:r w:rsidR="00DB5ADD" w:rsidRPr="00F463BC">
        <w:rPr>
          <w:rStyle w:val="FootnoteReference"/>
          <w:rFonts w:ascii="Arial" w:hAnsi="Arial" w:cs="Arial"/>
          <w:sz w:val="22"/>
          <w:szCs w:val="22"/>
        </w:rPr>
        <w:footnoteReference w:id="30"/>
      </w:r>
      <w:r w:rsidRPr="00F463BC">
        <w:rPr>
          <w:rFonts w:ascii="Arial" w:hAnsi="Arial" w:cs="Arial"/>
          <w:sz w:val="22"/>
          <w:szCs w:val="22"/>
        </w:rPr>
        <w:t>,</w:t>
      </w:r>
      <w:r w:rsidR="00DB5ADD" w:rsidRPr="00F463BC">
        <w:rPr>
          <w:rFonts w:ascii="Arial" w:hAnsi="Arial" w:cs="Arial"/>
          <w:sz w:val="22"/>
          <w:szCs w:val="22"/>
        </w:rPr>
        <w:t xml:space="preserve"> </w:t>
      </w:r>
      <w:r w:rsidRPr="00F463BC">
        <w:rPr>
          <w:rFonts w:ascii="Arial" w:hAnsi="Arial" w:cs="Arial"/>
          <w:sz w:val="22"/>
          <w:szCs w:val="22"/>
        </w:rPr>
        <w:t>for use by medical schemes.</w:t>
      </w:r>
    </w:p>
    <w:p w:rsidR="00165D74" w:rsidRPr="00F463BC" w:rsidRDefault="00165D74"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duties and responsibilities of the board of trustees are set out in sections 57(4) and 57(6) of the Act. These include ensuring that proper registers, books and records of all operations of a medical scheme are kept, and that proper internal control systems are employed by or on behalf of a medical scheme.  </w:t>
      </w:r>
    </w:p>
    <w:p w:rsidR="00165D74" w:rsidRPr="00F463BC" w:rsidRDefault="00165D74" w:rsidP="00B82F08">
      <w:pPr>
        <w:pStyle w:val="Bulletnrs"/>
        <w:numPr>
          <w:ilvl w:val="0"/>
          <w:numId w:val="0"/>
        </w:numPr>
        <w:tabs>
          <w:tab w:val="left" w:pos="567"/>
        </w:tabs>
        <w:spacing w:before="0" w:line="271" w:lineRule="auto"/>
        <w:rPr>
          <w:rFonts w:ascii="Arial" w:hAnsi="Arial" w:cs="Arial"/>
          <w:b/>
          <w:sz w:val="22"/>
          <w:szCs w:val="22"/>
          <w:u w:val="single"/>
        </w:rPr>
      </w:pPr>
    </w:p>
    <w:p w:rsidR="00165D74" w:rsidRPr="00F463BC" w:rsidRDefault="00165D74" w:rsidP="00766953">
      <w:pPr>
        <w:pStyle w:val="Heading2"/>
        <w:keepNext/>
        <w:spacing w:before="0" w:line="271" w:lineRule="auto"/>
      </w:pPr>
      <w:bookmarkStart w:id="136" w:name="_Report_of_the_1"/>
      <w:bookmarkStart w:id="137" w:name="_Toc455582227"/>
      <w:bookmarkEnd w:id="136"/>
      <w:r w:rsidRPr="00F463BC">
        <w:lastRenderedPageBreak/>
        <w:t>Report of the board of trustees</w:t>
      </w:r>
      <w:bookmarkEnd w:id="137"/>
    </w:p>
    <w:p w:rsidR="00165D74" w:rsidRPr="00F463BC" w:rsidRDefault="00165D74" w:rsidP="00766953">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accordance with section 37(5) of the Act, the trustees’ report is to deal with every matter that is material for the appreciation by members of a medical scheme of the state of affairs and the business of a medical scheme and the results thereof, and contain relevant information indicating whether or not the resources of a medical scheme have been applied economically, efficiently and effectively.  </w:t>
      </w:r>
    </w:p>
    <w:p w:rsidR="00165D74" w:rsidRPr="00F463BC" w:rsidRDefault="00165D74"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report of the board of trustees’ does not form part of the audited financial statements; however, an auditor has a responsibility in terms of ISA 720</w:t>
      </w:r>
      <w:r w:rsidR="00516EA2" w:rsidRPr="00F463BC">
        <w:rPr>
          <w:rStyle w:val="FootnoteReference"/>
          <w:rFonts w:ascii="Arial" w:hAnsi="Arial" w:cs="Arial"/>
          <w:sz w:val="22"/>
          <w:szCs w:val="22"/>
        </w:rPr>
        <w:footnoteReference w:id="31"/>
      </w:r>
      <w:r w:rsidRPr="00F463BC">
        <w:rPr>
          <w:rFonts w:ascii="Arial" w:hAnsi="Arial" w:cs="Arial"/>
          <w:sz w:val="22"/>
          <w:szCs w:val="22"/>
        </w:rPr>
        <w:t xml:space="preserve"> in relation to other information in documents containing audited financial statements.    </w:t>
      </w:r>
    </w:p>
    <w:p w:rsidR="00540275" w:rsidRPr="00F463BC" w:rsidRDefault="00540275" w:rsidP="001B129E">
      <w:pPr>
        <w:pStyle w:val="Bulletnrs"/>
        <w:numPr>
          <w:ilvl w:val="0"/>
          <w:numId w:val="0"/>
        </w:numPr>
        <w:tabs>
          <w:tab w:val="left" w:pos="567"/>
        </w:tabs>
        <w:spacing w:before="0" w:line="271" w:lineRule="auto"/>
        <w:ind w:left="360" w:hanging="360"/>
        <w:rPr>
          <w:rFonts w:ascii="Arial" w:hAnsi="Arial" w:cs="Arial"/>
          <w:sz w:val="22"/>
          <w:szCs w:val="22"/>
          <w:highlight w:val="yellow"/>
        </w:rPr>
      </w:pPr>
    </w:p>
    <w:p w:rsidR="0087682D" w:rsidRPr="00F463BC" w:rsidRDefault="0087682D" w:rsidP="00B82F08">
      <w:pPr>
        <w:pStyle w:val="Heading2"/>
        <w:keepNext/>
        <w:spacing w:before="0" w:line="271" w:lineRule="auto"/>
      </w:pPr>
      <w:bookmarkStart w:id="138" w:name="_Reporting_on_the_1"/>
      <w:bookmarkStart w:id="139" w:name="_Toc455582228"/>
      <w:bookmarkEnd w:id="138"/>
      <w:r w:rsidRPr="00F463BC">
        <w:t>Reporting on the annual financial statements</w:t>
      </w:r>
      <w:bookmarkEnd w:id="139"/>
    </w:p>
    <w:p w:rsidR="0087682D" w:rsidRPr="00F463BC" w:rsidRDefault="0087682D" w:rsidP="00B82F08">
      <w:pPr>
        <w:pStyle w:val="Bulletnrs"/>
        <w:keepNext/>
        <w:tabs>
          <w:tab w:val="left" w:pos="567"/>
        </w:tabs>
        <w:spacing w:before="0" w:line="271" w:lineRule="auto"/>
        <w:ind w:left="567" w:hanging="567"/>
        <w:rPr>
          <w:rFonts w:ascii="Arial" w:hAnsi="Arial" w:cs="Arial"/>
          <w:sz w:val="22"/>
          <w:szCs w:val="22"/>
        </w:rPr>
      </w:pPr>
      <w:bookmarkStart w:id="140" w:name="_The_annual_financial"/>
      <w:bookmarkStart w:id="141" w:name="_Reporting_responsibilities_of"/>
      <w:bookmarkStart w:id="142" w:name="_Report_of_the"/>
      <w:bookmarkStart w:id="143" w:name="_Other_information_included"/>
      <w:bookmarkStart w:id="144" w:name="_The_auditor’s_reporting"/>
      <w:bookmarkEnd w:id="140"/>
      <w:bookmarkEnd w:id="141"/>
      <w:bookmarkEnd w:id="142"/>
      <w:bookmarkEnd w:id="143"/>
      <w:bookmarkEnd w:id="144"/>
      <w:r w:rsidRPr="00F463BC">
        <w:rPr>
          <w:rFonts w:ascii="Arial" w:hAnsi="Arial" w:cs="Arial"/>
          <w:sz w:val="22"/>
          <w:szCs w:val="22"/>
        </w:rPr>
        <w:t xml:space="preserve">An auditor is required to report on the annual financial statements prepared by a medical scheme in terms of section 37(2) of the Act. </w:t>
      </w:r>
    </w:p>
    <w:p w:rsidR="0087682D" w:rsidRPr="00F463BC" w:rsidRDefault="0087682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performs an ISA 700</w:t>
      </w:r>
      <w:r w:rsidR="00DB5ADD" w:rsidRPr="00F463BC">
        <w:rPr>
          <w:rStyle w:val="FootnoteReference"/>
          <w:rFonts w:ascii="Arial" w:hAnsi="Arial" w:cs="Arial"/>
          <w:sz w:val="22"/>
          <w:szCs w:val="22"/>
        </w:rPr>
        <w:footnoteReference w:id="32"/>
      </w:r>
      <w:r w:rsidRPr="00F463BC">
        <w:rPr>
          <w:rFonts w:ascii="Arial" w:hAnsi="Arial" w:cs="Arial"/>
          <w:sz w:val="22"/>
          <w:szCs w:val="22"/>
        </w:rPr>
        <w:t xml:space="preserve"> engagement.</w:t>
      </w:r>
      <w:r w:rsidR="00DB5ADD" w:rsidRPr="00F463BC">
        <w:rPr>
          <w:rFonts w:ascii="Arial" w:hAnsi="Arial" w:cs="Arial"/>
          <w:sz w:val="22"/>
          <w:szCs w:val="22"/>
        </w:rPr>
        <w:t xml:space="preserve"> </w:t>
      </w:r>
      <w:r w:rsidRPr="00F463BC">
        <w:rPr>
          <w:rFonts w:ascii="Arial" w:hAnsi="Arial" w:cs="Arial"/>
          <w:sz w:val="22"/>
          <w:szCs w:val="22"/>
        </w:rPr>
        <w:t xml:space="preserve">An auditor obtains reasonable assurance that the financial statements, taken as a whole, are free from material misstatement, whether caused by fraud or error. </w:t>
      </w:r>
    </w:p>
    <w:p w:rsidR="0087682D" w:rsidRPr="00F463BC" w:rsidRDefault="0087682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_1" w:history="1">
        <w:r w:rsidR="006A72E4" w:rsidRPr="00F463BC">
          <w:rPr>
            <w:rStyle w:val="Hyperlink"/>
            <w:rFonts w:ascii="Arial" w:hAnsi="Arial" w:cs="Arial"/>
            <w:sz w:val="22"/>
            <w:szCs w:val="22"/>
          </w:rPr>
          <w:t>Appendix 5 – Report on the Financial Statements (ISA 700 Report)</w:t>
        </w:r>
      </w:hyperlink>
      <w:r w:rsidRPr="00F463BC">
        <w:rPr>
          <w:rFonts w:ascii="Arial" w:hAnsi="Arial" w:cs="Arial"/>
          <w:sz w:val="22"/>
          <w:szCs w:val="22"/>
        </w:rPr>
        <w:t xml:space="preserve"> for the template report.</w:t>
      </w:r>
      <w:r w:rsidR="005362A7">
        <w:rPr>
          <w:rStyle w:val="FootnoteReference"/>
          <w:rFonts w:ascii="Arial" w:hAnsi="Arial" w:cs="Arial"/>
          <w:sz w:val="22"/>
          <w:szCs w:val="22"/>
        </w:rPr>
        <w:footnoteReference w:id="33"/>
      </w:r>
    </w:p>
    <w:p w:rsidR="003F6EFA" w:rsidRPr="00F463BC" w:rsidRDefault="003F6EFA" w:rsidP="00B82F08">
      <w:pPr>
        <w:pStyle w:val="Bulletnrs"/>
        <w:numPr>
          <w:ilvl w:val="0"/>
          <w:numId w:val="0"/>
        </w:numPr>
        <w:tabs>
          <w:tab w:val="left" w:pos="567"/>
        </w:tabs>
        <w:spacing w:before="0" w:line="271" w:lineRule="auto"/>
        <w:ind w:left="360" w:hanging="360"/>
        <w:rPr>
          <w:rFonts w:ascii="Arial" w:hAnsi="Arial" w:cs="Arial"/>
          <w:sz w:val="22"/>
          <w:szCs w:val="22"/>
        </w:rPr>
      </w:pPr>
    </w:p>
    <w:p w:rsidR="00372B2C" w:rsidRPr="00F463BC" w:rsidRDefault="00372B2C" w:rsidP="00B82F08">
      <w:pPr>
        <w:pStyle w:val="Heading2"/>
        <w:spacing w:before="0" w:line="271" w:lineRule="auto"/>
      </w:pPr>
      <w:bookmarkStart w:id="145" w:name="_Reporting_on_Parts"/>
      <w:bookmarkStart w:id="146" w:name="_Toc455582229"/>
      <w:bookmarkEnd w:id="145"/>
      <w:r w:rsidRPr="00751C45">
        <w:t>Reporting on Parts 4 to 10 of the annual statutory return</w:t>
      </w:r>
      <w:bookmarkEnd w:id="146"/>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The term “certify” is not one that is used in the audit environment</w:t>
      </w:r>
      <w:r w:rsidR="00932859">
        <w:rPr>
          <w:rFonts w:ascii="Arial" w:hAnsi="Arial" w:cs="Arial"/>
          <w:sz w:val="22"/>
          <w:szCs w:val="22"/>
        </w:rPr>
        <w:t>, as this may imply absolute assurance, and reasonable assurance is appropriate in the context of the Act.</w:t>
      </w:r>
      <w:r w:rsidRPr="00EB17A4">
        <w:rPr>
          <w:rFonts w:ascii="Arial" w:hAnsi="Arial" w:cs="Arial"/>
          <w:sz w:val="22"/>
          <w:szCs w:val="22"/>
        </w:rPr>
        <w:t xml:space="preserve"> </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Section 37(2) of the Act states, inter alia, that the annual financial statements of a medical scheme include “such other returns as the Registrar may require”. This refers to the annual statutory return. </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lastRenderedPageBreak/>
        <w:t xml:space="preserve">Section 39(3) </w:t>
      </w:r>
      <w:r w:rsidR="00BD7663" w:rsidRPr="00EB17A4">
        <w:rPr>
          <w:rFonts w:ascii="Arial" w:hAnsi="Arial" w:cs="Arial"/>
          <w:sz w:val="22"/>
          <w:szCs w:val="22"/>
        </w:rPr>
        <w:t xml:space="preserve">of the Act </w:t>
      </w:r>
      <w:r w:rsidRPr="00EB17A4">
        <w:rPr>
          <w:rFonts w:ascii="Arial" w:hAnsi="Arial" w:cs="Arial"/>
          <w:sz w:val="22"/>
          <w:szCs w:val="22"/>
        </w:rPr>
        <w:t xml:space="preserve">elaborates that a medical scheme would be deemed not have complied unless any income statement, cash flow statement, balance sheet or return required to be submitted is “certified” by the auditor of the medical scheme. </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As the annual statutory return is seen as part of the annual financial statements, the annual statutory return is therefore required to be audited in terms of section 37(3) of the Act. </w:t>
      </w:r>
    </w:p>
    <w:p w:rsidR="006B1583"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Parts 4 to 10 of the annual statutory return </w:t>
      </w:r>
      <w:r w:rsidR="006B1583" w:rsidRPr="00EB17A4">
        <w:rPr>
          <w:rFonts w:ascii="Arial" w:hAnsi="Arial" w:cs="Arial"/>
          <w:sz w:val="22"/>
          <w:szCs w:val="22"/>
        </w:rPr>
        <w:t>comprise information from the financial statements, prepared in accordance with IFRS, and additional historical financial information extracted from the underlying accounting records of the medical scheme, for the purpose of reporting to the Registrar</w:t>
      </w:r>
      <w:r w:rsidRPr="00EB17A4">
        <w:rPr>
          <w:rFonts w:ascii="Arial" w:hAnsi="Arial" w:cs="Arial"/>
          <w:sz w:val="22"/>
          <w:szCs w:val="22"/>
        </w:rPr>
        <w:t xml:space="preserve">. </w:t>
      </w:r>
      <w:r w:rsidR="006B1583"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sidR="006B1583">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6B1583" w:rsidRPr="001B129E">
        <w:rPr>
          <w:rFonts w:ascii="Arial" w:hAnsi="Arial" w:cs="Arial"/>
          <w:sz w:val="22"/>
          <w:szCs w:val="22"/>
        </w:rPr>
        <w:t xml:space="preserve">. </w:t>
      </w:r>
      <w:r w:rsidR="006B1583" w:rsidRPr="00F463BC">
        <w:rPr>
          <w:rFonts w:ascii="Arial" w:hAnsi="Arial" w:cs="Arial"/>
          <w:sz w:val="22"/>
          <w:szCs w:val="22"/>
        </w:rPr>
        <w:t>For the purpose of this engagement, an auditor obtains additional evidence necessary to provide a reasonable basis for the auditor’s opinion in addition to the evidence obtained during the course of the audit of the financial statements</w:t>
      </w:r>
      <w:r w:rsidR="006B1583">
        <w:rPr>
          <w:rFonts w:ascii="Arial" w:hAnsi="Arial" w:cs="Arial"/>
          <w:sz w:val="22"/>
          <w:szCs w:val="22"/>
        </w:rPr>
        <w:t>.</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Part 6.2 of the annual statutory return is the </w:t>
      </w:r>
      <w:r w:rsidR="006B1583">
        <w:rPr>
          <w:rFonts w:ascii="Arial" w:hAnsi="Arial" w:cs="Arial"/>
          <w:sz w:val="22"/>
          <w:szCs w:val="22"/>
        </w:rPr>
        <w:t>“</w:t>
      </w:r>
      <w:r w:rsidRPr="00EB17A4">
        <w:rPr>
          <w:rFonts w:ascii="Arial" w:hAnsi="Arial" w:cs="Arial"/>
          <w:sz w:val="22"/>
          <w:szCs w:val="22"/>
        </w:rPr>
        <w:t>Monthly Statement of Net Healthcare Result</w:t>
      </w:r>
      <w:r w:rsidR="006B1583">
        <w:rPr>
          <w:rFonts w:ascii="Arial" w:hAnsi="Arial" w:cs="Arial"/>
          <w:sz w:val="22"/>
          <w:szCs w:val="22"/>
        </w:rPr>
        <w:t>”</w:t>
      </w:r>
      <w:r w:rsidRPr="00EB17A4">
        <w:rPr>
          <w:rFonts w:ascii="Arial" w:hAnsi="Arial" w:cs="Arial"/>
          <w:sz w:val="22"/>
          <w:szCs w:val="22"/>
        </w:rPr>
        <w:t xml:space="preserve"> which contains monthly financial information that would not be audited as part of the audit of the financial statements.</w:t>
      </w:r>
    </w:p>
    <w:p w:rsidR="00BD7663" w:rsidRPr="00EB17A4" w:rsidRDefault="00BD7663"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An </w:t>
      </w:r>
      <w:r w:rsidR="00CB6F30" w:rsidRPr="00EB17A4">
        <w:rPr>
          <w:rFonts w:ascii="Arial" w:hAnsi="Arial" w:cs="Arial"/>
          <w:sz w:val="22"/>
          <w:szCs w:val="22"/>
        </w:rPr>
        <w:t>auditor</w:t>
      </w:r>
      <w:r w:rsidRPr="00EB17A4">
        <w:rPr>
          <w:rFonts w:ascii="Arial" w:hAnsi="Arial" w:cs="Arial"/>
          <w:sz w:val="22"/>
          <w:szCs w:val="22"/>
        </w:rPr>
        <w:t xml:space="preserve"> is</w:t>
      </w:r>
      <w:r w:rsidR="00CB6F30" w:rsidRPr="00EB17A4">
        <w:rPr>
          <w:rFonts w:ascii="Arial" w:hAnsi="Arial" w:cs="Arial"/>
          <w:sz w:val="22"/>
          <w:szCs w:val="22"/>
        </w:rPr>
        <w:t xml:space="preserve"> able to express only a limited assurance conclusion on Part 6.2 of the annual statutory return. </w:t>
      </w:r>
      <w:r w:rsidR="006B1583" w:rsidRPr="001B129E">
        <w:rPr>
          <w:rFonts w:ascii="Arial" w:hAnsi="Arial" w:cs="Arial"/>
          <w:sz w:val="22"/>
          <w:szCs w:val="22"/>
        </w:rPr>
        <w:t xml:space="preserve">A limited assurance conclusion is provided on whether anything has come to the attention of the auditor that causes the auditor to believe that Part 6.2 of the </w:t>
      </w:r>
      <w:r w:rsidR="006B1583">
        <w:rPr>
          <w:rFonts w:ascii="Arial" w:hAnsi="Arial" w:cs="Arial"/>
          <w:sz w:val="22"/>
          <w:szCs w:val="22"/>
        </w:rPr>
        <w:t>annual statutory return</w:t>
      </w:r>
      <w:r w:rsidR="006B1583" w:rsidRPr="001B129E">
        <w:rPr>
          <w:rFonts w:ascii="Arial" w:hAnsi="Arial" w:cs="Arial"/>
          <w:sz w:val="22"/>
          <w:szCs w:val="22"/>
        </w:rPr>
        <w:t xml:space="preserve"> is not prepared in all material respects in accordance with the provisions of the Act and related Regulations</w:t>
      </w:r>
      <w:r w:rsidR="006B1583">
        <w:rPr>
          <w:rFonts w:ascii="Arial" w:hAnsi="Arial" w:cs="Arial"/>
          <w:sz w:val="22"/>
          <w:szCs w:val="22"/>
        </w:rPr>
        <w:t xml:space="preserve">. </w:t>
      </w:r>
      <w:r w:rsidR="006B1583" w:rsidRPr="001B129E">
        <w:rPr>
          <w:rFonts w:ascii="Arial" w:hAnsi="Arial" w:cs="Arial"/>
          <w:sz w:val="22"/>
          <w:szCs w:val="22"/>
        </w:rPr>
        <w:t>This review engagement is performed in terms of ISRE</w:t>
      </w:r>
      <w:r w:rsidR="006B1583">
        <w:rPr>
          <w:rFonts w:ascii="Arial" w:hAnsi="Arial" w:cs="Arial"/>
          <w:sz w:val="22"/>
          <w:szCs w:val="22"/>
        </w:rPr>
        <w:t> </w:t>
      </w:r>
      <w:r w:rsidR="006B1583" w:rsidRPr="001B129E">
        <w:rPr>
          <w:rFonts w:ascii="Arial" w:hAnsi="Arial" w:cs="Arial"/>
          <w:sz w:val="22"/>
          <w:szCs w:val="22"/>
        </w:rPr>
        <w:t xml:space="preserve">2410. </w:t>
      </w:r>
      <w:r w:rsidR="006B1583" w:rsidRPr="00F463BC">
        <w:rPr>
          <w:rFonts w:ascii="Arial" w:hAnsi="Arial" w:cs="Arial"/>
          <w:sz w:val="22"/>
          <w:szCs w:val="22"/>
        </w:rPr>
        <w:t>For the purpose of this engagement, an auditor obtains additional evidence necessary to provide a limited assurance conclusion, in addition to the evidence obtained during the course of the audit of the financial statements</w:t>
      </w:r>
      <w:r w:rsidR="006B1583">
        <w:rPr>
          <w:rFonts w:ascii="Arial" w:hAnsi="Arial" w:cs="Arial"/>
          <w:sz w:val="22"/>
          <w:szCs w:val="22"/>
        </w:rPr>
        <w:t>.</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This auditor report is therefore a combined:</w:t>
      </w:r>
    </w:p>
    <w:p w:rsidR="00CB6F30" w:rsidRPr="00E753ED" w:rsidRDefault="00CB6F30" w:rsidP="00E753ED">
      <w:pPr>
        <w:pStyle w:val="Bulletsa"/>
        <w:keepNext/>
        <w:numPr>
          <w:ilvl w:val="0"/>
          <w:numId w:val="336"/>
        </w:numPr>
        <w:tabs>
          <w:tab w:val="left" w:pos="993"/>
        </w:tabs>
        <w:spacing w:before="0" w:line="271" w:lineRule="auto"/>
        <w:ind w:left="993"/>
        <w:rPr>
          <w:rFonts w:ascii="Arial" w:hAnsi="Arial" w:cs="Arial"/>
          <w:sz w:val="22"/>
          <w:szCs w:val="22"/>
        </w:rPr>
      </w:pPr>
      <w:r w:rsidRPr="00EB17A4">
        <w:rPr>
          <w:rFonts w:ascii="Arial" w:hAnsi="Arial" w:cs="Arial"/>
          <w:sz w:val="22"/>
          <w:szCs w:val="22"/>
        </w:rPr>
        <w:t>ISA 800</w:t>
      </w:r>
      <w:r w:rsidRPr="00E753ED">
        <w:rPr>
          <w:rFonts w:ascii="Arial" w:hAnsi="Arial" w:cs="Arial"/>
          <w:sz w:val="22"/>
          <w:szCs w:val="22"/>
          <w:vertAlign w:val="superscript"/>
        </w:rPr>
        <w:footnoteReference w:id="34"/>
      </w:r>
      <w:r w:rsidRPr="00E753ED">
        <w:rPr>
          <w:rFonts w:ascii="Arial" w:hAnsi="Arial" w:cs="Arial"/>
          <w:sz w:val="22"/>
          <w:szCs w:val="22"/>
          <w:vertAlign w:val="superscript"/>
        </w:rPr>
        <w:t xml:space="preserve"> </w:t>
      </w:r>
      <w:r w:rsidRPr="00EB17A4">
        <w:rPr>
          <w:rFonts w:ascii="Arial" w:hAnsi="Arial" w:cs="Arial"/>
          <w:sz w:val="22"/>
          <w:szCs w:val="22"/>
        </w:rPr>
        <w:t>assurance report on Parts 4 to 6.1 and 6.3 to 10 of the annual statutory return, providing a reasonable assurance opinion; and</w:t>
      </w:r>
    </w:p>
    <w:p w:rsidR="00CB6F30" w:rsidRPr="00E753ED" w:rsidRDefault="00CB6F30" w:rsidP="00E753ED">
      <w:pPr>
        <w:pStyle w:val="Bulletsa"/>
        <w:keepNext/>
        <w:numPr>
          <w:ilvl w:val="0"/>
          <w:numId w:val="336"/>
        </w:numPr>
        <w:tabs>
          <w:tab w:val="left" w:pos="993"/>
        </w:tabs>
        <w:spacing w:before="0" w:line="271" w:lineRule="auto"/>
        <w:ind w:left="993"/>
        <w:rPr>
          <w:rFonts w:ascii="Arial" w:hAnsi="Arial" w:cs="Arial"/>
          <w:sz w:val="22"/>
          <w:szCs w:val="22"/>
        </w:rPr>
      </w:pPr>
      <w:r w:rsidRPr="00EB17A4">
        <w:rPr>
          <w:rFonts w:ascii="Arial" w:hAnsi="Arial" w:cs="Arial"/>
          <w:sz w:val="22"/>
          <w:szCs w:val="22"/>
        </w:rPr>
        <w:t>ISRE 2410</w:t>
      </w:r>
      <w:r w:rsidRPr="00E753ED">
        <w:rPr>
          <w:rFonts w:ascii="Arial" w:hAnsi="Arial" w:cs="Arial"/>
          <w:sz w:val="22"/>
          <w:szCs w:val="22"/>
          <w:vertAlign w:val="superscript"/>
        </w:rPr>
        <w:footnoteReference w:id="35"/>
      </w:r>
      <w:r w:rsidRPr="00E753ED">
        <w:rPr>
          <w:rFonts w:ascii="Arial" w:hAnsi="Arial" w:cs="Arial"/>
          <w:sz w:val="22"/>
          <w:szCs w:val="22"/>
          <w:vertAlign w:val="superscript"/>
        </w:rPr>
        <w:t xml:space="preserve"> </w:t>
      </w:r>
      <w:r w:rsidRPr="00EB17A4">
        <w:rPr>
          <w:rFonts w:ascii="Arial" w:hAnsi="Arial" w:cs="Arial"/>
          <w:sz w:val="22"/>
          <w:szCs w:val="22"/>
        </w:rPr>
        <w:t>review report on Part 6.2 of the annual statutory return, providing a limited assurance conclusion.</w:t>
      </w:r>
    </w:p>
    <w:p w:rsidR="00372B2C" w:rsidRPr="00F463BC" w:rsidRDefault="00372B2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Refer to</w:t>
      </w:r>
      <w:r w:rsidR="00A73464" w:rsidRPr="00F463BC">
        <w:rPr>
          <w:rFonts w:ascii="Arial" w:hAnsi="Arial" w:cs="Arial"/>
          <w:sz w:val="22"/>
          <w:szCs w:val="22"/>
        </w:rPr>
        <w:t xml:space="preserve"> </w:t>
      </w:r>
      <w:hyperlink w:anchor="_Appendix_6_–_1" w:history="1">
        <w:r w:rsidR="00A73464" w:rsidRPr="00F463BC">
          <w:rPr>
            <w:rStyle w:val="Hyperlink"/>
            <w:rFonts w:ascii="Arial" w:hAnsi="Arial" w:cs="Arial"/>
            <w:sz w:val="22"/>
            <w:szCs w:val="22"/>
          </w:rPr>
          <w:t>Appendix 6 – Report on Parts 4 to 10 of the Annual Statutory Return (combined ISA 800 and ISRE 2410 Report)</w:t>
        </w:r>
      </w:hyperlink>
      <w:r w:rsidR="00A73464" w:rsidRPr="00F463BC">
        <w:rPr>
          <w:rFonts w:ascii="Arial" w:hAnsi="Arial" w:cs="Arial"/>
          <w:sz w:val="22"/>
          <w:szCs w:val="22"/>
        </w:rPr>
        <w:t xml:space="preserve"> </w:t>
      </w:r>
      <w:r w:rsidR="00E27EDF" w:rsidRPr="00F463BC">
        <w:rPr>
          <w:rFonts w:ascii="Arial" w:hAnsi="Arial" w:cs="Arial"/>
          <w:sz w:val="22"/>
          <w:szCs w:val="22"/>
        </w:rPr>
        <w:t>f</w:t>
      </w:r>
      <w:r w:rsidRPr="00F463BC">
        <w:rPr>
          <w:rFonts w:ascii="Arial" w:hAnsi="Arial" w:cs="Arial"/>
          <w:sz w:val="22"/>
          <w:szCs w:val="22"/>
        </w:rPr>
        <w:t xml:space="preserve">or the </w:t>
      </w:r>
      <w:r w:rsidR="0045672F" w:rsidRPr="00F463BC">
        <w:rPr>
          <w:rFonts w:ascii="Arial" w:hAnsi="Arial" w:cs="Arial"/>
          <w:sz w:val="22"/>
          <w:szCs w:val="22"/>
        </w:rPr>
        <w:t xml:space="preserve">template </w:t>
      </w:r>
      <w:r w:rsidRPr="00F463BC">
        <w:rPr>
          <w:rFonts w:ascii="Arial" w:hAnsi="Arial" w:cs="Arial"/>
          <w:sz w:val="22"/>
          <w:szCs w:val="22"/>
        </w:rPr>
        <w:t>report.</w:t>
      </w:r>
    </w:p>
    <w:p w:rsidR="00372B2C" w:rsidRPr="00F463BC" w:rsidRDefault="00372B2C" w:rsidP="00540275">
      <w:pPr>
        <w:pStyle w:val="Heading2"/>
        <w:spacing w:before="0" w:line="271" w:lineRule="auto"/>
      </w:pPr>
    </w:p>
    <w:p w:rsidR="00540275" w:rsidRPr="00F463BC" w:rsidRDefault="00540275" w:rsidP="00766953">
      <w:pPr>
        <w:pStyle w:val="Heading2"/>
        <w:keepNext/>
        <w:spacing w:before="0" w:line="271" w:lineRule="auto"/>
      </w:pPr>
      <w:bookmarkStart w:id="147" w:name="_Reporting_on_non-compliance_1"/>
      <w:bookmarkStart w:id="148" w:name="_Toc455582230"/>
      <w:bookmarkEnd w:id="147"/>
      <w:r w:rsidRPr="00F463BC">
        <w:lastRenderedPageBreak/>
        <w:t xml:space="preserve">Reporting on non-compliance by both an </w:t>
      </w:r>
      <w:r w:rsidR="00841F2F" w:rsidRPr="00F463BC">
        <w:t xml:space="preserve">auditor and a board of trustees </w:t>
      </w:r>
      <w:r w:rsidRPr="00F463BC">
        <w:t>of a medical scheme</w:t>
      </w:r>
      <w:bookmarkEnd w:id="148"/>
    </w:p>
    <w:p w:rsidR="00F472B2" w:rsidRPr="00F463BC" w:rsidRDefault="00F472B2">
      <w:pPr>
        <w:pStyle w:val="Heading3"/>
        <w:keepNext/>
        <w:spacing w:before="0" w:line="271" w:lineRule="auto"/>
      </w:pPr>
      <w:bookmarkStart w:id="149" w:name="_Report_on_Other"/>
      <w:bookmarkEnd w:id="149"/>
      <w:r w:rsidRPr="00F463BC">
        <w:t>Report on Other Legal and Regulatory Requirements</w:t>
      </w:r>
    </w:p>
    <w:p w:rsidR="00165D74" w:rsidRPr="00F463BC" w:rsidRDefault="00165D74" w:rsidP="00766953">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To provide further guidance, the Council issued Circular 11 of 2006</w:t>
      </w:r>
      <w:r w:rsidR="008F49EB" w:rsidRPr="00F463BC">
        <w:rPr>
          <w:rStyle w:val="FootnoteReference"/>
          <w:rFonts w:ascii="Arial" w:hAnsi="Arial" w:cs="Arial"/>
          <w:sz w:val="22"/>
          <w:szCs w:val="22"/>
        </w:rPr>
        <w:footnoteReference w:id="36"/>
      </w:r>
      <w:r w:rsidRPr="00F463BC">
        <w:rPr>
          <w:rFonts w:ascii="Arial" w:hAnsi="Arial" w:cs="Arial"/>
          <w:sz w:val="22"/>
          <w:szCs w:val="22"/>
        </w:rPr>
        <w:t xml:space="preserve"> in terms of which the following non-compliance disclosures are required:</w:t>
      </w:r>
    </w:p>
    <w:p w:rsidR="00165D74" w:rsidRPr="00F463BC" w:rsidRDefault="00165D74" w:rsidP="00B82F08">
      <w:pPr>
        <w:pStyle w:val="Bulletsa"/>
        <w:numPr>
          <w:ilvl w:val="0"/>
          <w:numId w:val="246"/>
        </w:numPr>
        <w:tabs>
          <w:tab w:val="left" w:pos="993"/>
        </w:tabs>
        <w:spacing w:before="0" w:line="271" w:lineRule="auto"/>
        <w:ind w:left="993"/>
        <w:rPr>
          <w:rFonts w:ascii="Arial" w:hAnsi="Arial" w:cs="Arial"/>
          <w:sz w:val="22"/>
          <w:szCs w:val="22"/>
        </w:rPr>
      </w:pPr>
      <w:r w:rsidRPr="00F463BC">
        <w:rPr>
          <w:rFonts w:ascii="Arial" w:hAnsi="Arial" w:cs="Arial"/>
          <w:sz w:val="22"/>
          <w:szCs w:val="22"/>
        </w:rPr>
        <w:t xml:space="preserve">All non-compliance matters should be reported in the </w:t>
      </w:r>
      <w:r w:rsidRPr="00F463BC">
        <w:rPr>
          <w:rFonts w:ascii="Arial" w:hAnsi="Arial" w:cs="Arial"/>
          <w:i/>
          <w:sz w:val="22"/>
          <w:szCs w:val="22"/>
        </w:rPr>
        <w:t>report of the board of trustees</w:t>
      </w:r>
      <w:r w:rsidRPr="00F463BC">
        <w:rPr>
          <w:rFonts w:ascii="Arial" w:hAnsi="Arial" w:cs="Arial"/>
          <w:sz w:val="22"/>
          <w:szCs w:val="22"/>
        </w:rPr>
        <w:t>, irrespective of whether an auditor considers them to be material or not. The Council does not consider it sufficient to make reference to the relevant notes in the financial statements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000E3B0A" w:rsidRPr="00F463BC">
        <w:rPr>
          <w:rFonts w:ascii="Arial" w:hAnsi="Arial" w:cs="Arial"/>
          <w:sz w:val="22"/>
          <w:szCs w:val="22"/>
        </w:rPr>
        <w:t>.</w:t>
      </w:r>
    </w:p>
    <w:p w:rsidR="00165D74" w:rsidRPr="00F463BC" w:rsidRDefault="00165D74" w:rsidP="00B82F08">
      <w:pPr>
        <w:pStyle w:val="Bulletsa"/>
        <w:numPr>
          <w:ilvl w:val="0"/>
          <w:numId w:val="2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All non-compliance matters noted should be disclosed in the </w:t>
      </w:r>
      <w:r w:rsidRPr="00F463BC">
        <w:rPr>
          <w:rFonts w:ascii="Arial" w:hAnsi="Arial" w:cs="Arial"/>
          <w:i/>
          <w:sz w:val="22"/>
          <w:szCs w:val="22"/>
        </w:rPr>
        <w:t>notes to the audited financial statements</w:t>
      </w:r>
      <w:r w:rsidRPr="00F463BC">
        <w:rPr>
          <w:rFonts w:ascii="Arial" w:hAnsi="Arial" w:cs="Arial"/>
          <w:sz w:val="22"/>
          <w:szCs w:val="22"/>
        </w:rPr>
        <w:t>, irrespective of whether an auditor considers them to be material or not</w:t>
      </w:r>
      <w:r w:rsidR="000E3B0A" w:rsidRPr="00F463BC">
        <w:rPr>
          <w:rFonts w:ascii="Arial" w:hAnsi="Arial" w:cs="Arial"/>
          <w:i/>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Pr="00F463BC">
        <w:rPr>
          <w:rFonts w:ascii="Arial" w:hAnsi="Arial" w:cs="Arial"/>
          <w:sz w:val="22"/>
          <w:szCs w:val="22"/>
        </w:rPr>
        <w:t>; and</w:t>
      </w:r>
    </w:p>
    <w:p w:rsidR="00165D74" w:rsidRPr="00F463BC" w:rsidRDefault="00165D74" w:rsidP="00B82F08">
      <w:pPr>
        <w:pStyle w:val="Bulletsa"/>
        <w:numPr>
          <w:ilvl w:val="0"/>
          <w:numId w:val="2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All non-compliance matters, which are considered to be material by an auditor, should be reported on in the </w:t>
      </w:r>
      <w:r w:rsidRPr="00F463BC">
        <w:rPr>
          <w:rFonts w:ascii="Arial" w:hAnsi="Arial" w:cs="Arial"/>
          <w:i/>
          <w:sz w:val="22"/>
          <w:szCs w:val="22"/>
        </w:rPr>
        <w:t>auditor’s ISA 700 report</w:t>
      </w:r>
      <w:r w:rsidRPr="00F463BC">
        <w:rPr>
          <w:rFonts w:ascii="Arial" w:hAnsi="Arial" w:cs="Arial"/>
          <w:sz w:val="22"/>
          <w:szCs w:val="22"/>
        </w:rPr>
        <w:t>, under the sub-heading “Report on Other Legal and Regulatory Requirements”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reporting is the </w:t>
      </w:r>
      <w:r w:rsidR="000E3B0A" w:rsidRPr="00F463BC">
        <w:rPr>
          <w:rFonts w:ascii="Arial" w:hAnsi="Arial" w:cs="Arial"/>
          <w:i/>
          <w:sz w:val="22"/>
          <w:szCs w:val="22"/>
        </w:rPr>
        <w:t>responsibility of the auditor</w:t>
      </w:r>
      <w:r w:rsidRPr="00F463BC">
        <w:rPr>
          <w:rFonts w:ascii="Arial" w:hAnsi="Arial" w:cs="Arial"/>
          <w:sz w:val="22"/>
          <w:szCs w:val="22"/>
        </w:rPr>
        <w:t>.</w:t>
      </w:r>
      <w:r w:rsidR="00DD704D">
        <w:rPr>
          <w:rFonts w:ascii="Arial" w:hAnsi="Arial" w:cs="Arial"/>
          <w:sz w:val="22"/>
          <w:szCs w:val="22"/>
        </w:rPr>
        <w:t xml:space="preserve"> Where no material instances of non-compliance have come to an auditor’s attention, a statement to this effect should be made.</w:t>
      </w:r>
    </w:p>
    <w:p w:rsidR="004711AF" w:rsidRPr="00F463BC" w:rsidRDefault="004711AF" w:rsidP="004711AF">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board of trustees are required to disclose the following information in regard to non-compliance matters:</w:t>
      </w:r>
    </w:p>
    <w:p w:rsidR="004711AF" w:rsidRPr="00F463BC" w:rsidRDefault="004711AF" w:rsidP="004711AF">
      <w:pPr>
        <w:pStyle w:val="Bulletsa"/>
        <w:numPr>
          <w:ilvl w:val="0"/>
          <w:numId w:val="271"/>
        </w:numPr>
        <w:tabs>
          <w:tab w:val="left" w:pos="993"/>
        </w:tabs>
        <w:spacing w:before="0" w:line="271" w:lineRule="auto"/>
        <w:ind w:left="993"/>
        <w:rPr>
          <w:rFonts w:ascii="Arial" w:hAnsi="Arial" w:cs="Arial"/>
          <w:sz w:val="22"/>
          <w:szCs w:val="22"/>
        </w:rPr>
      </w:pPr>
      <w:r w:rsidRPr="00F463BC">
        <w:rPr>
          <w:rFonts w:ascii="Arial" w:hAnsi="Arial" w:cs="Arial"/>
          <w:sz w:val="22"/>
          <w:szCs w:val="22"/>
        </w:rPr>
        <w:t xml:space="preserve">Nature and cause of the non-compliance; </w:t>
      </w:r>
    </w:p>
    <w:p w:rsidR="004711AF" w:rsidRPr="00F463BC" w:rsidRDefault="004711AF" w:rsidP="004711AF">
      <w:pPr>
        <w:pStyle w:val="Bulletsa"/>
        <w:numPr>
          <w:ilvl w:val="0"/>
          <w:numId w:val="271"/>
        </w:numPr>
        <w:tabs>
          <w:tab w:val="left" w:pos="993"/>
        </w:tabs>
        <w:spacing w:before="0" w:line="271" w:lineRule="auto"/>
        <w:ind w:left="993"/>
        <w:rPr>
          <w:rFonts w:ascii="Arial" w:hAnsi="Arial" w:cs="Arial"/>
          <w:sz w:val="22"/>
          <w:szCs w:val="22"/>
        </w:rPr>
      </w:pPr>
      <w:r w:rsidRPr="00F463BC">
        <w:rPr>
          <w:rFonts w:ascii="Arial" w:hAnsi="Arial" w:cs="Arial"/>
          <w:sz w:val="22"/>
          <w:szCs w:val="22"/>
        </w:rPr>
        <w:t>Possible impact of the non-compliance; and</w:t>
      </w:r>
    </w:p>
    <w:p w:rsidR="004711AF" w:rsidRPr="00F463BC" w:rsidRDefault="004711AF" w:rsidP="004711AF">
      <w:pPr>
        <w:pStyle w:val="Bulletsa"/>
        <w:numPr>
          <w:ilvl w:val="0"/>
          <w:numId w:val="271"/>
        </w:numPr>
        <w:tabs>
          <w:tab w:val="left" w:pos="993"/>
        </w:tabs>
        <w:spacing w:before="0" w:line="271" w:lineRule="auto"/>
        <w:ind w:left="993"/>
        <w:rPr>
          <w:rFonts w:ascii="Arial" w:hAnsi="Arial" w:cs="Arial"/>
          <w:sz w:val="22"/>
          <w:szCs w:val="22"/>
        </w:rPr>
      </w:pPr>
      <w:r w:rsidRPr="00F463BC">
        <w:rPr>
          <w:rFonts w:ascii="Arial" w:hAnsi="Arial" w:cs="Arial"/>
          <w:sz w:val="22"/>
          <w:szCs w:val="22"/>
        </w:rPr>
        <w:t>The course of action being adopted to ensure compliance therewith, including the period in which compliance will be achieved.</w:t>
      </w:r>
    </w:p>
    <w:p w:rsidR="00AD58BE" w:rsidRPr="00F463BC" w:rsidRDefault="00AD58BE"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conducting the audit of the financial statements, an auditor has regard to the legal and regulatory framework applicable to a medical scheme. As part of the audit procedures, an auditor considers a medical scheme’s compliance, procedural and other obligations imposed by the Act, the </w:t>
      </w:r>
      <w:r w:rsidR="00D4343E">
        <w:rPr>
          <w:rFonts w:ascii="Arial" w:hAnsi="Arial" w:cs="Arial"/>
          <w:sz w:val="22"/>
          <w:szCs w:val="22"/>
        </w:rPr>
        <w:t xml:space="preserve">related </w:t>
      </w:r>
      <w:r w:rsidRPr="00F463BC">
        <w:rPr>
          <w:rFonts w:ascii="Arial" w:hAnsi="Arial" w:cs="Arial"/>
          <w:sz w:val="22"/>
          <w:szCs w:val="22"/>
        </w:rPr>
        <w:t xml:space="preserve">Regulations, the Circulars and the </w:t>
      </w:r>
      <w:r w:rsidR="00EA3C6A" w:rsidRPr="00F463BC">
        <w:rPr>
          <w:rFonts w:ascii="Arial" w:hAnsi="Arial" w:cs="Arial"/>
          <w:sz w:val="22"/>
          <w:szCs w:val="22"/>
        </w:rPr>
        <w:t>Rule</w:t>
      </w:r>
      <w:r w:rsidRPr="00F463BC">
        <w:rPr>
          <w:rFonts w:ascii="Arial" w:hAnsi="Arial" w:cs="Arial"/>
          <w:sz w:val="22"/>
          <w:szCs w:val="22"/>
        </w:rPr>
        <w:t>s</w:t>
      </w:r>
      <w:r w:rsidR="00B364BD" w:rsidRPr="00F463BC">
        <w:rPr>
          <w:rFonts w:ascii="Arial" w:hAnsi="Arial" w:cs="Arial"/>
          <w:sz w:val="22"/>
          <w:szCs w:val="22"/>
        </w:rPr>
        <w:t xml:space="preserve"> of the medical scheme</w:t>
      </w:r>
      <w:r w:rsidRPr="00F463BC">
        <w:rPr>
          <w:rFonts w:ascii="Arial" w:hAnsi="Arial" w:cs="Arial"/>
          <w:sz w:val="22"/>
          <w:szCs w:val="22"/>
        </w:rPr>
        <w:t xml:space="preserve">.  </w:t>
      </w:r>
    </w:p>
    <w:p w:rsidR="00AD58BE" w:rsidRPr="00F463BC"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remains alert to the possibility that other audit procedures applied for the purpose of forming an opinion on financial statements may bring instances of possible non-compliance to an auditor’s attention. </w:t>
      </w:r>
    </w:p>
    <w:p w:rsidR="00AD58BE" w:rsidRPr="00F463BC"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determining what non-compliance matters to report an auditor considers:  </w:t>
      </w:r>
    </w:p>
    <w:p w:rsidR="00AD58BE" w:rsidRPr="00F463BC" w:rsidRDefault="00AD58BE" w:rsidP="00B82F08">
      <w:pPr>
        <w:pStyle w:val="Bulletsa"/>
        <w:numPr>
          <w:ilvl w:val="0"/>
          <w:numId w:val="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Non-compliance with those laws and regulations generally recognised by an auditor to have a direct effect on the determination of material amounts and disclosures in the financial statements; and</w:t>
      </w:r>
    </w:p>
    <w:p w:rsidR="00AD58BE" w:rsidRPr="00F463BC" w:rsidRDefault="00AD58BE" w:rsidP="00B82F08">
      <w:pPr>
        <w:pStyle w:val="Bulletsa"/>
        <w:numPr>
          <w:ilvl w:val="0"/>
          <w:numId w:val="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Non-compliance with laws and regulations that do not have a direct effect on the determination of the amounts and disclosures in the financial statements, but compliance with which may be fundamental to a</w:t>
      </w:r>
      <w:r w:rsidR="00B364BD" w:rsidRPr="00F463BC">
        <w:rPr>
          <w:rFonts w:ascii="Arial" w:hAnsi="Arial" w:cs="Arial"/>
          <w:sz w:val="22"/>
          <w:szCs w:val="22"/>
        </w:rPr>
        <w:t xml:space="preserve"> scheme’s</w:t>
      </w:r>
      <w:r w:rsidRPr="00F463BC">
        <w:rPr>
          <w:rFonts w:ascii="Arial" w:hAnsi="Arial" w:cs="Arial"/>
          <w:sz w:val="22"/>
          <w:szCs w:val="22"/>
        </w:rPr>
        <w:t xml:space="preserve"> ability to continue its business or to avoid material penalties which may have a material effect on the</w:t>
      </w:r>
      <w:r w:rsidR="00B364BD" w:rsidRPr="00F463BC">
        <w:rPr>
          <w:rFonts w:ascii="Arial" w:hAnsi="Arial" w:cs="Arial"/>
          <w:sz w:val="22"/>
          <w:szCs w:val="22"/>
        </w:rPr>
        <w:t xml:space="preserve"> </w:t>
      </w:r>
      <w:r w:rsidRPr="00F463BC">
        <w:rPr>
          <w:rFonts w:ascii="Arial" w:hAnsi="Arial" w:cs="Arial"/>
          <w:sz w:val="22"/>
          <w:szCs w:val="22"/>
        </w:rPr>
        <w:t>financial statements.</w:t>
      </w:r>
    </w:p>
    <w:p w:rsidR="00AD58BE" w:rsidRPr="00F463BC"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particular, there may be laws and regulations, relating principally to the operating aspects of a medical scheme, which typically do not have a material effect on the financial statements and are not captured by a medical scheme’s accounting and internal control information systems relevant to financial reporting. An auditor’s report relates specifically to the financial statements and </w:t>
      </w:r>
      <w:r w:rsidR="00B57C15">
        <w:rPr>
          <w:rFonts w:ascii="Arial" w:hAnsi="Arial" w:cs="Arial"/>
          <w:sz w:val="22"/>
          <w:szCs w:val="22"/>
        </w:rPr>
        <w:t>the auditor</w:t>
      </w:r>
      <w:r w:rsidRPr="00F463BC">
        <w:rPr>
          <w:rFonts w:ascii="Arial" w:hAnsi="Arial" w:cs="Arial"/>
          <w:sz w:val="22"/>
          <w:szCs w:val="22"/>
        </w:rPr>
        <w:t xml:space="preserve"> may therefore not consider compliance with laws and regulations that do not have </w:t>
      </w:r>
      <w:r w:rsidR="00B57C15">
        <w:rPr>
          <w:rFonts w:ascii="Arial" w:hAnsi="Arial" w:cs="Arial"/>
          <w:sz w:val="22"/>
          <w:szCs w:val="22"/>
        </w:rPr>
        <w:t xml:space="preserve">a material impact on the </w:t>
      </w:r>
      <w:r w:rsidRPr="00F463BC">
        <w:rPr>
          <w:rFonts w:ascii="Arial" w:hAnsi="Arial" w:cs="Arial"/>
          <w:sz w:val="22"/>
          <w:szCs w:val="22"/>
        </w:rPr>
        <w:t>financial statement</w:t>
      </w:r>
      <w:r w:rsidR="00B57C15">
        <w:rPr>
          <w:rFonts w:ascii="Arial" w:hAnsi="Arial" w:cs="Arial"/>
          <w:sz w:val="22"/>
          <w:szCs w:val="22"/>
        </w:rPr>
        <w:t>s</w:t>
      </w:r>
      <w:r w:rsidRPr="00F463BC">
        <w:rPr>
          <w:rFonts w:ascii="Arial" w:hAnsi="Arial" w:cs="Arial"/>
          <w:sz w:val="22"/>
          <w:szCs w:val="22"/>
        </w:rPr>
        <w:t>.</w:t>
      </w:r>
    </w:p>
    <w:p w:rsidR="00AD58BE" w:rsidRPr="00944A95"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auditor’s attention is drawn to the requirements listed in </w:t>
      </w:r>
      <w:hyperlink w:anchor="_Appendix_3_–_1" w:history="1">
        <w:r w:rsidRPr="00F463BC">
          <w:rPr>
            <w:rStyle w:val="Hyperlink"/>
            <w:rFonts w:ascii="Arial" w:hAnsi="Arial" w:cs="Arial"/>
            <w:sz w:val="22"/>
            <w:szCs w:val="22"/>
          </w:rPr>
          <w:t>Appendix 3 – Extracts from and commentary on the Medical Schemes Act and Regulations</w:t>
        </w:r>
      </w:hyperlink>
      <w:r w:rsidRPr="00F463BC">
        <w:rPr>
          <w:rFonts w:ascii="Arial" w:hAnsi="Arial" w:cs="Arial"/>
          <w:sz w:val="22"/>
          <w:szCs w:val="22"/>
        </w:rPr>
        <w:t xml:space="preserve">, and </w:t>
      </w:r>
      <w:hyperlink w:anchor="_Appendix_9_–_1" w:history="1">
        <w:r w:rsidRPr="00F463BC">
          <w:rPr>
            <w:rStyle w:val="Hyperlink"/>
            <w:rFonts w:ascii="Arial" w:hAnsi="Arial" w:cs="Arial"/>
            <w:sz w:val="22"/>
            <w:szCs w:val="22"/>
          </w:rPr>
          <w:t>Appendix 9 – Non-compliance matters</w:t>
        </w:r>
      </w:hyperlink>
      <w:r w:rsidRPr="00F463BC">
        <w:rPr>
          <w:rFonts w:ascii="Arial" w:hAnsi="Arial" w:cs="Arial"/>
          <w:sz w:val="22"/>
          <w:szCs w:val="22"/>
        </w:rPr>
        <w:t>.</w:t>
      </w:r>
    </w:p>
    <w:p w:rsidR="00585F9F" w:rsidRPr="00F463BC" w:rsidRDefault="00585F9F" w:rsidP="00B82F08">
      <w:pPr>
        <w:pStyle w:val="Bulletnrs"/>
        <w:tabs>
          <w:tab w:val="left" w:pos="567"/>
        </w:tabs>
        <w:spacing w:before="0" w:line="271" w:lineRule="auto"/>
        <w:ind w:left="567" w:hanging="567"/>
        <w:rPr>
          <w:rFonts w:ascii="Arial" w:hAnsi="Arial" w:cs="Arial"/>
          <w:i/>
          <w:sz w:val="22"/>
          <w:szCs w:val="22"/>
        </w:rPr>
      </w:pPr>
      <w:r w:rsidRPr="00F463BC">
        <w:rPr>
          <w:rFonts w:ascii="Arial" w:hAnsi="Arial" w:cs="Arial"/>
          <w:i/>
          <w:sz w:val="22"/>
          <w:szCs w:val="22"/>
        </w:rPr>
        <w:t>The legislation is correct to the date that this Guide was issued. For legislative changes after the date of issue of this Guide, refer to the websites of the relevant regulators.</w:t>
      </w:r>
    </w:p>
    <w:p w:rsidR="00165D74" w:rsidRPr="00F463BC" w:rsidRDefault="00165D74"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course of action adopted to ensure compliance could include exemptions obtained in terms of section 8(h).</w:t>
      </w:r>
    </w:p>
    <w:p w:rsidR="008D5F11" w:rsidRPr="00F463BC" w:rsidRDefault="008D5F11" w:rsidP="004C7F55">
      <w:pPr>
        <w:pStyle w:val="Bulletnrs"/>
        <w:numPr>
          <w:ilvl w:val="0"/>
          <w:numId w:val="0"/>
        </w:numPr>
        <w:tabs>
          <w:tab w:val="left" w:pos="567"/>
        </w:tabs>
        <w:spacing w:before="0" w:line="271" w:lineRule="auto"/>
        <w:ind w:left="360" w:hanging="360"/>
        <w:rPr>
          <w:rFonts w:ascii="Arial" w:hAnsi="Arial" w:cs="Arial"/>
          <w:sz w:val="22"/>
          <w:szCs w:val="22"/>
        </w:rPr>
      </w:pPr>
    </w:p>
    <w:p w:rsidR="002D6778" w:rsidRPr="00F463BC" w:rsidRDefault="000E3B0A" w:rsidP="00B82F08">
      <w:pPr>
        <w:pStyle w:val="Heading3"/>
        <w:keepNext/>
      </w:pPr>
      <w:bookmarkStart w:id="150" w:name="_Report_on_Compliance"/>
      <w:bookmarkEnd w:id="150"/>
      <w:r w:rsidRPr="00F463BC">
        <w:t>Report on Compliance with Sections 36(5)</w:t>
      </w:r>
      <w:r w:rsidR="00732B5D" w:rsidRPr="00F463BC">
        <w:t>(b)</w:t>
      </w:r>
      <w:r w:rsidRPr="00F463BC">
        <w:t xml:space="preserve"> and 36(8) of the Act</w:t>
      </w:r>
    </w:p>
    <w:p w:rsidR="00562283" w:rsidRPr="00F463BC" w:rsidRDefault="00AB67B3" w:rsidP="004C7F55">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36(5)</w:t>
      </w:r>
      <w:r w:rsidRPr="00F463BC">
        <w:rPr>
          <w:rFonts w:ascii="Arial" w:hAnsi="Arial" w:cs="Arial"/>
          <w:sz w:val="22"/>
          <w:szCs w:val="22"/>
        </w:rPr>
        <w:t>(b)</w:t>
      </w:r>
      <w:r w:rsidR="00562283" w:rsidRPr="00F463BC">
        <w:rPr>
          <w:rFonts w:ascii="Arial" w:hAnsi="Arial" w:cs="Arial"/>
          <w:sz w:val="22"/>
          <w:szCs w:val="22"/>
        </w:rPr>
        <w:t xml:space="preserve"> </w:t>
      </w:r>
      <w:r w:rsidRPr="00F463BC">
        <w:rPr>
          <w:rFonts w:ascii="Arial" w:hAnsi="Arial" w:cs="Arial"/>
          <w:sz w:val="22"/>
          <w:szCs w:val="22"/>
        </w:rPr>
        <w:t xml:space="preserve">requires an auditor to </w:t>
      </w:r>
      <w:r w:rsidR="00562283" w:rsidRPr="00F463BC">
        <w:rPr>
          <w:rFonts w:ascii="Arial" w:hAnsi="Arial" w:cs="Arial"/>
          <w:sz w:val="22"/>
          <w:szCs w:val="22"/>
        </w:rPr>
        <w:t xml:space="preserve">inform the Registrar in writing of </w:t>
      </w:r>
      <w:r w:rsidR="00562283" w:rsidRPr="008F4408">
        <w:rPr>
          <w:rFonts w:ascii="Arial" w:hAnsi="Arial" w:cs="Arial"/>
          <w:i/>
          <w:sz w:val="22"/>
          <w:szCs w:val="22"/>
        </w:rPr>
        <w:t>any</w:t>
      </w:r>
      <w:r w:rsidR="00562283" w:rsidRPr="00F463BC">
        <w:rPr>
          <w:rFonts w:ascii="Arial" w:hAnsi="Arial" w:cs="Arial"/>
          <w:sz w:val="22"/>
          <w:szCs w:val="22"/>
        </w:rPr>
        <w:t xml:space="preserve"> matter relating to the affairs of the medical scheme of which he or she became aware in the performance of his or her functions as auditor and which, in the opinion of the auditor, may prejudice the medical scheme’s ability to comply with </w:t>
      </w:r>
      <w:r w:rsidRPr="00F463BC">
        <w:rPr>
          <w:rFonts w:ascii="Arial" w:hAnsi="Arial" w:cs="Arial"/>
          <w:sz w:val="22"/>
          <w:szCs w:val="22"/>
        </w:rPr>
        <w:t>that</w:t>
      </w:r>
      <w:r w:rsidR="00562283" w:rsidRPr="00F463BC">
        <w:rPr>
          <w:rFonts w:ascii="Arial" w:hAnsi="Arial" w:cs="Arial"/>
          <w:sz w:val="22"/>
          <w:szCs w:val="22"/>
        </w:rPr>
        <w:t xml:space="preserve"> Chapter </w:t>
      </w:r>
      <w:r w:rsidRPr="00F463BC">
        <w:rPr>
          <w:rFonts w:ascii="Arial" w:hAnsi="Arial" w:cs="Arial"/>
          <w:sz w:val="22"/>
          <w:szCs w:val="22"/>
        </w:rPr>
        <w:t xml:space="preserve">of the Act </w:t>
      </w:r>
      <w:r w:rsidR="00562283" w:rsidRPr="00F463BC">
        <w:rPr>
          <w:rFonts w:ascii="Arial" w:hAnsi="Arial" w:cs="Arial"/>
          <w:sz w:val="22"/>
          <w:szCs w:val="22"/>
        </w:rPr>
        <w:t>(Financial Matters)</w:t>
      </w:r>
      <w:r w:rsidRPr="00F463BC">
        <w:rPr>
          <w:rFonts w:ascii="Arial" w:hAnsi="Arial" w:cs="Arial"/>
          <w:sz w:val="22"/>
          <w:szCs w:val="22"/>
        </w:rPr>
        <w:t>.</w:t>
      </w:r>
    </w:p>
    <w:p w:rsidR="00562283" w:rsidRPr="00F463BC" w:rsidRDefault="00AB67B3" w:rsidP="004C7F55">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36(8)</w:t>
      </w:r>
      <w:r w:rsidR="000B417C" w:rsidRPr="00F463BC">
        <w:rPr>
          <w:rFonts w:ascii="Arial" w:hAnsi="Arial" w:cs="Arial"/>
          <w:sz w:val="22"/>
          <w:szCs w:val="22"/>
        </w:rPr>
        <w:t>(a</w:t>
      </w:r>
      <w:r w:rsidRPr="00F463BC">
        <w:rPr>
          <w:rFonts w:ascii="Arial" w:hAnsi="Arial" w:cs="Arial"/>
          <w:sz w:val="22"/>
          <w:szCs w:val="22"/>
        </w:rPr>
        <w:t>)</w:t>
      </w:r>
      <w:r w:rsidR="00562283" w:rsidRPr="00F463BC">
        <w:rPr>
          <w:rFonts w:ascii="Arial" w:hAnsi="Arial" w:cs="Arial"/>
          <w:sz w:val="22"/>
          <w:szCs w:val="22"/>
        </w:rPr>
        <w:t xml:space="preserve"> </w:t>
      </w:r>
      <w:r w:rsidRPr="00F463BC">
        <w:rPr>
          <w:rFonts w:ascii="Arial" w:hAnsi="Arial" w:cs="Arial"/>
          <w:sz w:val="22"/>
          <w:szCs w:val="22"/>
        </w:rPr>
        <w:t>requires a</w:t>
      </w:r>
      <w:r w:rsidR="00562283" w:rsidRPr="00F463BC">
        <w:rPr>
          <w:rFonts w:ascii="Arial" w:hAnsi="Arial" w:cs="Arial"/>
          <w:sz w:val="22"/>
          <w:szCs w:val="22"/>
        </w:rPr>
        <w:t xml:space="preserve">n </w:t>
      </w:r>
      <w:r w:rsidRPr="00F463BC">
        <w:rPr>
          <w:rFonts w:ascii="Arial" w:hAnsi="Arial" w:cs="Arial"/>
          <w:sz w:val="22"/>
          <w:szCs w:val="22"/>
        </w:rPr>
        <w:t xml:space="preserve">auditor, in </w:t>
      </w:r>
      <w:r w:rsidR="00562283" w:rsidRPr="00F463BC">
        <w:rPr>
          <w:rFonts w:ascii="Arial" w:hAnsi="Arial" w:cs="Arial"/>
          <w:sz w:val="22"/>
          <w:szCs w:val="22"/>
        </w:rPr>
        <w:t xml:space="preserve">respect of a return or statement which he or she is required to examine in terms of </w:t>
      </w:r>
      <w:r w:rsidRPr="00F463BC">
        <w:rPr>
          <w:rFonts w:ascii="Arial" w:hAnsi="Arial" w:cs="Arial"/>
          <w:sz w:val="22"/>
          <w:szCs w:val="22"/>
        </w:rPr>
        <w:t>that Chapter of the Act (Financial Matters)</w:t>
      </w:r>
      <w:r w:rsidR="00562283" w:rsidRPr="00F463BC">
        <w:rPr>
          <w:rFonts w:ascii="Arial" w:hAnsi="Arial" w:cs="Arial"/>
          <w:sz w:val="22"/>
          <w:szCs w:val="22"/>
        </w:rPr>
        <w:t>, certify whether that return or statement complies</w:t>
      </w:r>
      <w:r w:rsidRPr="00F463BC">
        <w:rPr>
          <w:rFonts w:ascii="Arial" w:hAnsi="Arial" w:cs="Arial"/>
          <w:sz w:val="22"/>
          <w:szCs w:val="22"/>
        </w:rPr>
        <w:t xml:space="preserve"> with the requirements of the</w:t>
      </w:r>
      <w:r w:rsidR="00562283" w:rsidRPr="00F463BC">
        <w:rPr>
          <w:rFonts w:ascii="Arial" w:hAnsi="Arial" w:cs="Arial"/>
          <w:sz w:val="22"/>
          <w:szCs w:val="22"/>
        </w:rPr>
        <w:t xml:space="preserve"> Act and whether the return or statement, including any annexure thereto, presents fairly</w:t>
      </w:r>
      <w:r w:rsidRPr="00F463BC">
        <w:rPr>
          <w:rFonts w:ascii="Arial" w:hAnsi="Arial" w:cs="Arial"/>
          <w:sz w:val="22"/>
          <w:szCs w:val="22"/>
        </w:rPr>
        <w:t xml:space="preserve"> the matters dealt with therein.</w:t>
      </w:r>
    </w:p>
    <w:p w:rsidR="00BC069C" w:rsidRDefault="00AB67B3"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w:t>
      </w:r>
      <w:r w:rsidR="001D583F">
        <w:rPr>
          <w:rFonts w:ascii="Arial" w:hAnsi="Arial" w:cs="Arial"/>
          <w:sz w:val="22"/>
          <w:szCs w:val="22"/>
        </w:rPr>
        <w:t>R</w:t>
      </w:r>
      <w:r w:rsidRPr="00F463BC">
        <w:rPr>
          <w:rFonts w:ascii="Arial" w:hAnsi="Arial" w:cs="Arial"/>
          <w:sz w:val="22"/>
          <w:szCs w:val="22"/>
        </w:rPr>
        <w:t>egistrar therefore requires a</w:t>
      </w:r>
      <w:r w:rsidR="000E3B0A" w:rsidRPr="00F463BC">
        <w:rPr>
          <w:rFonts w:ascii="Arial" w:hAnsi="Arial" w:cs="Arial"/>
          <w:sz w:val="22"/>
          <w:szCs w:val="22"/>
        </w:rPr>
        <w:t xml:space="preserve">n auditor </w:t>
      </w:r>
      <w:r w:rsidRPr="00F463BC">
        <w:rPr>
          <w:rFonts w:ascii="Arial" w:hAnsi="Arial" w:cs="Arial"/>
          <w:sz w:val="22"/>
          <w:szCs w:val="22"/>
        </w:rPr>
        <w:t xml:space="preserve">to </w:t>
      </w:r>
      <w:r w:rsidR="000E3B0A" w:rsidRPr="00F463BC">
        <w:rPr>
          <w:rFonts w:ascii="Arial" w:hAnsi="Arial" w:cs="Arial"/>
          <w:sz w:val="22"/>
          <w:szCs w:val="22"/>
        </w:rPr>
        <w:t>perform a limited assurance engagement in terms of ISAE 3000</w:t>
      </w:r>
      <w:r w:rsidR="00D656C2">
        <w:rPr>
          <w:rFonts w:ascii="Arial" w:hAnsi="Arial" w:cs="Arial"/>
          <w:sz w:val="22"/>
          <w:szCs w:val="22"/>
        </w:rPr>
        <w:t xml:space="preserve"> (Revised)</w:t>
      </w:r>
      <w:r w:rsidR="0045672F" w:rsidRPr="00F463BC">
        <w:rPr>
          <w:rStyle w:val="FootnoteReference"/>
          <w:rFonts w:ascii="Arial" w:hAnsi="Arial" w:cs="Arial"/>
          <w:sz w:val="22"/>
          <w:szCs w:val="22"/>
        </w:rPr>
        <w:footnoteReference w:id="37"/>
      </w:r>
      <w:r w:rsidR="000E3B0A" w:rsidRPr="00F463BC">
        <w:rPr>
          <w:rFonts w:ascii="Arial" w:hAnsi="Arial" w:cs="Arial"/>
          <w:sz w:val="22"/>
          <w:szCs w:val="22"/>
        </w:rPr>
        <w:t>, to conclude on whether the scheme complied with the criteria identified in the limited assurance report.</w:t>
      </w:r>
      <w:r w:rsidR="00506AB4">
        <w:rPr>
          <w:rFonts w:ascii="Arial" w:hAnsi="Arial" w:cs="Arial"/>
          <w:sz w:val="22"/>
          <w:szCs w:val="22"/>
        </w:rPr>
        <w:t xml:space="preserve"> </w:t>
      </w:r>
    </w:p>
    <w:p w:rsidR="00157B32" w:rsidRPr="008F4408" w:rsidRDefault="00157B32" w:rsidP="00157B32">
      <w:pPr>
        <w:pStyle w:val="Bulletnrs"/>
        <w:tabs>
          <w:tab w:val="left" w:pos="567"/>
        </w:tabs>
        <w:spacing w:before="0" w:line="271" w:lineRule="auto"/>
        <w:ind w:left="567" w:hanging="567"/>
        <w:rPr>
          <w:rFonts w:ascii="Arial" w:hAnsi="Arial" w:cs="Arial"/>
          <w:sz w:val="22"/>
          <w:szCs w:val="22"/>
        </w:rPr>
      </w:pPr>
      <w:r w:rsidRPr="008F4408">
        <w:rPr>
          <w:rFonts w:ascii="Arial" w:eastAsia="Calibri" w:hAnsi="Arial" w:cs="Arial"/>
          <w:sz w:val="22"/>
          <w:szCs w:val="22"/>
          <w:lang w:eastAsia="en-US"/>
        </w:rPr>
        <w:t xml:space="preserve">An auditor concludes whether anything has come to the auditor’s attention that causes the auditor to believe </w:t>
      </w:r>
      <w:r w:rsidRPr="00157B32">
        <w:rPr>
          <w:rFonts w:ascii="Arial" w:hAnsi="Arial" w:cs="Arial"/>
          <w:sz w:val="22"/>
          <w:szCs w:val="22"/>
        </w:rPr>
        <w:t xml:space="preserve">that the Scheme has not complied, </w:t>
      </w:r>
      <w:r w:rsidRPr="008F4408">
        <w:rPr>
          <w:rFonts w:ascii="Arial" w:hAnsi="Arial" w:cs="Arial"/>
          <w:i/>
          <w:sz w:val="22"/>
          <w:szCs w:val="22"/>
        </w:rPr>
        <w:t>in all material respects</w:t>
      </w:r>
      <w:r w:rsidRPr="00157B32">
        <w:rPr>
          <w:rFonts w:ascii="Arial" w:hAnsi="Arial" w:cs="Arial"/>
          <w:sz w:val="22"/>
          <w:szCs w:val="22"/>
        </w:rPr>
        <w:t xml:space="preserve">, with the specified Sections of the Act and related Regulations. Materiality is however set as </w:t>
      </w:r>
      <w:r w:rsidRPr="008F4408">
        <w:rPr>
          <w:rFonts w:ascii="Arial" w:hAnsi="Arial" w:cs="Arial"/>
          <w:i/>
          <w:sz w:val="22"/>
          <w:szCs w:val="22"/>
        </w:rPr>
        <w:lastRenderedPageBreak/>
        <w:t>one</w:t>
      </w:r>
      <w:r w:rsidRPr="00157B32">
        <w:rPr>
          <w:rFonts w:ascii="Arial" w:hAnsi="Arial" w:cs="Arial"/>
          <w:sz w:val="22"/>
          <w:szCs w:val="22"/>
        </w:rPr>
        <w:t xml:space="preserve">, as </w:t>
      </w:r>
      <w:r w:rsidRPr="008F4408">
        <w:rPr>
          <w:rFonts w:ascii="Arial" w:hAnsi="Arial" w:cs="Arial"/>
          <w:i/>
          <w:sz w:val="22"/>
          <w:szCs w:val="22"/>
        </w:rPr>
        <w:t>any</w:t>
      </w:r>
      <w:r w:rsidRPr="00157B32">
        <w:rPr>
          <w:rFonts w:ascii="Arial" w:hAnsi="Arial" w:cs="Arial"/>
          <w:sz w:val="22"/>
          <w:szCs w:val="22"/>
        </w:rPr>
        <w:t xml:space="preserve"> non-compliance is required to be reported on by the Council. Therefore, </w:t>
      </w:r>
      <w:r w:rsidRPr="008F4408">
        <w:rPr>
          <w:rFonts w:ascii="Arial" w:hAnsi="Arial" w:cs="Arial"/>
          <w:i/>
          <w:sz w:val="22"/>
          <w:szCs w:val="22"/>
        </w:rPr>
        <w:t>a</w:t>
      </w:r>
      <w:r w:rsidRPr="008F4408">
        <w:rPr>
          <w:rFonts w:ascii="Arial" w:eastAsia="Calibri" w:hAnsi="Arial" w:cs="Arial"/>
          <w:i/>
          <w:sz w:val="22"/>
          <w:szCs w:val="22"/>
          <w:lang w:eastAsia="en-US"/>
        </w:rPr>
        <w:t>ll</w:t>
      </w:r>
      <w:r w:rsidRPr="008F4408">
        <w:rPr>
          <w:rFonts w:ascii="Arial" w:eastAsia="Calibri" w:hAnsi="Arial" w:cs="Arial"/>
          <w:sz w:val="22"/>
          <w:szCs w:val="22"/>
          <w:lang w:eastAsia="en-US"/>
        </w:rPr>
        <w:t xml:space="preserve"> instances of non-compliance are regarded as material and therefore </w:t>
      </w:r>
      <w:r w:rsidRPr="008F4408">
        <w:rPr>
          <w:rFonts w:ascii="Arial" w:eastAsia="Calibri" w:hAnsi="Arial" w:cs="Arial"/>
          <w:i/>
          <w:sz w:val="22"/>
          <w:szCs w:val="22"/>
          <w:lang w:eastAsia="en-US"/>
        </w:rPr>
        <w:t>all</w:t>
      </w:r>
      <w:r w:rsidRPr="008F4408">
        <w:rPr>
          <w:rFonts w:ascii="Arial" w:eastAsia="Calibri" w:hAnsi="Arial" w:cs="Arial"/>
          <w:sz w:val="22"/>
          <w:szCs w:val="22"/>
          <w:lang w:eastAsia="en-US"/>
        </w:rPr>
        <w:t xml:space="preserve"> are listed. </w:t>
      </w:r>
      <w:r w:rsidRPr="008F4408">
        <w:rPr>
          <w:rFonts w:ascii="Arial" w:eastAsia="Calibri" w:hAnsi="Arial" w:cs="Arial"/>
          <w:i/>
          <w:sz w:val="22"/>
          <w:szCs w:val="22"/>
          <w:lang w:eastAsia="en-US"/>
        </w:rPr>
        <w:t>Any</w:t>
      </w:r>
      <w:r w:rsidRPr="008F4408">
        <w:rPr>
          <w:rFonts w:ascii="Arial" w:eastAsia="Calibri" w:hAnsi="Arial" w:cs="Arial"/>
          <w:sz w:val="22"/>
          <w:szCs w:val="22"/>
          <w:lang w:eastAsia="en-US"/>
        </w:rPr>
        <w:t xml:space="preserve"> instance of non-compliance will therefore result in a qualified conclusion</w:t>
      </w:r>
      <w:r w:rsidR="00C9586C">
        <w:rPr>
          <w:rFonts w:ascii="Arial" w:eastAsia="Calibri" w:hAnsi="Arial" w:cs="Arial"/>
          <w:sz w:val="22"/>
          <w:szCs w:val="22"/>
          <w:lang w:eastAsia="en-US"/>
        </w:rPr>
        <w:t>.</w:t>
      </w:r>
    </w:p>
    <w:p w:rsidR="00AE1B3C" w:rsidRPr="008F4408" w:rsidRDefault="00AE1B3C" w:rsidP="00EB17A4">
      <w:pPr>
        <w:pStyle w:val="Bulletnrs"/>
        <w:tabs>
          <w:tab w:val="left" w:pos="567"/>
        </w:tabs>
        <w:spacing w:before="0" w:line="271" w:lineRule="auto"/>
        <w:ind w:left="567" w:hanging="567"/>
        <w:rPr>
          <w:rFonts w:ascii="Arial" w:hAnsi="Arial" w:cs="Arial"/>
          <w:sz w:val="22"/>
          <w:szCs w:val="22"/>
        </w:rPr>
      </w:pPr>
      <w:r w:rsidRPr="00EB17A4">
        <w:rPr>
          <w:rFonts w:ascii="Arial" w:hAnsi="Arial" w:cs="Arial"/>
          <w:sz w:val="22"/>
          <w:szCs w:val="22"/>
        </w:rPr>
        <w:t xml:space="preserve">The ISAE 3000 </w:t>
      </w:r>
      <w:r w:rsidR="00D656C2">
        <w:rPr>
          <w:rFonts w:ascii="Arial" w:hAnsi="Arial" w:cs="Arial"/>
          <w:sz w:val="22"/>
          <w:szCs w:val="22"/>
        </w:rPr>
        <w:t xml:space="preserve">(Revised) </w:t>
      </w:r>
      <w:r w:rsidRPr="00EB17A4">
        <w:rPr>
          <w:rFonts w:ascii="Arial" w:hAnsi="Arial" w:cs="Arial"/>
          <w:sz w:val="22"/>
          <w:szCs w:val="22"/>
        </w:rPr>
        <w:t xml:space="preserve">report (which is submitted as part of the annual statutory return) </w:t>
      </w:r>
      <w:r w:rsidRPr="003F4F02">
        <w:rPr>
          <w:rFonts w:ascii="Arial" w:hAnsi="Arial" w:cs="Arial"/>
          <w:sz w:val="22"/>
          <w:szCs w:val="22"/>
        </w:rPr>
        <w:t>is</w:t>
      </w:r>
      <w:r w:rsidRPr="00EB17A4">
        <w:rPr>
          <w:rFonts w:ascii="Arial" w:hAnsi="Arial" w:cs="Arial"/>
          <w:sz w:val="22"/>
          <w:szCs w:val="22"/>
        </w:rPr>
        <w:t xml:space="preserve"> the </w:t>
      </w:r>
      <w:r w:rsidRPr="003F4F02">
        <w:rPr>
          <w:rFonts w:ascii="Arial" w:hAnsi="Arial" w:cs="Arial"/>
          <w:sz w:val="22"/>
          <w:szCs w:val="22"/>
        </w:rPr>
        <w:t xml:space="preserve">auditor report </w:t>
      </w:r>
      <w:r w:rsidRPr="00EB17A4">
        <w:rPr>
          <w:rFonts w:ascii="Arial" w:hAnsi="Arial" w:cs="Arial"/>
          <w:sz w:val="22"/>
          <w:szCs w:val="22"/>
        </w:rPr>
        <w:t xml:space="preserve">which </w:t>
      </w:r>
      <w:r w:rsidRPr="003F4F02">
        <w:rPr>
          <w:rFonts w:ascii="Arial" w:hAnsi="Arial" w:cs="Arial"/>
          <w:sz w:val="22"/>
          <w:szCs w:val="22"/>
        </w:rPr>
        <w:t xml:space="preserve">the </w:t>
      </w:r>
      <w:r w:rsidRPr="00EB17A4">
        <w:rPr>
          <w:rFonts w:ascii="Arial" w:hAnsi="Arial" w:cs="Arial"/>
          <w:sz w:val="22"/>
          <w:szCs w:val="22"/>
        </w:rPr>
        <w:t xml:space="preserve">Council requires </w:t>
      </w:r>
      <w:r w:rsidRPr="003F4F02">
        <w:rPr>
          <w:rFonts w:ascii="Arial" w:hAnsi="Arial" w:cs="Arial"/>
          <w:sz w:val="22"/>
          <w:szCs w:val="22"/>
        </w:rPr>
        <w:t xml:space="preserve">for </w:t>
      </w:r>
      <w:r w:rsidR="003F4F02" w:rsidRPr="003F4F02">
        <w:rPr>
          <w:rFonts w:ascii="Arial" w:hAnsi="Arial" w:cs="Arial"/>
          <w:sz w:val="22"/>
          <w:szCs w:val="22"/>
        </w:rPr>
        <w:t xml:space="preserve">an </w:t>
      </w:r>
      <w:r w:rsidRPr="003F4F02">
        <w:rPr>
          <w:rFonts w:ascii="Arial" w:hAnsi="Arial" w:cs="Arial"/>
          <w:sz w:val="22"/>
          <w:szCs w:val="22"/>
        </w:rPr>
        <w:t xml:space="preserve">auditor to report on compliance with </w:t>
      </w:r>
      <w:r w:rsidRPr="00EB17A4">
        <w:rPr>
          <w:rFonts w:ascii="Arial" w:hAnsi="Arial" w:cs="Arial"/>
          <w:sz w:val="22"/>
          <w:szCs w:val="22"/>
        </w:rPr>
        <w:t>Section</w:t>
      </w:r>
      <w:r w:rsidRPr="003F4F02">
        <w:rPr>
          <w:rFonts w:ascii="Arial" w:hAnsi="Arial" w:cs="Arial"/>
          <w:sz w:val="22"/>
          <w:szCs w:val="22"/>
        </w:rPr>
        <w:t xml:space="preserve"> 36(5)(b)</w:t>
      </w:r>
      <w:r w:rsidRPr="00EB17A4">
        <w:rPr>
          <w:rFonts w:ascii="Arial" w:hAnsi="Arial" w:cs="Arial"/>
          <w:sz w:val="22"/>
          <w:szCs w:val="22"/>
        </w:rPr>
        <w:t xml:space="preserve">. The </w:t>
      </w:r>
      <w:r w:rsidR="003F4F02" w:rsidRPr="003F4F02">
        <w:rPr>
          <w:rFonts w:ascii="Arial" w:hAnsi="Arial" w:cs="Arial"/>
          <w:sz w:val="22"/>
          <w:szCs w:val="22"/>
        </w:rPr>
        <w:t xml:space="preserve">Medical Schemes Task Group agreed on the Sections of the Act and related Regulations (the “criteria”) which an auditor reports on. These criteria are </w:t>
      </w:r>
      <w:r w:rsidR="003F4F02" w:rsidRPr="00EB17A4">
        <w:rPr>
          <w:rFonts w:ascii="Arial" w:hAnsi="Arial" w:cs="Arial"/>
          <w:sz w:val="22"/>
          <w:szCs w:val="22"/>
        </w:rPr>
        <w:t>l</w:t>
      </w:r>
      <w:r w:rsidRPr="00EB17A4">
        <w:rPr>
          <w:rFonts w:ascii="Arial" w:hAnsi="Arial" w:cs="Arial"/>
          <w:sz w:val="22"/>
          <w:szCs w:val="22"/>
        </w:rPr>
        <w:t xml:space="preserve">imited to the financial aspects of the Act which </w:t>
      </w:r>
      <w:r w:rsidR="003F4F02" w:rsidRPr="00EB17A4">
        <w:rPr>
          <w:rFonts w:ascii="Arial" w:hAnsi="Arial" w:cs="Arial"/>
          <w:sz w:val="22"/>
          <w:szCs w:val="22"/>
        </w:rPr>
        <w:t>an</w:t>
      </w:r>
      <w:r w:rsidRPr="00EB17A4">
        <w:rPr>
          <w:rFonts w:ascii="Arial" w:hAnsi="Arial" w:cs="Arial"/>
          <w:sz w:val="22"/>
          <w:szCs w:val="22"/>
        </w:rPr>
        <w:t xml:space="preserve"> auditor will </w:t>
      </w:r>
      <w:r w:rsidR="003F4F02" w:rsidRPr="00EB17A4">
        <w:rPr>
          <w:rFonts w:ascii="Arial" w:hAnsi="Arial" w:cs="Arial"/>
          <w:sz w:val="22"/>
          <w:szCs w:val="22"/>
        </w:rPr>
        <w:t>include in the auditor’s</w:t>
      </w:r>
      <w:r w:rsidRPr="00EB17A4">
        <w:rPr>
          <w:rFonts w:ascii="Arial" w:hAnsi="Arial" w:cs="Arial"/>
          <w:sz w:val="22"/>
          <w:szCs w:val="22"/>
        </w:rPr>
        <w:t xml:space="preserve"> normal audit procedures.</w:t>
      </w:r>
      <w:r w:rsidRPr="008F4408">
        <w:rPr>
          <w:rFonts w:ascii="Arial" w:hAnsi="Arial" w:cs="Arial"/>
          <w:sz w:val="22"/>
          <w:szCs w:val="22"/>
        </w:rPr>
        <w:t xml:space="preserve"> </w:t>
      </w:r>
    </w:p>
    <w:p w:rsidR="000E3B0A" w:rsidRPr="00F463BC" w:rsidRDefault="0045672F"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 w:history="1">
        <w:r w:rsidR="00B00E90">
          <w:rPr>
            <w:rStyle w:val="Hyperlink"/>
            <w:rFonts w:ascii="Arial" w:hAnsi="Arial" w:cs="Arial"/>
            <w:sz w:val="22"/>
            <w:szCs w:val="22"/>
          </w:rPr>
          <w:t>Appendix 7 – Assurance Report on Compliance with Sections 36(5) and 36(8) of the Act (ISAE 3000 (Revised) Report)</w:t>
        </w:r>
      </w:hyperlink>
      <w:r w:rsidRPr="00F463BC">
        <w:rPr>
          <w:rFonts w:ascii="Arial" w:hAnsi="Arial" w:cs="Arial"/>
          <w:sz w:val="22"/>
          <w:szCs w:val="22"/>
        </w:rPr>
        <w:t xml:space="preserve"> </w:t>
      </w:r>
      <w:r w:rsidR="000E3B0A" w:rsidRPr="00F463BC">
        <w:rPr>
          <w:rFonts w:ascii="Arial" w:hAnsi="Arial" w:cs="Arial"/>
          <w:sz w:val="22"/>
          <w:szCs w:val="22"/>
        </w:rPr>
        <w:t>for the template report.</w:t>
      </w:r>
    </w:p>
    <w:p w:rsidR="00D36F8A" w:rsidRPr="00F463BC" w:rsidRDefault="00D36F8A" w:rsidP="00B82F08">
      <w:pPr>
        <w:pStyle w:val="Bulletnrs"/>
        <w:numPr>
          <w:ilvl w:val="0"/>
          <w:numId w:val="0"/>
        </w:numPr>
        <w:tabs>
          <w:tab w:val="left" w:pos="567"/>
        </w:tabs>
        <w:spacing w:before="0" w:line="271" w:lineRule="auto"/>
        <w:ind w:left="360" w:hanging="360"/>
        <w:rPr>
          <w:rFonts w:ascii="Arial" w:hAnsi="Arial" w:cs="Arial"/>
          <w:sz w:val="22"/>
          <w:szCs w:val="22"/>
        </w:rPr>
      </w:pPr>
    </w:p>
    <w:p w:rsidR="004C7F55" w:rsidRPr="00F463BC" w:rsidRDefault="004C7F55" w:rsidP="00B82F08">
      <w:pPr>
        <w:pStyle w:val="Heading2"/>
        <w:keepNext/>
        <w:spacing w:before="0" w:line="271" w:lineRule="auto"/>
      </w:pPr>
      <w:bookmarkStart w:id="151" w:name="_Reporting_on_summarised_1"/>
      <w:bookmarkStart w:id="152" w:name="_Reporting_on_summary"/>
      <w:bookmarkStart w:id="153" w:name="_Toc455582231"/>
      <w:bookmarkEnd w:id="151"/>
      <w:bookmarkEnd w:id="152"/>
      <w:r w:rsidRPr="00F463BC">
        <w:t xml:space="preserve">Reporting on </w:t>
      </w:r>
      <w:r w:rsidR="006A1307">
        <w:t>summary</w:t>
      </w:r>
      <w:r w:rsidR="006A1307" w:rsidRPr="00F463BC">
        <w:t xml:space="preserve"> </w:t>
      </w:r>
      <w:r w:rsidRPr="00F463BC">
        <w:t>financial statements</w:t>
      </w:r>
      <w:r w:rsidR="00D02B60" w:rsidRPr="00F463BC">
        <w:rPr>
          <w:rStyle w:val="FootnoteReference"/>
        </w:rPr>
        <w:footnoteReference w:id="38"/>
      </w:r>
      <w:bookmarkEnd w:id="153"/>
    </w:p>
    <w:p w:rsidR="004C7F55" w:rsidRPr="00F463BC" w:rsidRDefault="004C7F55"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Medical schemes that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to their members are required to prepare and present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in accordance with the criteria specified by the Registrar in terms of Circular 6 of 2013</w:t>
      </w:r>
      <w:r w:rsidR="004E23B0" w:rsidRPr="00F463BC">
        <w:rPr>
          <w:rStyle w:val="FootnoteReference"/>
          <w:rFonts w:ascii="Arial" w:hAnsi="Arial" w:cs="Arial"/>
          <w:sz w:val="22"/>
          <w:szCs w:val="22"/>
        </w:rPr>
        <w:footnoteReference w:id="39"/>
      </w:r>
      <w:r w:rsidRPr="00F463BC">
        <w:rPr>
          <w:rFonts w:ascii="Arial" w:hAnsi="Arial" w:cs="Arial"/>
          <w:sz w:val="22"/>
          <w:szCs w:val="22"/>
        </w:rPr>
        <w:t xml:space="preserve">. An auditor reporting on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derived from the audited financial statements is the same auditor that reported on the financial statements. An auditor reporting on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reports on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after having completed the financial statement audit and issuing an auditor’s report on the financial statements. An auditor complies with ISA 810</w:t>
      </w:r>
      <w:r w:rsidR="00F8054B" w:rsidRPr="00F463BC">
        <w:rPr>
          <w:rStyle w:val="FootnoteReference"/>
          <w:rFonts w:ascii="Arial" w:hAnsi="Arial" w:cs="Arial"/>
          <w:sz w:val="22"/>
          <w:szCs w:val="22"/>
        </w:rPr>
        <w:footnoteReference w:id="40"/>
      </w:r>
      <w:r w:rsidR="007070AC" w:rsidRPr="00F463BC">
        <w:rPr>
          <w:rFonts w:ascii="Arial" w:hAnsi="Arial" w:cs="Arial"/>
          <w:sz w:val="22"/>
          <w:szCs w:val="22"/>
        </w:rPr>
        <w:t>.</w:t>
      </w:r>
      <w:r w:rsidRPr="00F463BC">
        <w:rPr>
          <w:rFonts w:ascii="Arial" w:hAnsi="Arial" w:cs="Arial"/>
          <w:sz w:val="22"/>
          <w:szCs w:val="22"/>
        </w:rPr>
        <w:t xml:space="preserve"> Refer to </w:t>
      </w:r>
      <w:hyperlink w:anchor="_Appendix_8_–_1" w:history="1">
        <w:r w:rsidR="00C34C03">
          <w:rPr>
            <w:rStyle w:val="Hyperlink"/>
            <w:rFonts w:ascii="Arial" w:hAnsi="Arial" w:cs="Arial"/>
            <w:sz w:val="22"/>
            <w:szCs w:val="22"/>
          </w:rPr>
          <w:t>Appendix 8 – Report on the Summary Financial Statements (ISA 810 Report)</w:t>
        </w:r>
      </w:hyperlink>
      <w:r w:rsidR="00F8054B" w:rsidRPr="00F463BC">
        <w:rPr>
          <w:rFonts w:ascii="Arial" w:hAnsi="Arial" w:cs="Arial"/>
          <w:sz w:val="22"/>
          <w:szCs w:val="22"/>
        </w:rPr>
        <w:t xml:space="preserve"> </w:t>
      </w:r>
      <w:r w:rsidRPr="00F463BC">
        <w:rPr>
          <w:rFonts w:ascii="Arial" w:hAnsi="Arial" w:cs="Arial"/>
          <w:sz w:val="22"/>
          <w:szCs w:val="22"/>
        </w:rPr>
        <w:t>for the template report.</w:t>
      </w:r>
    </w:p>
    <w:p w:rsidR="004C7F55" w:rsidRPr="00F463BC" w:rsidRDefault="004C7F55"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As per the requirements of this circular, schemes whose </w:t>
      </w:r>
      <w:r w:rsidR="00EA3C6A" w:rsidRPr="00F463BC">
        <w:rPr>
          <w:rFonts w:ascii="Arial" w:hAnsi="Arial" w:cs="Arial"/>
          <w:sz w:val="22"/>
          <w:szCs w:val="22"/>
        </w:rPr>
        <w:t>Rule</w:t>
      </w:r>
      <w:r w:rsidRPr="00F463BC">
        <w:rPr>
          <w:rFonts w:ascii="Arial" w:hAnsi="Arial" w:cs="Arial"/>
          <w:sz w:val="22"/>
          <w:szCs w:val="22"/>
        </w:rPr>
        <w:t xml:space="preserve">s require them to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to their members should ensure that such financial statements:</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Are prepared in accordance with the recognition and measurement requirements of IFRS;</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Are prepared in the manner required by the Act; </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As a minimum adhere to the presentation and disclosure requirements of IAS 34</w:t>
      </w:r>
      <w:r w:rsidR="00F368F4" w:rsidRPr="00F463BC">
        <w:rPr>
          <w:rStyle w:val="FootnoteReference"/>
          <w:rFonts w:ascii="Arial" w:hAnsi="Arial" w:cs="Arial"/>
          <w:sz w:val="22"/>
          <w:szCs w:val="22"/>
        </w:rPr>
        <w:footnoteReference w:id="41"/>
      </w:r>
      <w:r w:rsidRPr="00F463BC">
        <w:rPr>
          <w:rFonts w:ascii="Arial" w:hAnsi="Arial" w:cs="Arial"/>
          <w:sz w:val="22"/>
          <w:szCs w:val="22"/>
        </w:rPr>
        <w:t>; and</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Provide information on where a member can obtain a full set of annual financial statements.</w:t>
      </w:r>
    </w:p>
    <w:p w:rsidR="004C7F55" w:rsidRPr="00F463BC" w:rsidRDefault="004C7F55" w:rsidP="001B129E">
      <w:pPr>
        <w:pStyle w:val="Heading2"/>
        <w:spacing w:before="0" w:line="271" w:lineRule="auto"/>
        <w:rPr>
          <w:sz w:val="22"/>
          <w:szCs w:val="22"/>
          <w:highlight w:val="red"/>
        </w:rPr>
      </w:pPr>
    </w:p>
    <w:p w:rsidR="004B16C7" w:rsidRPr="00F463BC" w:rsidRDefault="004B16C7" w:rsidP="00B82F08">
      <w:pPr>
        <w:pStyle w:val="Heading2"/>
        <w:spacing w:before="0" w:line="271" w:lineRule="auto"/>
      </w:pPr>
      <w:bookmarkStart w:id="154" w:name="_Reporting_on_reportable"/>
      <w:bookmarkStart w:id="155" w:name="_Toc455582232"/>
      <w:bookmarkEnd w:id="154"/>
      <w:r w:rsidRPr="00F463BC">
        <w:t>Reporting on reportable irregularities</w:t>
      </w:r>
      <w:bookmarkEnd w:id="155"/>
    </w:p>
    <w:p w:rsidR="001D0ECE" w:rsidRPr="00F463BC" w:rsidRDefault="004B16C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is required to furnish the Registrar with a copy of both the first and second reports of an auditor furnished to the IRBA in terms of section 45 of the Auditing Profession Act, per section 36(5)(a) of the Act.</w:t>
      </w:r>
      <w:r w:rsidR="004D6221" w:rsidRPr="00F463BC">
        <w:rPr>
          <w:rFonts w:ascii="Arial" w:hAnsi="Arial" w:cs="Arial"/>
          <w:sz w:val="22"/>
          <w:szCs w:val="22"/>
        </w:rPr>
        <w:t xml:space="preserve"> Refer to </w:t>
      </w:r>
      <w:r w:rsidR="004D6221" w:rsidRPr="00F463BC">
        <w:rPr>
          <w:rFonts w:ascii="Arial" w:hAnsi="Arial" w:cs="Arial"/>
          <w:i/>
          <w:sz w:val="22"/>
          <w:szCs w:val="22"/>
        </w:rPr>
        <w:t>Reportable Irregularities: A Guide for Registered Auditors</w:t>
      </w:r>
      <w:r w:rsidR="004D6221" w:rsidRPr="00F463BC">
        <w:rPr>
          <w:rFonts w:ascii="Arial" w:hAnsi="Arial" w:cs="Arial"/>
          <w:sz w:val="22"/>
          <w:szCs w:val="22"/>
        </w:rPr>
        <w:t xml:space="preserve"> issued by the IRBA for guidance on reportable irregularities.</w:t>
      </w:r>
      <w:r w:rsidR="004D6221" w:rsidRPr="00F463BC">
        <w:rPr>
          <w:rStyle w:val="FootnoteReference"/>
          <w:rFonts w:ascii="Arial" w:hAnsi="Arial" w:cs="Arial"/>
          <w:sz w:val="22"/>
          <w:szCs w:val="22"/>
        </w:rPr>
        <w:footnoteReference w:id="42"/>
      </w:r>
    </w:p>
    <w:p w:rsidR="0065190D" w:rsidRPr="00F463BC" w:rsidRDefault="0065190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considers the impact of the reportable irregularity on the audit opinion, and discloses the reportable irregularity in the ISA 700 report under “Report on Other Legal and Regulatory Requirements”, if applicable.</w:t>
      </w:r>
    </w:p>
    <w:p w:rsidR="001D0ECE" w:rsidRPr="00F463BC" w:rsidRDefault="001D0ECE" w:rsidP="00B82F08">
      <w:pPr>
        <w:pStyle w:val="Bulletnrs"/>
        <w:numPr>
          <w:ilvl w:val="0"/>
          <w:numId w:val="0"/>
        </w:numPr>
        <w:spacing w:before="0" w:line="271" w:lineRule="auto"/>
        <w:ind w:left="360"/>
        <w:rPr>
          <w:rFonts w:ascii="Arial" w:hAnsi="Arial" w:cs="Arial"/>
        </w:rPr>
      </w:pPr>
    </w:p>
    <w:p w:rsidR="007B5454" w:rsidRPr="00F463BC" w:rsidRDefault="007B5454" w:rsidP="00EB17A4">
      <w:pPr>
        <w:pStyle w:val="Heading2"/>
        <w:spacing w:before="0" w:line="271" w:lineRule="auto"/>
      </w:pPr>
      <w:bookmarkStart w:id="156" w:name="_Reporting_matters_that_1"/>
      <w:bookmarkStart w:id="157" w:name="_Other_reporting_responsibilities"/>
      <w:bookmarkStart w:id="158" w:name="_Toc455582233"/>
      <w:bookmarkEnd w:id="156"/>
      <w:bookmarkEnd w:id="157"/>
      <w:r w:rsidRPr="00F463BC">
        <w:t>Other reporting responsibilities</w:t>
      </w:r>
      <w:r w:rsidR="00760F1B" w:rsidRPr="00F463BC">
        <w:t xml:space="preserve"> to the Council</w:t>
      </w:r>
      <w:bookmarkEnd w:id="158"/>
    </w:p>
    <w:p w:rsidR="00110D3A" w:rsidRPr="00F463BC" w:rsidRDefault="00110D3A" w:rsidP="00EB17A4">
      <w:pPr>
        <w:pStyle w:val="Heading3"/>
      </w:pPr>
      <w:r w:rsidRPr="00F463BC">
        <w:t>Reasons for termination</w:t>
      </w:r>
    </w:p>
    <w:p w:rsidR="00B5415F" w:rsidRPr="00F463BC" w:rsidRDefault="002D0D44" w:rsidP="00EB17A4">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w:t>
      </w:r>
      <w:r w:rsidR="007B5454" w:rsidRPr="00F463BC">
        <w:rPr>
          <w:rFonts w:ascii="Arial" w:hAnsi="Arial" w:cs="Arial"/>
          <w:sz w:val="22"/>
          <w:szCs w:val="22"/>
        </w:rPr>
        <w:t>ection 36</w:t>
      </w:r>
      <w:r w:rsidR="00933A6C" w:rsidRPr="00F463BC">
        <w:rPr>
          <w:rFonts w:ascii="Arial" w:hAnsi="Arial" w:cs="Arial"/>
          <w:sz w:val="22"/>
          <w:szCs w:val="22"/>
        </w:rPr>
        <w:t>(5)</w:t>
      </w:r>
      <w:r w:rsidR="00832E6B" w:rsidRPr="00F463BC">
        <w:rPr>
          <w:rFonts w:ascii="Arial" w:hAnsi="Arial" w:cs="Arial"/>
          <w:sz w:val="22"/>
          <w:szCs w:val="22"/>
        </w:rPr>
        <w:t>(a)</w:t>
      </w:r>
      <w:r w:rsidR="007B5454" w:rsidRPr="00F463BC">
        <w:rPr>
          <w:rFonts w:ascii="Arial" w:hAnsi="Arial" w:cs="Arial"/>
          <w:sz w:val="22"/>
          <w:szCs w:val="22"/>
        </w:rPr>
        <w:t xml:space="preserve"> of the Act requires an auditor to</w:t>
      </w:r>
      <w:r w:rsidR="00832E6B" w:rsidRPr="00F463BC">
        <w:rPr>
          <w:rFonts w:ascii="Arial" w:hAnsi="Arial" w:cs="Arial"/>
          <w:sz w:val="22"/>
          <w:szCs w:val="22"/>
        </w:rPr>
        <w:t xml:space="preserve"> r</w:t>
      </w:r>
      <w:r w:rsidR="00B5415F" w:rsidRPr="00F463BC">
        <w:rPr>
          <w:rFonts w:ascii="Arial" w:hAnsi="Arial" w:cs="Arial"/>
          <w:sz w:val="22"/>
          <w:szCs w:val="22"/>
        </w:rPr>
        <w:t>eport to the Registrar in writing what the auditor believes to be the reason for the termination (including resignation) of the auditor</w:t>
      </w:r>
      <w:r w:rsidRPr="00F463BC">
        <w:rPr>
          <w:rFonts w:ascii="Arial" w:hAnsi="Arial" w:cs="Arial"/>
          <w:sz w:val="22"/>
          <w:szCs w:val="22"/>
        </w:rPr>
        <w:t>.</w:t>
      </w:r>
    </w:p>
    <w:p w:rsidR="002B5EDC" w:rsidRDefault="002B5EDC" w:rsidP="00EB17A4">
      <w:pPr>
        <w:pStyle w:val="Heading3"/>
      </w:pPr>
    </w:p>
    <w:p w:rsidR="00110D3A" w:rsidRPr="00F463BC" w:rsidRDefault="002F3A9F" w:rsidP="00EB17A4">
      <w:pPr>
        <w:pStyle w:val="Heading3"/>
      </w:pPr>
      <w:r>
        <w:t>Auditor Approval Questionnaire including d</w:t>
      </w:r>
      <w:r w:rsidR="00110D3A" w:rsidRPr="00F463BC">
        <w:t>eclaration on application</w:t>
      </w:r>
      <w:r w:rsidR="002B5EDC">
        <w:t xml:space="preserve"> regarding internal control weaknesses</w:t>
      </w:r>
    </w:p>
    <w:p w:rsidR="00BF05FA" w:rsidRPr="00F463BC" w:rsidRDefault="00BF05FA">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is required to complete the annual </w:t>
      </w:r>
      <w:r w:rsidRPr="00F463BC">
        <w:rPr>
          <w:rFonts w:ascii="Arial" w:hAnsi="Arial" w:cs="Arial"/>
          <w:i/>
          <w:sz w:val="22"/>
          <w:szCs w:val="22"/>
        </w:rPr>
        <w:t>Auditor Approval Questionnaire</w:t>
      </w:r>
      <w:r w:rsidRPr="00F463BC">
        <w:rPr>
          <w:rFonts w:ascii="Arial" w:hAnsi="Arial" w:cs="Arial"/>
          <w:sz w:val="22"/>
          <w:szCs w:val="22"/>
          <w:vertAlign w:val="superscript"/>
        </w:rPr>
        <w:footnoteReference w:id="43"/>
      </w:r>
      <w:r w:rsidRPr="00F463BC">
        <w:rPr>
          <w:rFonts w:ascii="Arial" w:hAnsi="Arial" w:cs="Arial"/>
          <w:sz w:val="22"/>
          <w:szCs w:val="22"/>
        </w:rPr>
        <w:t xml:space="preserve"> issued by the Council</w:t>
      </w:r>
      <w:r>
        <w:rPr>
          <w:rFonts w:ascii="Arial" w:hAnsi="Arial" w:cs="Arial"/>
          <w:sz w:val="22"/>
          <w:szCs w:val="22"/>
        </w:rPr>
        <w:t>.</w:t>
      </w:r>
    </w:p>
    <w:p w:rsidR="002F0ED0" w:rsidRPr="00F463BC" w:rsidRDefault="002F0ED0" w:rsidP="00EB17A4">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Council requires an auditor to sign a declaration</w:t>
      </w:r>
      <w:r w:rsidRPr="00F463BC">
        <w:rPr>
          <w:rFonts w:ascii="Arial" w:hAnsi="Arial" w:cs="Arial"/>
          <w:vertAlign w:val="superscript"/>
        </w:rPr>
        <w:footnoteReference w:id="44"/>
      </w:r>
      <w:r w:rsidRPr="00F463BC">
        <w:rPr>
          <w:rFonts w:ascii="Arial" w:hAnsi="Arial" w:cs="Arial"/>
          <w:sz w:val="22"/>
          <w:szCs w:val="22"/>
        </w:rPr>
        <w:t xml:space="preserve"> upon application for the appointment of an auditor of a medical scheme, in which an auditor undertakes to report to the Registrar any material internal control weaknesses identified during the performance of the audit, which have remained unresolved for more than one audit period.</w:t>
      </w:r>
    </w:p>
    <w:p w:rsidR="00760F1B" w:rsidRPr="00F463BC" w:rsidRDefault="00760F1B" w:rsidP="00EB17A4">
      <w:pPr>
        <w:pStyle w:val="Bulletnrs"/>
        <w:numPr>
          <w:ilvl w:val="0"/>
          <w:numId w:val="0"/>
        </w:numPr>
        <w:tabs>
          <w:tab w:val="left" w:pos="567"/>
        </w:tabs>
        <w:spacing w:before="0" w:line="271" w:lineRule="auto"/>
        <w:ind w:left="360" w:hanging="360"/>
        <w:rPr>
          <w:rFonts w:ascii="Arial" w:hAnsi="Arial" w:cs="Arial"/>
          <w:sz w:val="22"/>
          <w:szCs w:val="22"/>
        </w:rPr>
      </w:pPr>
    </w:p>
    <w:p w:rsidR="00760F1B" w:rsidRPr="00F463BC" w:rsidRDefault="00760F1B" w:rsidP="00EB17A4">
      <w:pPr>
        <w:pStyle w:val="Heading3"/>
        <w:keepNext/>
        <w:keepLines/>
      </w:pPr>
      <w:r w:rsidRPr="00F463BC">
        <w:lastRenderedPageBreak/>
        <w:t>Management report</w:t>
      </w:r>
    </w:p>
    <w:p w:rsidR="002F0ED0" w:rsidRPr="00F463BC" w:rsidRDefault="002F0ED0" w:rsidP="00EB17A4">
      <w:pPr>
        <w:pStyle w:val="Bulletnrs"/>
        <w:keepNext/>
        <w:keepLine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auditor’s management report which includes all internal control weaknesses and housekeeping issues identified during the audit together with management comments must be included as part of the annual submission to the Council. In instances where no management report was issued by an auditor, the Council will require official confirmation from an auditor that there were no material matters that should be reported to either the scheme or the Council.</w:t>
      </w:r>
      <w:r w:rsidRPr="00F463BC">
        <w:rPr>
          <w:rStyle w:val="FootnoteReference"/>
          <w:rFonts w:ascii="Arial" w:hAnsi="Arial" w:cs="Arial"/>
          <w:sz w:val="22"/>
          <w:szCs w:val="22"/>
        </w:rPr>
        <w:footnoteReference w:id="45"/>
      </w:r>
    </w:p>
    <w:p w:rsidR="00251A76" w:rsidRPr="00F463BC" w:rsidRDefault="00251A76" w:rsidP="00EB17A4">
      <w:pPr>
        <w:pStyle w:val="Bulletnrs"/>
        <w:keepNext/>
        <w:keepLines/>
        <w:numPr>
          <w:ilvl w:val="0"/>
          <w:numId w:val="0"/>
        </w:numPr>
        <w:tabs>
          <w:tab w:val="left" w:pos="567"/>
        </w:tabs>
        <w:spacing w:before="0" w:line="271" w:lineRule="auto"/>
        <w:ind w:left="360" w:hanging="360"/>
        <w:rPr>
          <w:rFonts w:ascii="Arial" w:hAnsi="Arial" w:cs="Arial"/>
          <w:sz w:val="22"/>
          <w:szCs w:val="22"/>
        </w:rPr>
      </w:pPr>
    </w:p>
    <w:p w:rsidR="00760F1B" w:rsidRPr="00F463BC" w:rsidRDefault="00760F1B" w:rsidP="00760F1B">
      <w:pPr>
        <w:pStyle w:val="Heading3"/>
        <w:keepNext/>
      </w:pPr>
      <w:r w:rsidRPr="00F463BC">
        <w:t>Other duties provided for in the Act</w:t>
      </w:r>
    </w:p>
    <w:p w:rsidR="00251246" w:rsidRPr="00F463BC" w:rsidRDefault="0025124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Section 36(8)(b) further requires an auditor to carry out the other duties provided for in the Act.</w:t>
      </w:r>
    </w:p>
    <w:p w:rsidR="00DE7758" w:rsidRPr="00F463BC" w:rsidRDefault="00DE7758" w:rsidP="00B82F08">
      <w:pPr>
        <w:pStyle w:val="Bulletnrs"/>
        <w:numPr>
          <w:ilvl w:val="0"/>
          <w:numId w:val="0"/>
        </w:numPr>
        <w:tabs>
          <w:tab w:val="left" w:pos="567"/>
        </w:tabs>
        <w:spacing w:before="0" w:line="271" w:lineRule="auto"/>
        <w:ind w:left="567"/>
        <w:rPr>
          <w:rFonts w:ascii="Arial" w:hAnsi="Arial" w:cs="Arial"/>
          <w:sz w:val="22"/>
          <w:szCs w:val="22"/>
        </w:rPr>
      </w:pPr>
    </w:p>
    <w:p w:rsidR="00DE7758" w:rsidRPr="00F463BC" w:rsidRDefault="00CB75E1" w:rsidP="00944A95">
      <w:pPr>
        <w:pStyle w:val="Heading2"/>
        <w:keepNext/>
        <w:spacing w:before="0" w:line="271" w:lineRule="auto"/>
      </w:pPr>
      <w:bookmarkStart w:id="159" w:name="_Reporting_on_the"/>
      <w:bookmarkStart w:id="160" w:name="_Communication_with_those"/>
      <w:bookmarkStart w:id="161" w:name="_Toc231027712"/>
      <w:bookmarkStart w:id="162" w:name="_Toc275178278"/>
      <w:bookmarkStart w:id="163" w:name="_Toc275178342"/>
      <w:bookmarkStart w:id="164" w:name="_Toc275178449"/>
      <w:bookmarkStart w:id="165" w:name="_Toc277749796"/>
      <w:bookmarkStart w:id="166" w:name="_Toc277750666"/>
      <w:bookmarkStart w:id="167" w:name="_Toc277750847"/>
      <w:bookmarkStart w:id="168" w:name="_Toc300572972"/>
      <w:bookmarkStart w:id="169" w:name="_Toc304897939"/>
      <w:bookmarkStart w:id="170" w:name="_Toc305083367"/>
      <w:bookmarkStart w:id="171" w:name="_Toc455582234"/>
      <w:bookmarkEnd w:id="159"/>
      <w:bookmarkEnd w:id="160"/>
      <w:r w:rsidRPr="00F463BC">
        <w:t>Communication with those charged with governance</w:t>
      </w:r>
      <w:bookmarkStart w:id="172" w:name="_Reporting_on_summarised"/>
      <w:bookmarkStart w:id="173" w:name="_Reporting_on_non-compliance"/>
      <w:bookmarkStart w:id="174" w:name="_Reporting_matters_that"/>
      <w:bookmarkEnd w:id="161"/>
      <w:bookmarkEnd w:id="162"/>
      <w:bookmarkEnd w:id="163"/>
      <w:bookmarkEnd w:id="164"/>
      <w:bookmarkEnd w:id="165"/>
      <w:bookmarkEnd w:id="166"/>
      <w:bookmarkEnd w:id="167"/>
      <w:bookmarkEnd w:id="168"/>
      <w:bookmarkEnd w:id="169"/>
      <w:bookmarkEnd w:id="170"/>
      <w:bookmarkEnd w:id="172"/>
      <w:bookmarkEnd w:id="173"/>
      <w:bookmarkEnd w:id="174"/>
      <w:bookmarkEnd w:id="171"/>
    </w:p>
    <w:p w:rsidR="007D10C7" w:rsidRPr="00F463BC" w:rsidRDefault="00CC2C4F" w:rsidP="00B82F08">
      <w:pPr>
        <w:pStyle w:val="Bulletnrs"/>
        <w:keepNext/>
        <w:tabs>
          <w:tab w:val="left" w:pos="567"/>
        </w:tabs>
        <w:spacing w:before="0" w:line="271" w:lineRule="auto"/>
        <w:ind w:left="567" w:hanging="567"/>
        <w:rPr>
          <w:rFonts w:ascii="Arial" w:hAnsi="Arial" w:cs="Arial"/>
          <w:sz w:val="22"/>
          <w:szCs w:val="22"/>
        </w:rPr>
      </w:pPr>
      <w:bookmarkStart w:id="175" w:name="_Reporting_on_other"/>
      <w:bookmarkEnd w:id="175"/>
      <w:r w:rsidRPr="00F463BC">
        <w:rPr>
          <w:rFonts w:ascii="Arial" w:hAnsi="Arial" w:cs="Arial"/>
          <w:sz w:val="22"/>
          <w:szCs w:val="22"/>
        </w:rPr>
        <w:t xml:space="preserve">An </w:t>
      </w:r>
      <w:r w:rsidR="00941AC3" w:rsidRPr="00F463BC">
        <w:rPr>
          <w:rFonts w:ascii="Arial" w:hAnsi="Arial" w:cs="Arial"/>
          <w:sz w:val="22"/>
          <w:szCs w:val="22"/>
        </w:rPr>
        <w:t>auditor is required to report on housekeeping matters to management as well as audit matters communicated to those charged with governance.</w:t>
      </w:r>
      <w:r w:rsidR="00AF6D67" w:rsidRPr="00F463BC">
        <w:rPr>
          <w:rFonts w:ascii="Arial" w:hAnsi="Arial" w:cs="Arial"/>
          <w:sz w:val="22"/>
          <w:szCs w:val="22"/>
        </w:rPr>
        <w:t xml:space="preserve"> </w:t>
      </w:r>
      <w:r w:rsidR="00FE55B4" w:rsidRPr="00F463BC">
        <w:rPr>
          <w:rFonts w:ascii="Arial" w:hAnsi="Arial" w:cs="Arial"/>
          <w:sz w:val="22"/>
          <w:szCs w:val="22"/>
        </w:rPr>
        <w:t xml:space="preserve">In determining what matters should be reported to the Registrar, </w:t>
      </w:r>
      <w:r w:rsidRPr="00F463BC">
        <w:rPr>
          <w:rFonts w:ascii="Arial" w:hAnsi="Arial" w:cs="Arial"/>
          <w:sz w:val="22"/>
          <w:szCs w:val="22"/>
        </w:rPr>
        <w:t xml:space="preserve">an </w:t>
      </w:r>
      <w:r w:rsidR="00FE55B4" w:rsidRPr="00F463BC">
        <w:rPr>
          <w:rFonts w:ascii="Arial" w:hAnsi="Arial" w:cs="Arial"/>
          <w:sz w:val="22"/>
          <w:szCs w:val="22"/>
        </w:rPr>
        <w:t>auditor considers the guidance in ISA 260</w:t>
      </w:r>
      <w:r w:rsidR="0099499F" w:rsidRPr="00F463BC">
        <w:rPr>
          <w:rStyle w:val="FootnoteReference"/>
          <w:rFonts w:ascii="Arial" w:hAnsi="Arial" w:cs="Arial"/>
          <w:sz w:val="22"/>
          <w:szCs w:val="22"/>
        </w:rPr>
        <w:footnoteReference w:id="46"/>
      </w:r>
      <w:r w:rsidR="001915B2" w:rsidRPr="00F463BC">
        <w:rPr>
          <w:rFonts w:ascii="Arial" w:hAnsi="Arial" w:cs="Arial"/>
          <w:sz w:val="22"/>
          <w:szCs w:val="22"/>
        </w:rPr>
        <w:t xml:space="preserve"> </w:t>
      </w:r>
      <w:r w:rsidR="007D10C7" w:rsidRPr="00F463BC">
        <w:rPr>
          <w:rFonts w:ascii="Arial" w:hAnsi="Arial" w:cs="Arial"/>
          <w:sz w:val="22"/>
          <w:szCs w:val="22"/>
        </w:rPr>
        <w:t>and ISA 265</w:t>
      </w:r>
      <w:r w:rsidR="0099499F" w:rsidRPr="00F463BC">
        <w:rPr>
          <w:rStyle w:val="FootnoteReference"/>
          <w:rFonts w:ascii="Arial" w:hAnsi="Arial" w:cs="Arial"/>
          <w:sz w:val="22"/>
          <w:szCs w:val="22"/>
        </w:rPr>
        <w:footnoteReference w:id="47"/>
      </w:r>
      <w:r w:rsidR="007D10C7" w:rsidRPr="00F463BC">
        <w:rPr>
          <w:rFonts w:ascii="Arial" w:hAnsi="Arial" w:cs="Arial"/>
          <w:sz w:val="22"/>
          <w:szCs w:val="22"/>
        </w:rPr>
        <w:t>.</w:t>
      </w:r>
    </w:p>
    <w:p w:rsidR="004B3B1D" w:rsidRPr="00F463BC" w:rsidRDefault="004B3B1D" w:rsidP="00B82F08">
      <w:pPr>
        <w:pStyle w:val="Bulletnrs"/>
        <w:numPr>
          <w:ilvl w:val="0"/>
          <w:numId w:val="0"/>
        </w:numPr>
        <w:tabs>
          <w:tab w:val="left" w:pos="567"/>
        </w:tabs>
        <w:spacing w:before="0" w:line="271" w:lineRule="auto"/>
        <w:rPr>
          <w:rFonts w:ascii="Arial" w:hAnsi="Arial" w:cs="Arial"/>
          <w:sz w:val="22"/>
          <w:szCs w:val="22"/>
        </w:rPr>
      </w:pPr>
    </w:p>
    <w:p w:rsidR="00C5070B" w:rsidRPr="00F463BC" w:rsidRDefault="00C5070B" w:rsidP="00B82F08">
      <w:pPr>
        <w:pStyle w:val="Bulletnrs"/>
        <w:numPr>
          <w:ilvl w:val="0"/>
          <w:numId w:val="0"/>
        </w:numPr>
        <w:tabs>
          <w:tab w:val="left" w:pos="567"/>
        </w:tabs>
        <w:spacing w:before="0" w:line="271" w:lineRule="auto"/>
        <w:rPr>
          <w:rFonts w:ascii="Arial" w:hAnsi="Arial" w:cs="Arial"/>
          <w:sz w:val="22"/>
          <w:szCs w:val="22"/>
        </w:rPr>
      </w:pPr>
      <w:bookmarkStart w:id="176" w:name="_Related_parties"/>
      <w:bookmarkStart w:id="177" w:name="_Toc231027718"/>
      <w:bookmarkStart w:id="178" w:name="_Toc275178285"/>
      <w:bookmarkStart w:id="179" w:name="_Toc275178349"/>
      <w:bookmarkStart w:id="180" w:name="_Toc275178456"/>
      <w:bookmarkStart w:id="181" w:name="_Toc277749802"/>
      <w:bookmarkStart w:id="182" w:name="_Toc277750672"/>
      <w:bookmarkStart w:id="183" w:name="_Toc277750853"/>
      <w:bookmarkEnd w:id="176"/>
    </w:p>
    <w:p w:rsidR="004D16D5" w:rsidRPr="00F463BC" w:rsidRDefault="004D16D5" w:rsidP="00B82F08">
      <w:pPr>
        <w:pStyle w:val="Heading1"/>
        <w:spacing w:line="271" w:lineRule="auto"/>
        <w:sectPr w:rsidR="004D16D5" w:rsidRPr="00F463BC" w:rsidSect="001B129E">
          <w:headerReference w:type="default" r:id="rId13"/>
          <w:footerReference w:type="even" r:id="rId14"/>
          <w:headerReference w:type="first" r:id="rId15"/>
          <w:footerReference w:type="first" r:id="rId16"/>
          <w:type w:val="continuous"/>
          <w:pgSz w:w="11909" w:h="16834" w:code="9"/>
          <w:pgMar w:top="1440" w:right="1440" w:bottom="1440" w:left="1440" w:header="720" w:footer="720" w:gutter="0"/>
          <w:cols w:space="720"/>
          <w:noEndnote/>
          <w:docGrid w:linePitch="326"/>
        </w:sectPr>
      </w:pPr>
      <w:bookmarkStart w:id="184" w:name="_Ref299639680"/>
      <w:bookmarkStart w:id="185" w:name="_Ref299639685"/>
      <w:bookmarkStart w:id="186" w:name="_Ref299641629"/>
      <w:bookmarkStart w:id="187" w:name="_Toc231027722"/>
      <w:bookmarkStart w:id="188" w:name="_Ref275175516"/>
      <w:bookmarkEnd w:id="177"/>
      <w:bookmarkEnd w:id="178"/>
      <w:bookmarkEnd w:id="179"/>
      <w:bookmarkEnd w:id="180"/>
      <w:bookmarkEnd w:id="181"/>
      <w:bookmarkEnd w:id="182"/>
      <w:bookmarkEnd w:id="183"/>
    </w:p>
    <w:p w:rsidR="003635CD" w:rsidRPr="00F463BC" w:rsidRDefault="00C07074" w:rsidP="00B82F08">
      <w:pPr>
        <w:pStyle w:val="Heading1"/>
        <w:spacing w:line="271" w:lineRule="auto"/>
      </w:pPr>
      <w:bookmarkStart w:id="189" w:name="_Appendix_1_–"/>
      <w:bookmarkStart w:id="190" w:name="_Toc455582235"/>
      <w:bookmarkStart w:id="191" w:name="_Toc300572978"/>
      <w:bookmarkStart w:id="192" w:name="_Ref300580043"/>
      <w:bookmarkStart w:id="193" w:name="_Ref300581348"/>
      <w:bookmarkStart w:id="194" w:name="_Toc304897945"/>
      <w:bookmarkStart w:id="195" w:name="_Toc305083373"/>
      <w:bookmarkEnd w:id="189"/>
      <w:r w:rsidRPr="00F463BC">
        <w:lastRenderedPageBreak/>
        <w:t xml:space="preserve">Appendix 1 – </w:t>
      </w:r>
      <w:r w:rsidR="003635CD" w:rsidRPr="00F463BC">
        <w:t>Definitions</w:t>
      </w:r>
      <w:bookmarkEnd w:id="190"/>
    </w:p>
    <w:p w:rsidR="000B2000" w:rsidRPr="00F463BC" w:rsidRDefault="000B2000" w:rsidP="00B82F08">
      <w:pPr>
        <w:pStyle w:val="Bulletnrs"/>
        <w:numPr>
          <w:ilvl w:val="0"/>
          <w:numId w:val="0"/>
        </w:numPr>
        <w:spacing w:before="0" w:line="271" w:lineRule="auto"/>
        <w:rPr>
          <w:rFonts w:ascii="Arial" w:hAnsi="Arial" w:cs="Arial"/>
          <w:sz w:val="22"/>
          <w:szCs w:val="22"/>
        </w:rPr>
      </w:pPr>
    </w:p>
    <w:p w:rsidR="00585F9F" w:rsidRPr="00F463BC" w:rsidRDefault="00585F9F" w:rsidP="00B82F08">
      <w:pPr>
        <w:pStyle w:val="Bulletnrs"/>
        <w:numPr>
          <w:ilvl w:val="0"/>
          <w:numId w:val="0"/>
        </w:numPr>
        <w:spacing w:before="0" w:line="271" w:lineRule="auto"/>
        <w:rPr>
          <w:rFonts w:ascii="Arial" w:hAnsi="Arial" w:cs="Arial"/>
          <w:i/>
          <w:sz w:val="22"/>
          <w:szCs w:val="22"/>
        </w:rPr>
      </w:pPr>
      <w:r w:rsidRPr="00F463BC">
        <w:rPr>
          <w:rFonts w:ascii="Arial" w:hAnsi="Arial" w:cs="Arial"/>
          <w:i/>
          <w:sz w:val="22"/>
          <w:szCs w:val="22"/>
        </w:rPr>
        <w:t>The definitions are correct at the date that this Guide was issued. For legislative changes resulting in changes to definitions after the date of issue of this Guide, refer to the websites of the relevant regulators.</w:t>
      </w:r>
    </w:p>
    <w:p w:rsidR="00585F9F" w:rsidRPr="00F463BC" w:rsidRDefault="00585F9F" w:rsidP="00B82F08">
      <w:pPr>
        <w:pStyle w:val="Bulletnrs"/>
        <w:numPr>
          <w:ilvl w:val="0"/>
          <w:numId w:val="0"/>
        </w:numPr>
        <w:spacing w:before="0" w:line="271" w:lineRule="auto"/>
        <w:rPr>
          <w:rFonts w:ascii="Arial" w:hAnsi="Arial" w:cs="Arial"/>
          <w:sz w:val="22"/>
          <w:szCs w:val="22"/>
        </w:rPr>
      </w:pPr>
    </w:p>
    <w:p w:rsidR="003635CD" w:rsidRPr="00F463BC" w:rsidRDefault="003635CD" w:rsidP="00B82F08">
      <w:pPr>
        <w:pStyle w:val="Bulletnrs"/>
        <w:numPr>
          <w:ilvl w:val="0"/>
          <w:numId w:val="0"/>
        </w:numPr>
        <w:spacing w:before="0" w:line="271" w:lineRule="auto"/>
        <w:rPr>
          <w:rFonts w:ascii="Arial" w:hAnsi="Arial" w:cs="Arial"/>
          <w:sz w:val="22"/>
          <w:szCs w:val="22"/>
        </w:rPr>
      </w:pPr>
      <w:r w:rsidRPr="00F463BC">
        <w:rPr>
          <w:rFonts w:ascii="Arial" w:hAnsi="Arial" w:cs="Arial"/>
          <w:sz w:val="22"/>
          <w:szCs w:val="22"/>
        </w:rPr>
        <w:t>For purposes of this Guide, the following terms have the meanings attributed below:</w:t>
      </w:r>
    </w:p>
    <w:p w:rsidR="003524E3" w:rsidRPr="00F463BC" w:rsidRDefault="003524E3" w:rsidP="00B82F08">
      <w:pPr>
        <w:pStyle w:val="Bulletnrs"/>
        <w:numPr>
          <w:ilvl w:val="0"/>
          <w:numId w:val="0"/>
        </w:numPr>
        <w:spacing w:before="0" w:line="271" w:lineRule="auto"/>
        <w:rPr>
          <w:rFonts w:ascii="Arial" w:hAnsi="Arial" w:cs="Arial"/>
          <w:sz w:val="22"/>
          <w:szCs w:val="22"/>
        </w:rPr>
      </w:pPr>
    </w:p>
    <w:p w:rsidR="003635CD" w:rsidRPr="00F463BC" w:rsidRDefault="003635CD" w:rsidP="00C721DC">
      <w:pPr>
        <w:pStyle w:val="Bulletnrs"/>
        <w:numPr>
          <w:ilvl w:val="0"/>
          <w:numId w:val="0"/>
        </w:numPr>
        <w:spacing w:before="0" w:line="360" w:lineRule="auto"/>
        <w:rPr>
          <w:rFonts w:ascii="Arial" w:hAnsi="Arial" w:cs="Arial"/>
          <w:sz w:val="22"/>
          <w:szCs w:val="22"/>
        </w:rPr>
      </w:pPr>
      <w:r w:rsidRPr="00F463BC">
        <w:rPr>
          <w:rFonts w:ascii="Arial" w:hAnsi="Arial" w:cs="Arial"/>
          <w:b/>
          <w:i/>
          <w:sz w:val="22"/>
          <w:szCs w:val="22"/>
        </w:rPr>
        <w:t>Accounting period</w:t>
      </w:r>
      <w:r w:rsidRPr="00F463BC">
        <w:rPr>
          <w:rFonts w:ascii="Arial" w:hAnsi="Arial" w:cs="Arial"/>
          <w:sz w:val="22"/>
          <w:szCs w:val="22"/>
        </w:rPr>
        <w:t xml:space="preserve"> – The financial period ending at the year-end date (31 December), or shorter period, as applicable.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Act</w:t>
      </w:r>
      <w:r w:rsidRPr="00F463BC">
        <w:rPr>
          <w:rFonts w:ascii="Arial" w:hAnsi="Arial" w:cs="Arial"/>
          <w:sz w:val="22"/>
          <w:szCs w:val="22"/>
        </w:rPr>
        <w:t xml:space="preserve"> – The Medical Schemes Act, No. 131 of 1998, as amended, and </w:t>
      </w:r>
      <w:r w:rsidR="00D4343E">
        <w:rPr>
          <w:rFonts w:ascii="Arial" w:hAnsi="Arial" w:cs="Arial"/>
          <w:sz w:val="22"/>
          <w:szCs w:val="22"/>
        </w:rPr>
        <w:t xml:space="preserve">related </w:t>
      </w:r>
      <w:r w:rsidRPr="00F463BC">
        <w:rPr>
          <w:rFonts w:ascii="Arial" w:hAnsi="Arial" w:cs="Arial"/>
          <w:sz w:val="22"/>
          <w:szCs w:val="22"/>
        </w:rPr>
        <w:t>Regulations.</w:t>
      </w:r>
    </w:p>
    <w:p w:rsidR="00526737" w:rsidRPr="00F463BC" w:rsidRDefault="003635CD" w:rsidP="00C721DC">
      <w:pPr>
        <w:pStyle w:val="Bulletsa"/>
        <w:tabs>
          <w:tab w:val="left" w:pos="1276"/>
        </w:tabs>
        <w:spacing w:before="0" w:line="360" w:lineRule="auto"/>
        <w:rPr>
          <w:rFonts w:ascii="Arial" w:hAnsi="Arial" w:cs="Arial"/>
        </w:rPr>
      </w:pPr>
      <w:r w:rsidRPr="00F463BC" w:rsidDel="00DF0B86">
        <w:rPr>
          <w:rFonts w:ascii="Arial" w:hAnsi="Arial" w:cs="Arial"/>
          <w:b/>
          <w:i/>
          <w:sz w:val="22"/>
          <w:szCs w:val="22"/>
        </w:rPr>
        <w:t>Actuary</w:t>
      </w:r>
      <w:r w:rsidRPr="00F463BC" w:rsidDel="00DF0B86">
        <w:rPr>
          <w:rFonts w:ascii="Arial" w:hAnsi="Arial" w:cs="Arial"/>
          <w:sz w:val="22"/>
          <w:szCs w:val="22"/>
        </w:rPr>
        <w:t xml:space="preserve"> – Any fellow of an institute, faculty, society or chapter of actuaries approved by the Minister of Finance</w:t>
      </w:r>
      <w:r w:rsidR="004C3D33" w:rsidRPr="00F463BC">
        <w:rPr>
          <w:rFonts w:ascii="Arial" w:hAnsi="Arial" w:cs="Arial"/>
          <w:sz w:val="22"/>
          <w:szCs w:val="22"/>
        </w:rPr>
        <w:t xml:space="preserve"> of South Africa.</w:t>
      </w:r>
    </w:p>
    <w:p w:rsidR="007D44EC" w:rsidRPr="00634E4E" w:rsidRDefault="007D44EC"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Administration expenses </w:t>
      </w:r>
      <w:r w:rsidRPr="00634E4E">
        <w:rPr>
          <w:rFonts w:ascii="Arial" w:hAnsi="Arial" w:cs="Arial"/>
          <w:sz w:val="22"/>
          <w:szCs w:val="22"/>
        </w:rPr>
        <w:t>–</w:t>
      </w:r>
      <w:r w:rsidR="001131A7">
        <w:rPr>
          <w:rFonts w:ascii="Arial" w:hAnsi="Arial" w:cs="Arial"/>
          <w:sz w:val="22"/>
          <w:szCs w:val="22"/>
        </w:rPr>
        <w:t xml:space="preserve"> T</w:t>
      </w:r>
      <w:r w:rsidRPr="00634E4E">
        <w:rPr>
          <w:rFonts w:ascii="Arial" w:hAnsi="Arial" w:cs="Arial"/>
          <w:sz w:val="22"/>
          <w:szCs w:val="22"/>
        </w:rPr>
        <w:t xml:space="preserve">he costs incurred to administer the medical scheme in terms of the </w:t>
      </w:r>
      <w:r w:rsidR="00C76DBD" w:rsidRPr="00634E4E">
        <w:rPr>
          <w:rFonts w:ascii="Arial" w:hAnsi="Arial" w:cs="Arial"/>
          <w:sz w:val="22"/>
          <w:szCs w:val="22"/>
        </w:rPr>
        <w:t>R</w:t>
      </w:r>
      <w:r w:rsidRPr="00634E4E">
        <w:rPr>
          <w:rFonts w:ascii="Arial" w:hAnsi="Arial" w:cs="Arial"/>
          <w:sz w:val="22"/>
          <w:szCs w:val="22"/>
        </w:rPr>
        <w:t>ules and the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Administrator</w:t>
      </w:r>
      <w:r w:rsidRPr="00F463BC">
        <w:rPr>
          <w:rFonts w:ascii="Arial" w:hAnsi="Arial" w:cs="Arial"/>
          <w:sz w:val="22"/>
          <w:szCs w:val="22"/>
        </w:rPr>
        <w:t xml:space="preserve"> – Any legal person who has been accredited by the Council in terms of section 58 of the Act to be an administrator, and shall, where any obligation has been placed on a medical scheme in terms of this Act, also mean a medical scheme. The board of trustees will, through a service level agreement, authorise the administrator to perform the administration and accounting function of a medical scheme.</w:t>
      </w:r>
    </w:p>
    <w:p w:rsidR="00513B9F" w:rsidRPr="00634E4E" w:rsidRDefault="00513B9F" w:rsidP="00C721DC">
      <w:pPr>
        <w:pStyle w:val="Bulletsa"/>
        <w:tabs>
          <w:tab w:val="left" w:pos="1276"/>
        </w:tabs>
        <w:spacing w:before="0" w:line="360" w:lineRule="auto"/>
        <w:rPr>
          <w:rFonts w:ascii="Arial" w:hAnsi="Arial" w:cs="Arial"/>
          <w:sz w:val="22"/>
          <w:szCs w:val="22"/>
        </w:rPr>
      </w:pPr>
      <w:r>
        <w:rPr>
          <w:rFonts w:ascii="Arial" w:hAnsi="Arial" w:cs="Arial"/>
          <w:b/>
          <w:i/>
          <w:sz w:val="22"/>
          <w:szCs w:val="22"/>
        </w:rPr>
        <w:t xml:space="preserve">Annual statutory return </w:t>
      </w:r>
      <w:r w:rsidRPr="00634E4E">
        <w:rPr>
          <w:rFonts w:ascii="Arial" w:hAnsi="Arial" w:cs="Arial"/>
          <w:sz w:val="22"/>
          <w:szCs w:val="22"/>
        </w:rPr>
        <w:t xml:space="preserve">– </w:t>
      </w:r>
      <w:r w:rsidR="007B1820">
        <w:rPr>
          <w:rFonts w:ascii="Arial" w:hAnsi="Arial" w:cs="Arial"/>
          <w:sz w:val="22"/>
          <w:szCs w:val="22"/>
        </w:rPr>
        <w:t>The p</w:t>
      </w:r>
      <w:r w:rsidRPr="00634E4E">
        <w:rPr>
          <w:rFonts w:ascii="Arial" w:hAnsi="Arial" w:cs="Arial"/>
          <w:sz w:val="22"/>
          <w:szCs w:val="22"/>
        </w:rPr>
        <w:t>rescribed return to be submitted to the Council in terms of Section 37(2)(e)</w:t>
      </w:r>
      <w:r w:rsidR="007B1820">
        <w:rPr>
          <w:rFonts w:ascii="Arial" w:hAnsi="Arial" w:cs="Arial"/>
          <w:sz w:val="22"/>
          <w:szCs w:val="22"/>
        </w:rPr>
        <w:t xml:space="preserve"> of the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Auditing Profession Act</w:t>
      </w:r>
      <w:r w:rsidRPr="00F463BC">
        <w:rPr>
          <w:rFonts w:ascii="Arial" w:hAnsi="Arial" w:cs="Arial"/>
          <w:b/>
          <w:sz w:val="22"/>
          <w:szCs w:val="22"/>
        </w:rPr>
        <w:t xml:space="preserve"> </w:t>
      </w:r>
      <w:r w:rsidRPr="00F463BC">
        <w:rPr>
          <w:rFonts w:ascii="Arial" w:hAnsi="Arial" w:cs="Arial"/>
          <w:sz w:val="22"/>
          <w:szCs w:val="22"/>
        </w:rPr>
        <w:t>– Auditing Profession Act, No. 26 of 2005.</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Auditor</w:t>
      </w:r>
      <w:r w:rsidRPr="00F463BC">
        <w:rPr>
          <w:rFonts w:ascii="Arial" w:hAnsi="Arial" w:cs="Arial"/>
          <w:sz w:val="22"/>
          <w:szCs w:val="22"/>
        </w:rPr>
        <w:t xml:space="preserve"> – A registered auditor as defined in the Auditing Profession Act; the individual and </w:t>
      </w:r>
      <w:r w:rsidR="00AE6BA7">
        <w:rPr>
          <w:rFonts w:ascii="Arial" w:hAnsi="Arial" w:cs="Arial"/>
          <w:sz w:val="22"/>
          <w:szCs w:val="22"/>
        </w:rPr>
        <w:t xml:space="preserve">the </w:t>
      </w:r>
      <w:r w:rsidRPr="00F463BC">
        <w:rPr>
          <w:rFonts w:ascii="Arial" w:hAnsi="Arial" w:cs="Arial"/>
          <w:sz w:val="22"/>
          <w:szCs w:val="22"/>
        </w:rPr>
        <w:t>firm approved by the Registrar of Medical Schemes to be appointed as auditor to a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Beneficiary</w:t>
      </w:r>
      <w:r w:rsidRPr="00F463BC">
        <w:rPr>
          <w:rFonts w:ascii="Arial" w:hAnsi="Arial" w:cs="Arial"/>
          <w:sz w:val="22"/>
          <w:szCs w:val="22"/>
        </w:rPr>
        <w:t xml:space="preserve"> – A member and a person admitted as a dependant of a member (commonly referred to as “belly-buttons” or “lives”).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Benefit option</w:t>
      </w:r>
      <w:r w:rsidRPr="00F463BC">
        <w:rPr>
          <w:rFonts w:ascii="Arial" w:hAnsi="Arial" w:cs="Arial"/>
          <w:sz w:val="22"/>
          <w:szCs w:val="22"/>
        </w:rPr>
        <w:t xml:space="preserve"> – A defined set of healthcare benefits, approved by the Registrar, applicable to a specific group of members and/or employers that have selected such benefits in terms of the </w:t>
      </w:r>
      <w:r w:rsidR="00EA3C6A" w:rsidRPr="00F463BC">
        <w:rPr>
          <w:rFonts w:ascii="Arial" w:hAnsi="Arial" w:cs="Arial"/>
          <w:sz w:val="22"/>
          <w:szCs w:val="22"/>
        </w:rPr>
        <w:t>Rule</w:t>
      </w:r>
      <w:r w:rsidRPr="00F463BC">
        <w:rPr>
          <w:rFonts w:ascii="Arial" w:hAnsi="Arial" w:cs="Arial"/>
          <w:sz w:val="22"/>
          <w:szCs w:val="22"/>
        </w:rPr>
        <w:t>s of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lastRenderedPageBreak/>
        <w:t>Benefit period</w:t>
      </w:r>
      <w:r w:rsidRPr="00F463BC">
        <w:rPr>
          <w:rFonts w:ascii="Arial" w:hAnsi="Arial" w:cs="Arial"/>
          <w:sz w:val="22"/>
          <w:szCs w:val="22"/>
        </w:rPr>
        <w:t xml:space="preserve"> – </w:t>
      </w:r>
      <w:r w:rsidR="00CF1FFA" w:rsidRPr="00F463BC">
        <w:rPr>
          <w:rFonts w:ascii="Arial" w:hAnsi="Arial" w:cs="Arial"/>
          <w:sz w:val="22"/>
          <w:szCs w:val="22"/>
        </w:rPr>
        <w:t>N</w:t>
      </w:r>
      <w:r w:rsidRPr="00F463BC">
        <w:rPr>
          <w:rFonts w:ascii="Arial" w:hAnsi="Arial" w:cs="Arial"/>
          <w:sz w:val="22"/>
          <w:szCs w:val="22"/>
        </w:rPr>
        <w:t>ormally January to December, but may differ from the accounting period.</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Board of trustees</w:t>
      </w:r>
      <w:r w:rsidRPr="00F463BC">
        <w:rPr>
          <w:rFonts w:ascii="Arial" w:hAnsi="Arial" w:cs="Arial"/>
          <w:sz w:val="22"/>
          <w:szCs w:val="22"/>
        </w:rPr>
        <w:t xml:space="preserve"> – The board of trustees charged with managing of the affairs of a medical scheme as set out in section 57 of the Act, and which has been elected or appointed under its </w:t>
      </w:r>
      <w:r w:rsidR="00EA3C6A" w:rsidRPr="00F463BC">
        <w:rPr>
          <w:rFonts w:ascii="Arial" w:hAnsi="Arial" w:cs="Arial"/>
          <w:sz w:val="22"/>
          <w:szCs w:val="22"/>
        </w:rPr>
        <w:t>Rule</w:t>
      </w:r>
      <w:r w:rsidRPr="00F463BC">
        <w:rPr>
          <w:rFonts w:ascii="Arial" w:hAnsi="Arial" w:cs="Arial"/>
          <w:sz w:val="22"/>
          <w:szCs w:val="22"/>
        </w:rPr>
        <w: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Broker</w:t>
      </w:r>
      <w:r w:rsidRPr="00F463BC">
        <w:rPr>
          <w:rFonts w:ascii="Arial" w:hAnsi="Arial" w:cs="Arial"/>
          <w:sz w:val="22"/>
          <w:szCs w:val="22"/>
        </w:rPr>
        <w:t xml:space="preserve"> – An accredited person whose business, or part thereof, entails providing broker services, but does not include: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 employer or employer representative who provides service or advice exclusively to the employees of that employer;</w:t>
      </w:r>
      <w:r w:rsidR="00AE6BA7">
        <w:rPr>
          <w:rFonts w:ascii="Arial" w:hAnsi="Arial" w:cs="Arial"/>
          <w:color w:val="000000"/>
          <w:sz w:val="22"/>
          <w:szCs w:val="22"/>
          <w:lang w:val="en-US" w:eastAsia="en-US"/>
        </w:rPr>
        <w:t xml:space="preserve">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 trade union or trade union representative who provides service or advice exclusively to members of that trade union;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 person who provides service or advice exclusively for the purposes of performing his or her normal functions as a trustee, principal officer, employee or administrator of a medical scheme, </w:t>
      </w:r>
    </w:p>
    <w:p w:rsidR="003635CD" w:rsidRPr="00F463BC" w:rsidRDefault="003635CD" w:rsidP="00C721DC">
      <w:pPr>
        <w:pStyle w:val="Bulletsa"/>
        <w:spacing w:before="0" w:line="360" w:lineRule="auto"/>
        <w:ind w:left="360"/>
        <w:rPr>
          <w:rFonts w:ascii="Arial" w:hAnsi="Arial" w:cs="Arial"/>
          <w:sz w:val="22"/>
          <w:szCs w:val="22"/>
        </w:rPr>
      </w:pPr>
      <w:r w:rsidRPr="00F463BC">
        <w:rPr>
          <w:rFonts w:ascii="Arial" w:hAnsi="Arial" w:cs="Arial"/>
          <w:sz w:val="22"/>
          <w:szCs w:val="22"/>
        </w:rPr>
        <w:t xml:space="preserve">Unless a person referred to in subparagraph (i), (ii) or (iii) </w:t>
      </w:r>
      <w:r w:rsidR="007B1820">
        <w:rPr>
          <w:rFonts w:ascii="Arial" w:hAnsi="Arial" w:cs="Arial"/>
          <w:sz w:val="22"/>
          <w:szCs w:val="22"/>
        </w:rPr>
        <w:t xml:space="preserve">of the definition </w:t>
      </w:r>
      <w:r w:rsidR="008171CE">
        <w:rPr>
          <w:rFonts w:ascii="Arial" w:hAnsi="Arial" w:cs="Arial"/>
          <w:sz w:val="22"/>
          <w:szCs w:val="22"/>
        </w:rPr>
        <w:t xml:space="preserve">of broker </w:t>
      </w:r>
      <w:r w:rsidR="007B1820">
        <w:rPr>
          <w:rFonts w:ascii="Arial" w:hAnsi="Arial" w:cs="Arial"/>
          <w:sz w:val="22"/>
          <w:szCs w:val="22"/>
        </w:rPr>
        <w:t xml:space="preserve">as per the Act </w:t>
      </w:r>
      <w:r w:rsidRPr="00F463BC">
        <w:rPr>
          <w:rFonts w:ascii="Arial" w:hAnsi="Arial" w:cs="Arial"/>
          <w:sz w:val="22"/>
          <w:szCs w:val="22"/>
        </w:rPr>
        <w:t>elects to be accredited as a broker in terms of section 65 of the Act, or actively markets or canvasses for membership of a medical scheme.</w:t>
      </w:r>
    </w:p>
    <w:p w:rsidR="003635CD" w:rsidRPr="00F463BC" w:rsidRDefault="003635CD" w:rsidP="00C721DC">
      <w:pPr>
        <w:pStyle w:val="Bulletsa"/>
        <w:tabs>
          <w:tab w:val="left" w:pos="1276"/>
        </w:tabs>
        <w:spacing w:before="0" w:line="360" w:lineRule="auto"/>
        <w:rPr>
          <w:rFonts w:ascii="Arial" w:hAnsi="Arial" w:cs="Arial"/>
          <w:i/>
          <w:sz w:val="22"/>
          <w:szCs w:val="22"/>
        </w:rPr>
      </w:pPr>
      <w:r w:rsidRPr="00F463BC">
        <w:rPr>
          <w:rFonts w:ascii="Arial" w:hAnsi="Arial" w:cs="Arial"/>
          <w:b/>
          <w:i/>
          <w:sz w:val="22"/>
          <w:szCs w:val="22"/>
        </w:rPr>
        <w:t>Broker services</w:t>
      </w:r>
      <w:r w:rsidRPr="00F463BC">
        <w:rPr>
          <w:rFonts w:ascii="Arial" w:hAnsi="Arial" w:cs="Arial"/>
          <w:i/>
          <w:sz w:val="22"/>
          <w:szCs w:val="22"/>
        </w:rPr>
        <w:t xml:space="preserve"> – </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 of service or advice in respect of the introduction or admission of members to a medical scheme;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ongoing provision of service or advice in respect of access to, or benefits or services offered by, a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Business of a medical scheme</w:t>
      </w:r>
      <w:r w:rsidRPr="00F463BC">
        <w:rPr>
          <w:rFonts w:ascii="Arial" w:hAnsi="Arial" w:cs="Arial"/>
          <w:i/>
          <w:sz w:val="22"/>
          <w:szCs w:val="22"/>
        </w:rPr>
        <w:t xml:space="preserve"> – </w:t>
      </w:r>
      <w:r w:rsidRPr="00F463BC">
        <w:rPr>
          <w:rFonts w:ascii="Arial" w:hAnsi="Arial" w:cs="Arial"/>
          <w:sz w:val="22"/>
          <w:szCs w:val="22"/>
        </w:rPr>
        <w:t>The business of undertaking liability in return for a contribution:</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make provision for the obtaining of any relevant health service;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grant assistance in defraying expenditure incurred in connection with the rendering of any relevant healthcare service; and</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Where applicable, to render a relevant healthcare service, whether by the medical scheme itself, or by any supplier or group of suppliers of a relevant healthcare </w:t>
      </w:r>
      <w:r w:rsidRPr="00F463BC">
        <w:rPr>
          <w:rFonts w:ascii="Arial" w:hAnsi="Arial" w:cs="Arial"/>
          <w:color w:val="000000"/>
          <w:sz w:val="22"/>
          <w:szCs w:val="22"/>
          <w:lang w:val="en-US" w:eastAsia="en-US"/>
        </w:rPr>
        <w:lastRenderedPageBreak/>
        <w:t>service or by any person, in association with or in terms of an agreement with a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Capitation agreement</w:t>
      </w:r>
      <w:r w:rsidRPr="00F463BC">
        <w:rPr>
          <w:rFonts w:ascii="Arial" w:hAnsi="Arial" w:cs="Arial"/>
          <w:sz w:val="22"/>
          <w:szCs w:val="22"/>
        </w:rPr>
        <w:t xml:space="preserve"> – An arrangement entered into between a medical scheme and a person whereby the medical scheme pays to such person a pre-negotiated fixed fee in return for the delivery or arrangement for the delivery of specified benefits to some or all of the members of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Commercial reinsurance</w:t>
      </w:r>
      <w:r w:rsidRPr="00F463BC">
        <w:rPr>
          <w:rFonts w:ascii="Arial" w:hAnsi="Arial" w:cs="Arial"/>
          <w:sz w:val="22"/>
          <w:szCs w:val="22"/>
        </w:rPr>
        <w:t xml:space="preserve"> – Any contractual arrangement whereby some element of risk contained in the </w:t>
      </w:r>
      <w:r w:rsidR="00EA3C6A" w:rsidRPr="00F463BC">
        <w:rPr>
          <w:rFonts w:ascii="Arial" w:hAnsi="Arial" w:cs="Arial"/>
          <w:sz w:val="22"/>
          <w:szCs w:val="22"/>
        </w:rPr>
        <w:t>Rule</w:t>
      </w:r>
      <w:r w:rsidRPr="00F463BC">
        <w:rPr>
          <w:rFonts w:ascii="Arial" w:hAnsi="Arial" w:cs="Arial"/>
          <w:sz w:val="22"/>
          <w:szCs w:val="22"/>
        </w:rPr>
        <w:t>s is transferred to a reinsurer in return for some consideration.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Council</w:t>
      </w:r>
      <w:r w:rsidRPr="00F463BC">
        <w:rPr>
          <w:rFonts w:ascii="Arial" w:hAnsi="Arial" w:cs="Arial"/>
          <w:sz w:val="22"/>
          <w:szCs w:val="22"/>
        </w:rPr>
        <w:t xml:space="preserve"> – The Council for Medical Schemes established by section 3 of the Act.</w:t>
      </w:r>
    </w:p>
    <w:p w:rsidR="003635CD" w:rsidRPr="00F463BC" w:rsidRDefault="003635CD" w:rsidP="00C721DC">
      <w:pPr>
        <w:pStyle w:val="Bulletsa"/>
        <w:tabs>
          <w:tab w:val="left" w:pos="1276"/>
        </w:tabs>
        <w:spacing w:before="0" w:line="360" w:lineRule="auto"/>
        <w:rPr>
          <w:rFonts w:ascii="Arial" w:hAnsi="Arial" w:cs="Arial"/>
          <w:i/>
          <w:sz w:val="22"/>
          <w:szCs w:val="22"/>
        </w:rPr>
      </w:pPr>
      <w:r w:rsidRPr="00F463BC">
        <w:rPr>
          <w:rFonts w:ascii="Arial" w:hAnsi="Arial" w:cs="Arial"/>
          <w:b/>
          <w:i/>
          <w:sz w:val="22"/>
          <w:szCs w:val="22"/>
        </w:rPr>
        <w:t>Dependant</w:t>
      </w:r>
      <w:r w:rsidRPr="00F463BC">
        <w:rPr>
          <w:rFonts w:ascii="Arial" w:hAnsi="Arial" w:cs="Arial"/>
          <w:i/>
          <w:sz w:val="22"/>
          <w:szCs w:val="22"/>
        </w:rPr>
        <w:t xml:space="preserve"> –</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spouse or partner, dependant children or other members of the member’s immediate family in respect of whom the member is liable for family care and support;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Any other person who,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 xml:space="preserve">s, is recognised as a dependant of a member and is eligible for benefits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 of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Designated service provider (DSP)</w:t>
      </w:r>
      <w:r w:rsidRPr="00F463BC">
        <w:rPr>
          <w:rFonts w:ascii="Arial" w:hAnsi="Arial" w:cs="Arial"/>
          <w:sz w:val="22"/>
          <w:szCs w:val="22"/>
        </w:rPr>
        <w:t xml:space="preserve"> – Means a healthcare provider or group of providers selected by the medical scheme concerned as preferred provider or providers to provide its beneficiaries with diagnosis, treatment and care in respect of one or more PMB conditions or any other relevant health service covered by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Electronic claims clearing houses</w:t>
      </w:r>
      <w:r w:rsidRPr="00F463BC">
        <w:rPr>
          <w:rFonts w:ascii="Arial" w:hAnsi="Arial" w:cs="Arial"/>
          <w:sz w:val="22"/>
          <w:szCs w:val="22"/>
        </w:rPr>
        <w:t xml:space="preserve"> – Electronic claims clearing houses provide clearing services in respect of claims submitted to the scheme (e.g. pharmacy claims).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Electronic Data </w:t>
      </w:r>
      <w:r w:rsidR="00EB0225" w:rsidRPr="00F463BC">
        <w:rPr>
          <w:rFonts w:ascii="Arial" w:hAnsi="Arial" w:cs="Arial"/>
          <w:b/>
          <w:i/>
          <w:sz w:val="22"/>
          <w:szCs w:val="22"/>
        </w:rPr>
        <w:t>Interchange</w:t>
      </w:r>
      <w:r w:rsidRPr="00F463BC">
        <w:rPr>
          <w:rFonts w:ascii="Arial" w:hAnsi="Arial" w:cs="Arial"/>
          <w:b/>
          <w:i/>
          <w:sz w:val="22"/>
          <w:szCs w:val="22"/>
        </w:rPr>
        <w:t xml:space="preserve"> (EDI)</w:t>
      </w:r>
      <w:r w:rsidRPr="00F463BC">
        <w:rPr>
          <w:rFonts w:ascii="Arial" w:hAnsi="Arial" w:cs="Arial"/>
          <w:sz w:val="22"/>
          <w:szCs w:val="22"/>
        </w:rPr>
        <w:t xml:space="preserve"> – A common interface between two or more computer applications. It is commonly used by entities for e-commerce purposes, such as the submitting of claims to medical schemes by pharmacies. </w:t>
      </w:r>
    </w:p>
    <w:p w:rsidR="006A2AFC" w:rsidRPr="00F463BC" w:rsidRDefault="006A2AFC"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Employer </w:t>
      </w:r>
      <w:r w:rsidRPr="00F463BC">
        <w:rPr>
          <w:rFonts w:ascii="Arial" w:hAnsi="Arial" w:cs="Arial"/>
          <w:sz w:val="22"/>
          <w:szCs w:val="22"/>
        </w:rPr>
        <w:t>– is any employer group that negotiates certain terms and conditions of the contract of membership with a medical scheme for and on behalf of its employees.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Experts</w:t>
      </w:r>
      <w:r w:rsidRPr="00F463BC">
        <w:rPr>
          <w:rFonts w:ascii="Arial" w:hAnsi="Arial" w:cs="Arial"/>
          <w:i/>
          <w:sz w:val="22"/>
          <w:szCs w:val="22"/>
        </w:rPr>
        <w:t xml:space="preserve"> </w:t>
      </w:r>
      <w:r w:rsidRPr="00F463BC">
        <w:rPr>
          <w:rFonts w:ascii="Arial" w:hAnsi="Arial" w:cs="Arial"/>
          <w:sz w:val="22"/>
          <w:szCs w:val="22"/>
        </w:rPr>
        <w:t xml:space="preserve">– </w:t>
      </w:r>
      <w:r w:rsidR="00CF1FFA" w:rsidRPr="00F463BC">
        <w:rPr>
          <w:rFonts w:ascii="Arial" w:hAnsi="Arial" w:cs="Arial"/>
          <w:sz w:val="22"/>
          <w:szCs w:val="22"/>
        </w:rPr>
        <w:t>A</w:t>
      </w:r>
      <w:r w:rsidRPr="00F463BC">
        <w:rPr>
          <w:rFonts w:ascii="Arial" w:hAnsi="Arial" w:cs="Arial"/>
          <w:sz w:val="22"/>
          <w:szCs w:val="22"/>
        </w:rPr>
        <w:t>n auditor may use the work of the following experts in obtaining evidence: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Auditor’s expert</w:t>
      </w:r>
      <w:r w:rsidRPr="00F463BC">
        <w:rPr>
          <w:rFonts w:ascii="Arial" w:hAnsi="Arial" w:cs="Arial"/>
          <w:color w:val="000000"/>
          <w:sz w:val="22"/>
          <w:szCs w:val="22"/>
          <w:lang w:val="en-US" w:eastAsia="en-US"/>
        </w:rPr>
        <w:t xml:space="preserve"> – An individual or organisation possessing expertise in a field other than accounting or auditing, whose work in that field is used by the auditor to assist the auditor in obtaining sufficient appropriate audit evidence. An auditor’s expert may </w:t>
      </w:r>
      <w:r w:rsidRPr="00F463BC">
        <w:rPr>
          <w:rFonts w:ascii="Arial" w:hAnsi="Arial" w:cs="Arial"/>
          <w:color w:val="000000"/>
          <w:sz w:val="22"/>
          <w:szCs w:val="22"/>
          <w:lang w:val="en-US" w:eastAsia="en-US"/>
        </w:rPr>
        <w:lastRenderedPageBreak/>
        <w:t>be either an auditor’s internal expert (who is a partner</w:t>
      </w:r>
      <w:r w:rsidRPr="00F463BC">
        <w:rPr>
          <w:rFonts w:ascii="Arial" w:hAnsi="Arial" w:cs="Arial"/>
          <w:color w:val="000000"/>
          <w:sz w:val="22"/>
          <w:szCs w:val="22"/>
          <w:vertAlign w:val="superscript"/>
          <w:lang w:val="en-US" w:eastAsia="en-US"/>
        </w:rPr>
        <w:footnoteReference w:id="48"/>
      </w:r>
      <w:r w:rsidRPr="00F463BC">
        <w:rPr>
          <w:rFonts w:ascii="Arial" w:hAnsi="Arial" w:cs="Arial"/>
          <w:color w:val="000000"/>
          <w:sz w:val="22"/>
          <w:szCs w:val="22"/>
          <w:vertAlign w:val="superscript"/>
          <w:lang w:val="en-US" w:eastAsia="en-US"/>
        </w:rPr>
        <w:t xml:space="preserve"> </w:t>
      </w:r>
      <w:r w:rsidRPr="00F463BC">
        <w:rPr>
          <w:rFonts w:ascii="Arial" w:hAnsi="Arial" w:cs="Arial"/>
          <w:color w:val="000000"/>
          <w:sz w:val="22"/>
          <w:szCs w:val="22"/>
          <w:lang w:val="en-US" w:eastAsia="en-US"/>
        </w:rPr>
        <w:t>or staff, including temporary staff, of the auditor’s firm or a network firm), or an auditor’s external expert.</w:t>
      </w:r>
      <w:r w:rsidRPr="001B129E">
        <w:rPr>
          <w:rFonts w:ascii="Arial" w:hAnsi="Arial" w:cs="Arial"/>
          <w:sz w:val="22"/>
          <w:szCs w:val="22"/>
          <w:vertAlign w:val="superscript"/>
        </w:rPr>
        <w:footnoteReference w:id="49"/>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 xml:space="preserve">Management’s expert </w:t>
      </w:r>
      <w:r w:rsidRPr="00F463BC">
        <w:rPr>
          <w:rFonts w:ascii="Arial" w:hAnsi="Arial" w:cs="Arial"/>
          <w:color w:val="000000"/>
          <w:sz w:val="22"/>
          <w:szCs w:val="22"/>
          <w:lang w:val="en-US" w:eastAsia="en-US"/>
        </w:rPr>
        <w:t>– An individual or organi</w:t>
      </w:r>
      <w:r w:rsidR="00F86407"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ation possessing expertise in a field other than accounting or auditing, whose work in that field is used by the entity to assist the entity in preparing the financial statements.</w:t>
      </w:r>
      <w:r w:rsidRPr="001B129E">
        <w:rPr>
          <w:rFonts w:ascii="Arial" w:hAnsi="Arial" w:cs="Arial"/>
          <w:sz w:val="22"/>
          <w:szCs w:val="22"/>
          <w:vertAlign w:val="superscript"/>
        </w:rPr>
        <w:footnoteReference w:id="50"/>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Gross claims paid and reported</w:t>
      </w:r>
      <w:r w:rsidRPr="00F463BC">
        <w:rPr>
          <w:rFonts w:ascii="Arial" w:hAnsi="Arial" w:cs="Arial"/>
          <w:sz w:val="22"/>
          <w:szCs w:val="22"/>
        </w:rPr>
        <w:t xml:space="preserve"> –</w:t>
      </w:r>
      <w:r w:rsidR="00CF1FFA" w:rsidRPr="00F463BC">
        <w:rPr>
          <w:rFonts w:ascii="Arial" w:hAnsi="Arial" w:cs="Arial"/>
          <w:sz w:val="22"/>
          <w:szCs w:val="22"/>
        </w:rPr>
        <w:t xml:space="preserve"> </w:t>
      </w:r>
      <w:r w:rsidRPr="00F463BC">
        <w:rPr>
          <w:rFonts w:ascii="Arial" w:hAnsi="Arial" w:cs="Arial"/>
          <w:sz w:val="22"/>
          <w:szCs w:val="22"/>
        </w:rPr>
        <w:t>The total costs of settling all claims in respect of registered benefits (before deducting claims paid from personal medical savings accounts) that arise from healthcare events that have occurred in the period and those that have occurred previously, and for which no provision was made. These include claims settled by third party providers in terms of risk transfer arrangements and costs for managed care: healthcare services. Gross claims also include own facility costs for services rendered to members.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Gross contributions</w:t>
      </w:r>
      <w:r w:rsidRPr="00F463BC">
        <w:rPr>
          <w:rFonts w:ascii="Arial" w:hAnsi="Arial" w:cs="Arial"/>
          <w:sz w:val="22"/>
          <w:szCs w:val="22"/>
        </w:rPr>
        <w:t xml:space="preserve"> – </w:t>
      </w:r>
      <w:r w:rsidR="00E05AC8" w:rsidRPr="00F463BC">
        <w:rPr>
          <w:rFonts w:ascii="Arial" w:hAnsi="Arial" w:cs="Arial"/>
          <w:sz w:val="22"/>
          <w:szCs w:val="22"/>
        </w:rPr>
        <w:t>Monies</w:t>
      </w:r>
      <w:r w:rsidRPr="00F463BC">
        <w:rPr>
          <w:rFonts w:ascii="Arial" w:hAnsi="Arial" w:cs="Arial"/>
          <w:sz w:val="22"/>
          <w:szCs w:val="22"/>
        </w:rPr>
        <w:t xml:space="preserve"> (contributions) payable by members and/or employers, in terms of the </w:t>
      </w:r>
      <w:r w:rsidR="00EA3C6A" w:rsidRPr="00F463BC">
        <w:rPr>
          <w:rFonts w:ascii="Arial" w:hAnsi="Arial" w:cs="Arial"/>
          <w:sz w:val="22"/>
          <w:szCs w:val="22"/>
        </w:rPr>
        <w:t>Rule</w:t>
      </w:r>
      <w:r w:rsidRPr="00F463BC">
        <w:rPr>
          <w:rFonts w:ascii="Arial" w:hAnsi="Arial" w:cs="Arial"/>
          <w:sz w:val="22"/>
          <w:szCs w:val="22"/>
        </w:rPr>
        <w:t>s of the medical scheme, for the purchase of healthcare benefits. Gross contributions comprise personal medical savings contributions and risk contributions.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Healthcare benefits</w:t>
      </w:r>
      <w:r w:rsidRPr="00F463BC">
        <w:rPr>
          <w:rFonts w:ascii="Arial" w:hAnsi="Arial" w:cs="Arial"/>
          <w:sz w:val="22"/>
          <w:szCs w:val="22"/>
        </w:rPr>
        <w:t xml:space="preserve"> – A members’ entitlement to healthcare services, in terms of the </w:t>
      </w:r>
      <w:r w:rsidR="00EA3C6A" w:rsidRPr="00F463BC">
        <w:rPr>
          <w:rFonts w:ascii="Arial" w:hAnsi="Arial" w:cs="Arial"/>
          <w:sz w:val="22"/>
          <w:szCs w:val="22"/>
        </w:rPr>
        <w:t>Rule</w:t>
      </w:r>
      <w:r w:rsidRPr="00F463BC">
        <w:rPr>
          <w:rFonts w:ascii="Arial" w:hAnsi="Arial" w:cs="Arial"/>
          <w:sz w:val="22"/>
          <w:szCs w:val="22"/>
        </w:rPr>
        <w:t>s and the Act, also known as claims.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Incurred but not reported (IBNR)</w:t>
      </w:r>
      <w:r w:rsidRPr="00F463BC">
        <w:rPr>
          <w:rFonts w:ascii="Arial" w:hAnsi="Arial" w:cs="Arial"/>
          <w:sz w:val="22"/>
          <w:szCs w:val="22"/>
        </w:rPr>
        <w:t xml:space="preserve"> – Refer to “outstanding </w:t>
      </w:r>
      <w:r w:rsidR="00DE4A1B" w:rsidRPr="00F463BC">
        <w:rPr>
          <w:rFonts w:ascii="Arial" w:hAnsi="Arial" w:cs="Arial"/>
          <w:sz w:val="22"/>
          <w:szCs w:val="22"/>
        </w:rPr>
        <w:t xml:space="preserve">risk </w:t>
      </w:r>
      <w:r w:rsidRPr="00F463BC">
        <w:rPr>
          <w:rFonts w:ascii="Arial" w:hAnsi="Arial" w:cs="Arial"/>
          <w:sz w:val="22"/>
          <w:szCs w:val="22"/>
        </w:rPr>
        <w:t>claims provision”.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Internal financial controls</w:t>
      </w:r>
      <w:r w:rsidRPr="00F463BC">
        <w:rPr>
          <w:rFonts w:ascii="Arial" w:hAnsi="Arial" w:cs="Arial"/>
          <w:sz w:val="22"/>
          <w:szCs w:val="22"/>
        </w:rPr>
        <w:t xml:space="preserve"> – Controls which are established in order to ensure a reasonable safeguarding of assets against unauthorised use or disposition, the maintenance of proper accounting records and the reliability of financial information used within the business of the administrator and the medical scheme.</w:t>
      </w:r>
    </w:p>
    <w:p w:rsidR="00674E66" w:rsidRPr="00F463BC" w:rsidRDefault="00674E66" w:rsidP="00C721DC">
      <w:pPr>
        <w:pStyle w:val="Bulletsa"/>
        <w:tabs>
          <w:tab w:val="left" w:pos="1276"/>
        </w:tabs>
        <w:spacing w:before="0" w:line="360" w:lineRule="auto"/>
        <w:rPr>
          <w:rFonts w:ascii="Arial" w:hAnsi="Arial" w:cs="Arial"/>
          <w:b/>
          <w:i/>
          <w:sz w:val="22"/>
          <w:szCs w:val="22"/>
        </w:rPr>
      </w:pPr>
      <w:r w:rsidRPr="00F463BC">
        <w:rPr>
          <w:rFonts w:ascii="Arial" w:hAnsi="Arial" w:cs="Arial"/>
          <w:b/>
          <w:i/>
          <w:sz w:val="22"/>
          <w:szCs w:val="22"/>
        </w:rPr>
        <w:t xml:space="preserve">Investment income </w:t>
      </w:r>
      <w:r w:rsidRPr="00F463BC">
        <w:rPr>
          <w:rFonts w:ascii="Arial" w:hAnsi="Arial" w:cs="Arial"/>
          <w:sz w:val="22"/>
          <w:szCs w:val="22"/>
        </w:rPr>
        <w:t xml:space="preserve">– </w:t>
      </w:r>
      <w:r w:rsidR="002A6520">
        <w:rPr>
          <w:rFonts w:ascii="Arial" w:hAnsi="Arial" w:cs="Arial"/>
          <w:sz w:val="22"/>
          <w:szCs w:val="22"/>
        </w:rPr>
        <w:t>I</w:t>
      </w:r>
      <w:r w:rsidRPr="00F463BC">
        <w:rPr>
          <w:rFonts w:ascii="Arial" w:hAnsi="Arial" w:cs="Arial"/>
          <w:sz w:val="22"/>
          <w:szCs w:val="22"/>
        </w:rPr>
        <w:t>ncludes interest (inclusive of interest received on bank accounts and on arrear balances), dividends, rental and policy income as well as net realised gains or losses on available-for-sale financial assets and net gains or losses on financial assets at fair value through profit or loss.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lastRenderedPageBreak/>
        <w:t>Investment manager</w:t>
      </w:r>
      <w:r w:rsidRPr="00F463BC">
        <w:rPr>
          <w:rFonts w:ascii="Arial" w:hAnsi="Arial" w:cs="Arial"/>
          <w:sz w:val="22"/>
          <w:szCs w:val="22"/>
        </w:rPr>
        <w:t xml:space="preserve"> – An investment manager is responsible for managing a scheme’s investments, usually through an investment mandate from the board of trustees.</w:t>
      </w:r>
    </w:p>
    <w:p w:rsidR="00622A5F" w:rsidRDefault="00622A5F" w:rsidP="00C721DC">
      <w:pPr>
        <w:pStyle w:val="Bulletsa"/>
        <w:tabs>
          <w:tab w:val="left" w:pos="1276"/>
        </w:tabs>
        <w:spacing w:before="0" w:line="360" w:lineRule="auto"/>
        <w:rPr>
          <w:rFonts w:ascii="Arial" w:hAnsi="Arial" w:cs="Arial"/>
          <w:b/>
          <w:i/>
          <w:sz w:val="22"/>
          <w:szCs w:val="22"/>
        </w:rPr>
      </w:pPr>
      <w:r>
        <w:rPr>
          <w:rFonts w:ascii="Arial" w:hAnsi="Arial" w:cs="Arial"/>
          <w:b/>
          <w:i/>
          <w:sz w:val="22"/>
          <w:szCs w:val="22"/>
        </w:rPr>
        <w:t xml:space="preserve">Linked policy </w:t>
      </w:r>
      <w:r w:rsidRPr="00EB17A4">
        <w:rPr>
          <w:rFonts w:ascii="Arial" w:hAnsi="Arial" w:cs="Arial"/>
          <w:i/>
          <w:sz w:val="22"/>
          <w:szCs w:val="22"/>
        </w:rPr>
        <w:t xml:space="preserve">– </w:t>
      </w:r>
      <w:r w:rsidRPr="00EB17A4">
        <w:rPr>
          <w:rFonts w:ascii="Arial" w:hAnsi="Arial" w:cs="Arial"/>
          <w:sz w:val="22"/>
          <w:szCs w:val="22"/>
        </w:rPr>
        <w:t>A long-term policy in relation to which the liabilities of the long-term insurer are linked liabilities as defined in the Long-term Insurance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Managed healthcare</w:t>
      </w:r>
      <w:r w:rsidRPr="00F463BC">
        <w:rPr>
          <w:rFonts w:ascii="Arial" w:hAnsi="Arial" w:cs="Arial"/>
          <w:sz w:val="22"/>
          <w:szCs w:val="22"/>
        </w:rPr>
        <w:t xml:space="preserve"> – Clinical and financial risk assessment and management of healthcare, with a view to facilitating appropriateness and cost-effectiveness of relevant health services within the constraints of what is affordable, through the use of </w:t>
      </w:r>
      <w:r w:rsidR="00EA3C6A" w:rsidRPr="00F463BC">
        <w:rPr>
          <w:rFonts w:ascii="Arial" w:hAnsi="Arial" w:cs="Arial"/>
          <w:sz w:val="22"/>
          <w:szCs w:val="22"/>
        </w:rPr>
        <w:t>Rule</w:t>
      </w:r>
      <w:r w:rsidRPr="00F463BC">
        <w:rPr>
          <w:rFonts w:ascii="Arial" w:hAnsi="Arial" w:cs="Arial"/>
          <w:sz w:val="22"/>
          <w:szCs w:val="22"/>
        </w:rPr>
        <w:t>s-based and clinical management-based programmes. This process can be categorised into the following expenditure classifications:</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Managed care: management services</w:t>
      </w:r>
      <w:r w:rsidRPr="00F463BC">
        <w:rPr>
          <w:rFonts w:ascii="Arial" w:hAnsi="Arial" w:cs="Arial"/>
          <w:color w:val="000000"/>
          <w:sz w:val="22"/>
          <w:szCs w:val="22"/>
          <w:lang w:val="en-US" w:eastAsia="en-US"/>
        </w:rPr>
        <w:t xml:space="preserve"> – The cost of managing healthcare expenditure, such as bill review, specialist and hospital referrals, case management, disease management (excluding healthcare benefits that are included in the contract), peer review, claims audits and statistical analysis, but does not include the cost of any relevant healthcare services; and</w:t>
      </w:r>
    </w:p>
    <w:p w:rsidR="004C618A"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Managed care: healthcare services</w:t>
      </w:r>
      <w:r w:rsidRPr="00F463BC">
        <w:rPr>
          <w:rFonts w:ascii="Arial" w:hAnsi="Arial" w:cs="Arial"/>
          <w:color w:val="000000"/>
          <w:sz w:val="22"/>
          <w:szCs w:val="22"/>
          <w:lang w:val="en-US" w:eastAsia="en-US"/>
        </w:rPr>
        <w:t xml:space="preserve"> – The cost of healthcare services under payment systems, such as capitation fees, in terms of contracts not classified as risk transfer arrangements (healthcare services purchased) and disease management (healthcare benefits that are included in the contract). It excludes the administration thereof, which is regarded as Managed care: management services.</w:t>
      </w:r>
    </w:p>
    <w:p w:rsidR="004C618A" w:rsidRPr="00F463BC" w:rsidRDefault="004C618A" w:rsidP="00C721DC">
      <w:pPr>
        <w:spacing w:before="0" w:line="360" w:lineRule="auto"/>
        <w:rPr>
          <w:rFonts w:ascii="Arial" w:hAnsi="Arial" w:cs="Arial"/>
          <w:sz w:val="22"/>
          <w:szCs w:val="22"/>
        </w:rPr>
      </w:pPr>
      <w:r w:rsidRPr="00F463BC">
        <w:rPr>
          <w:rFonts w:ascii="Arial" w:hAnsi="Arial" w:cs="Arial"/>
          <w:b/>
          <w:i/>
          <w:sz w:val="22"/>
          <w:szCs w:val="22"/>
        </w:rPr>
        <w:t>Managed healthcare organisation</w:t>
      </w:r>
      <w:r w:rsidRPr="00F463BC">
        <w:rPr>
          <w:rFonts w:ascii="Arial" w:hAnsi="Arial" w:cs="Arial"/>
          <w:sz w:val="22"/>
          <w:szCs w:val="22"/>
        </w:rPr>
        <w:t xml:space="preserve"> – A person who has contracted with a medical scheme in terms of Regulation 15A to provide a managed health care service (usually a company or a close corporation).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Medical scheme</w:t>
      </w:r>
      <w:r w:rsidRPr="00F463BC">
        <w:rPr>
          <w:rFonts w:ascii="Arial" w:hAnsi="Arial" w:cs="Arial"/>
          <w:sz w:val="22"/>
          <w:szCs w:val="22"/>
        </w:rPr>
        <w:t xml:space="preserve"> – Any medical scheme registered under section 24(1) of the Act.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Member</w:t>
      </w:r>
      <w:r w:rsidRPr="00F463BC">
        <w:rPr>
          <w:rFonts w:ascii="Arial" w:hAnsi="Arial" w:cs="Arial"/>
          <w:sz w:val="22"/>
          <w:szCs w:val="22"/>
        </w:rPr>
        <w:t xml:space="preserve"> – A person who has been enrolled or admitted as a member of a medical scheme, or who, in terms of the </w:t>
      </w:r>
      <w:r w:rsidR="00EA3C6A" w:rsidRPr="00F463BC">
        <w:rPr>
          <w:rFonts w:ascii="Arial" w:hAnsi="Arial" w:cs="Arial"/>
          <w:sz w:val="22"/>
          <w:szCs w:val="22"/>
        </w:rPr>
        <w:t>Rule</w:t>
      </w:r>
      <w:r w:rsidRPr="00F463BC">
        <w:rPr>
          <w:rFonts w:ascii="Arial" w:hAnsi="Arial" w:cs="Arial"/>
          <w:sz w:val="22"/>
          <w:szCs w:val="22"/>
        </w:rPr>
        <w:t>s of a medical scheme, is a member of such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Member’s portion</w:t>
      </w:r>
      <w:r w:rsidRPr="00F463BC">
        <w:rPr>
          <w:rFonts w:ascii="Arial" w:hAnsi="Arial" w:cs="Arial"/>
          <w:sz w:val="22"/>
          <w:szCs w:val="22"/>
        </w:rPr>
        <w:t xml:space="preserve"> – The part of the amount paid to a supplier of healthcare services for which the member is responsible, in terms of the </w:t>
      </w:r>
      <w:r w:rsidR="00EA3C6A" w:rsidRPr="00F463BC">
        <w:rPr>
          <w:rFonts w:ascii="Arial" w:hAnsi="Arial" w:cs="Arial"/>
          <w:sz w:val="22"/>
          <w:szCs w:val="22"/>
        </w:rPr>
        <w:t>Rule</w:t>
      </w:r>
      <w:r w:rsidRPr="00F463BC">
        <w:rPr>
          <w:rFonts w:ascii="Arial" w:hAnsi="Arial" w:cs="Arial"/>
          <w:sz w:val="22"/>
          <w:szCs w:val="22"/>
        </w:rPr>
        <w:t>s. Also referred to as “co-payment” or “shortfall”.</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Minimum accumulated funds (solvency ratio)</w:t>
      </w:r>
      <w:r w:rsidRPr="00F463BC">
        <w:rPr>
          <w:rFonts w:ascii="Arial" w:hAnsi="Arial" w:cs="Arial"/>
          <w:i/>
          <w:sz w:val="22"/>
          <w:szCs w:val="22"/>
        </w:rPr>
        <w:t xml:space="preserve"> </w:t>
      </w:r>
      <w:r w:rsidRPr="00F463BC">
        <w:rPr>
          <w:rFonts w:ascii="Arial" w:hAnsi="Arial" w:cs="Arial"/>
          <w:sz w:val="22"/>
          <w:szCs w:val="22"/>
        </w:rPr>
        <w:t xml:space="preserve">– A medical scheme must maintain accumulated funds expressed as a percentage of gross annual contributions for the accounting period under review, which accumulated funds may not be less than 25% of the </w:t>
      </w:r>
      <w:r w:rsidRPr="00F463BC">
        <w:rPr>
          <w:rFonts w:ascii="Arial" w:hAnsi="Arial" w:cs="Arial"/>
          <w:sz w:val="22"/>
          <w:szCs w:val="22"/>
        </w:rPr>
        <w:lastRenderedPageBreak/>
        <w:t>gross annual contributions. The minimum accumulated funds are sometimes referred to as the “solvency ratio” or the “accumulated funds ratio” and are the minimum capital requirement that medical schemes are required to maintain. Circular</w:t>
      </w:r>
      <w:r w:rsidR="00F86407" w:rsidRPr="00F463BC">
        <w:rPr>
          <w:rFonts w:ascii="Arial" w:hAnsi="Arial" w:cs="Arial"/>
          <w:sz w:val="22"/>
          <w:szCs w:val="22"/>
        </w:rPr>
        <w:t> </w:t>
      </w:r>
      <w:r w:rsidRPr="00F463BC">
        <w:rPr>
          <w:rFonts w:ascii="Arial" w:hAnsi="Arial" w:cs="Arial"/>
          <w:sz w:val="22"/>
          <w:szCs w:val="22"/>
        </w:rPr>
        <w:t>13 of 2001</w:t>
      </w:r>
      <w:r w:rsidR="00F86407" w:rsidRPr="00F463BC">
        <w:rPr>
          <w:rStyle w:val="FootnoteReference"/>
          <w:rFonts w:ascii="Arial" w:hAnsi="Arial" w:cs="Arial"/>
          <w:sz w:val="22"/>
          <w:szCs w:val="22"/>
        </w:rPr>
        <w:footnoteReference w:id="51"/>
      </w:r>
      <w:r w:rsidR="007C1C57" w:rsidRPr="00F463BC">
        <w:rPr>
          <w:rFonts w:ascii="Arial" w:hAnsi="Arial" w:cs="Arial"/>
          <w:sz w:val="22"/>
          <w:szCs w:val="22"/>
        </w:rPr>
        <w:t xml:space="preserve"> </w:t>
      </w:r>
      <w:r w:rsidRPr="00F463BC">
        <w:rPr>
          <w:rFonts w:ascii="Arial" w:hAnsi="Arial" w:cs="Arial"/>
          <w:sz w:val="22"/>
          <w:szCs w:val="22"/>
        </w:rPr>
        <w:t xml:space="preserve">provides further information on what should be excluded from the amount of the accumulated funds, for purposes of calculating the minimum accumulated funds.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Net claims incurred</w:t>
      </w:r>
      <w:r w:rsidRPr="00F463BC">
        <w:rPr>
          <w:rFonts w:ascii="Arial" w:hAnsi="Arial" w:cs="Arial"/>
          <w:sz w:val="22"/>
          <w:szCs w:val="22"/>
        </w:rPr>
        <w:t xml:space="preserve"> – Risk claims incurred net of third party recoveries (such as the Road Accident Fund (RAF)).</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Non-healthcare expenditure</w:t>
      </w:r>
      <w:r w:rsidRPr="00F463BC">
        <w:rPr>
          <w:rFonts w:ascii="Arial" w:hAnsi="Arial" w:cs="Arial"/>
          <w:sz w:val="22"/>
          <w:szCs w:val="22"/>
        </w:rPr>
        <w:t xml:space="preserve"> – </w:t>
      </w:r>
      <w:r w:rsidR="00FF00B0" w:rsidRPr="00F463BC">
        <w:rPr>
          <w:rFonts w:ascii="Arial" w:hAnsi="Arial" w:cs="Arial"/>
          <w:sz w:val="22"/>
          <w:szCs w:val="22"/>
        </w:rPr>
        <w:t>C</w:t>
      </w:r>
      <w:r w:rsidRPr="00F463BC">
        <w:rPr>
          <w:rFonts w:ascii="Arial" w:hAnsi="Arial" w:cs="Arial"/>
          <w:sz w:val="22"/>
          <w:szCs w:val="22"/>
        </w:rPr>
        <w:t>omprises managed care: management services, broker service fees, administration fees and other operating expenses incurred in operating a medical scheme</w:t>
      </w:r>
      <w:r w:rsidR="001F1010" w:rsidRPr="00F463BC">
        <w:rPr>
          <w:rFonts w:ascii="Arial" w:hAnsi="Arial" w:cs="Arial"/>
          <w:sz w:val="22"/>
          <w:szCs w:val="22"/>
        </w:rPr>
        <w:t>, as well as impairment losses incurred in respect of trade and other receivables.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Outstanding </w:t>
      </w:r>
      <w:r w:rsidR="00DE4A1B" w:rsidRPr="00F463BC">
        <w:rPr>
          <w:rFonts w:ascii="Arial" w:hAnsi="Arial" w:cs="Arial"/>
          <w:b/>
          <w:i/>
          <w:sz w:val="22"/>
          <w:szCs w:val="22"/>
        </w:rPr>
        <w:t xml:space="preserve">risk </w:t>
      </w:r>
      <w:r w:rsidRPr="00F463BC">
        <w:rPr>
          <w:rFonts w:ascii="Arial" w:hAnsi="Arial" w:cs="Arial"/>
          <w:b/>
          <w:i/>
          <w:sz w:val="22"/>
          <w:szCs w:val="22"/>
        </w:rPr>
        <w:t>claims provision</w:t>
      </w:r>
      <w:r w:rsidRPr="00F463BC">
        <w:rPr>
          <w:rFonts w:ascii="Arial" w:hAnsi="Arial" w:cs="Arial"/>
          <w:sz w:val="22"/>
          <w:szCs w:val="22"/>
        </w:rPr>
        <w:t xml:space="preserve"> – A provision made for the estimated cost of healthcare benefits that have occurred before the end of the accounting period but have not been reported to the medical scheme by that date. This provision is determined as accurately as possible on the basis of a number of factors, which may include previous experience in claims reporting patterns, claims settlement patterns, changes in the nature and number of members according to gender and age, trends in claims frequency, changes in the claims processing cycle, and variations in the nature and average cost incurred per claim. The provision is net of estimated recoveries from members for co-payments, and for savings plan accounts. This provision is also known as provision for claims “incurred but not reported (IBNR)”.</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Own facility costs</w:t>
      </w:r>
      <w:r w:rsidRPr="00F463BC">
        <w:rPr>
          <w:rFonts w:ascii="Arial" w:hAnsi="Arial" w:cs="Arial"/>
          <w:sz w:val="22"/>
          <w:szCs w:val="22"/>
        </w:rPr>
        <w:t xml:space="preserve"> – Represent costs incurred by a medical scheme in operating its own medical equipment, hospital, clinic, pharmacy, pathology laboratory and radiology facility or any other related services.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Personal medical savings account (PMSA),</w:t>
      </w:r>
      <w:r w:rsidRPr="00F463BC">
        <w:rPr>
          <w:rFonts w:ascii="Arial" w:hAnsi="Arial" w:cs="Arial"/>
          <w:i/>
          <w:sz w:val="22"/>
          <w:szCs w:val="22"/>
        </w:rPr>
        <w:t xml:space="preserve"> also </w:t>
      </w:r>
      <w:r w:rsidRPr="00F463BC">
        <w:rPr>
          <w:rFonts w:ascii="Arial" w:hAnsi="Arial" w:cs="Arial"/>
          <w:b/>
          <w:i/>
          <w:sz w:val="22"/>
          <w:szCs w:val="22"/>
        </w:rPr>
        <w:t>personal medical savings account trust liability</w:t>
      </w:r>
      <w:r w:rsidRPr="00F463BC">
        <w:rPr>
          <w:rFonts w:ascii="Arial" w:hAnsi="Arial" w:cs="Arial"/>
          <w:sz w:val="22"/>
          <w:szCs w:val="22"/>
        </w:rPr>
        <w:t xml:space="preserve"> – Funds accrued and received from members by the medical scheme with the monthly contributions to fund day to day healthcare benefits that are not covered by the option of the schemes that the member belongs to. PMSAs are savings contributions held in trust on behalf of members to be used for the payment of healthcare benefits that are for the account of the member, in terms of the </w:t>
      </w:r>
      <w:r w:rsidR="00EA3C6A" w:rsidRPr="00F463BC">
        <w:rPr>
          <w:rFonts w:ascii="Arial" w:hAnsi="Arial" w:cs="Arial"/>
          <w:sz w:val="22"/>
          <w:szCs w:val="22"/>
        </w:rPr>
        <w:t>Rule</w:t>
      </w:r>
      <w:r w:rsidRPr="00F463BC">
        <w:rPr>
          <w:rFonts w:ascii="Arial" w:hAnsi="Arial" w:cs="Arial"/>
          <w:sz w:val="22"/>
          <w:szCs w:val="22"/>
        </w:rPr>
        <w:t xml:space="preserve">s of the medical scheme. A credit balance in a </w:t>
      </w:r>
      <w:r w:rsidRPr="00F463BC">
        <w:rPr>
          <w:rFonts w:ascii="Arial" w:hAnsi="Arial" w:cs="Arial"/>
          <w:sz w:val="22"/>
          <w:szCs w:val="22"/>
        </w:rPr>
        <w:lastRenderedPageBreak/>
        <w:t>member’s savings plan account is only refundable as provided for in Regulation 10 of the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Personal medical savings account trust investment</w:t>
      </w:r>
      <w:r w:rsidRPr="00F463BC">
        <w:rPr>
          <w:rFonts w:ascii="Arial" w:hAnsi="Arial" w:cs="Arial"/>
          <w:sz w:val="22"/>
          <w:szCs w:val="22"/>
        </w:rPr>
        <w:t xml:space="preserve"> – Represents the amounts invested in respect of contributions received from members to their personal medical savings accounts and any interest or investment income accrued thereon, net of any payments made in respect of the registered benefits. These monies are held in trust and managed by the medical schemes on their members’ behalf.</w:t>
      </w:r>
    </w:p>
    <w:p w:rsidR="00424D4A" w:rsidRPr="00F463BC" w:rsidRDefault="00424D4A"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Policy income </w:t>
      </w:r>
      <w:r w:rsidRPr="00F463BC">
        <w:rPr>
          <w:rFonts w:ascii="Arial" w:hAnsi="Arial" w:cs="Arial"/>
          <w:sz w:val="22"/>
          <w:szCs w:val="22"/>
        </w:rPr>
        <w:t xml:space="preserve">– </w:t>
      </w:r>
      <w:r w:rsidR="002A6520">
        <w:rPr>
          <w:rFonts w:ascii="Arial" w:hAnsi="Arial" w:cs="Arial"/>
          <w:sz w:val="22"/>
          <w:szCs w:val="22"/>
        </w:rPr>
        <w:t>R</w:t>
      </w:r>
      <w:r w:rsidRPr="00F463BC">
        <w:rPr>
          <w:rFonts w:ascii="Arial" w:hAnsi="Arial" w:cs="Arial"/>
          <w:sz w:val="22"/>
          <w:szCs w:val="22"/>
        </w:rPr>
        <w:t xml:space="preserve">epresents income, for example interest and dividends, earned from an investment policy with an insurer.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Prescribed minimum benefits (PMBs)</w:t>
      </w:r>
      <w:r w:rsidRPr="00F463BC">
        <w:rPr>
          <w:rFonts w:ascii="Arial" w:hAnsi="Arial" w:cs="Arial"/>
          <w:sz w:val="22"/>
          <w:szCs w:val="22"/>
        </w:rPr>
        <w:t xml:space="preserve"> – The benefits contemplated in section 9(1)(o) of the Act, and consist of the provision of the diagnosis, treatment and care costs of:</w:t>
      </w:r>
    </w:p>
    <w:p w:rsidR="003F5078"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and Treatment Pairs listed in Annexure A, subject to any limitations specified in Annexure A</w:t>
      </w:r>
      <w:r w:rsidR="003F5078" w:rsidRPr="00F463BC">
        <w:rPr>
          <w:rFonts w:ascii="Arial" w:hAnsi="Arial" w:cs="Arial"/>
          <w:color w:val="000000"/>
          <w:sz w:val="22"/>
          <w:szCs w:val="22"/>
          <w:lang w:val="en-US" w:eastAsia="en-US"/>
        </w:rPr>
        <w:t>:</w:t>
      </w:r>
    </w:p>
    <w:p w:rsidR="003F5078" w:rsidRPr="00F463BC" w:rsidRDefault="003F5078" w:rsidP="00C721DC">
      <w:pPr>
        <w:numPr>
          <w:ilvl w:val="1"/>
          <w:numId w:val="303"/>
        </w:numPr>
        <w:tabs>
          <w:tab w:val="clear" w:pos="1441"/>
          <w:tab w:val="num" w:pos="993"/>
        </w:tabs>
        <w:spacing w:before="0" w:line="360"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A limited set of approximately 270 medical conditions; and</w:t>
      </w:r>
    </w:p>
    <w:p w:rsidR="003F5078" w:rsidRPr="00F463BC" w:rsidRDefault="003F5078" w:rsidP="00C721DC">
      <w:pPr>
        <w:numPr>
          <w:ilvl w:val="1"/>
          <w:numId w:val="303"/>
        </w:numPr>
        <w:tabs>
          <w:tab w:val="clear" w:pos="1441"/>
          <w:tab w:val="num" w:pos="993"/>
        </w:tabs>
        <w:spacing w:before="0" w:line="360"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25 chronic disease list conditions (CDLs) as well as other chronic diagnosis treatment pairs (DTPs) </w:t>
      </w:r>
      <w:r w:rsidR="004861F8" w:rsidRPr="00F463BC">
        <w:rPr>
          <w:rFonts w:ascii="Arial" w:hAnsi="Arial" w:cs="Arial"/>
          <w:color w:val="000000"/>
          <w:sz w:val="22"/>
          <w:szCs w:val="22"/>
          <w:lang w:val="en-US" w:eastAsia="en-US"/>
        </w:rPr>
        <w:t xml:space="preserve">and </w:t>
      </w:r>
      <w:r w:rsidRPr="00F463BC">
        <w:rPr>
          <w:rFonts w:ascii="Arial" w:hAnsi="Arial" w:cs="Arial"/>
          <w:color w:val="000000"/>
          <w:sz w:val="22"/>
          <w:szCs w:val="22"/>
          <w:lang w:val="en-US" w:eastAsia="en-US"/>
        </w:rPr>
        <w:t>chronic conditions (</w:t>
      </w:r>
      <w:r w:rsidR="008A14F2" w:rsidRPr="00F463BC">
        <w:rPr>
          <w:rFonts w:ascii="Arial" w:hAnsi="Arial" w:cs="Arial"/>
          <w:color w:val="000000"/>
          <w:sz w:val="22"/>
          <w:szCs w:val="22"/>
          <w:lang w:val="en-US" w:eastAsia="en-US"/>
        </w:rPr>
        <w:t xml:space="preserve">currently only </w:t>
      </w:r>
      <w:r w:rsidRPr="00F463BC">
        <w:rPr>
          <w:rFonts w:ascii="Arial" w:hAnsi="Arial" w:cs="Arial"/>
          <w:color w:val="000000"/>
          <w:sz w:val="22"/>
          <w:szCs w:val="22"/>
          <w:lang w:val="en-US" w:eastAsia="en-US"/>
        </w:rPr>
        <w:t>HIV</w:t>
      </w:r>
      <w:r w:rsidR="00660925" w:rsidRPr="00F463BC">
        <w:rPr>
          <w:rFonts w:ascii="Arial" w:hAnsi="Arial" w:cs="Arial"/>
          <w:color w:val="000000"/>
          <w:sz w:val="22"/>
          <w:szCs w:val="22"/>
          <w:lang w:val="en-US" w:eastAsia="en-US"/>
        </w:rPr>
        <w:t xml:space="preserve"> and</w:t>
      </w:r>
      <w:r w:rsidRPr="00F463BC">
        <w:rPr>
          <w:rFonts w:ascii="Arial" w:hAnsi="Arial" w:cs="Arial"/>
          <w:color w:val="000000"/>
          <w:sz w:val="22"/>
          <w:szCs w:val="22"/>
          <w:lang w:val="en-US" w:eastAsia="en-US"/>
        </w:rPr>
        <w:t xml:space="preserve"> menopause)</w:t>
      </w:r>
      <w:r w:rsidR="00660925" w:rsidRPr="00F463BC">
        <w:rPr>
          <w:rFonts w:ascii="Arial" w:hAnsi="Arial" w:cs="Arial"/>
          <w:color w:val="000000"/>
          <w:sz w:val="22"/>
          <w:szCs w:val="22"/>
          <w:lang w:val="en-US" w:eastAsia="en-US"/>
        </w:rPr>
        <w:t>; and</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emergency medical condition.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Protection of Funds Act</w:t>
      </w:r>
      <w:r w:rsidRPr="00F463BC">
        <w:rPr>
          <w:rFonts w:ascii="Arial" w:hAnsi="Arial" w:cs="Arial"/>
          <w:sz w:val="22"/>
          <w:szCs w:val="22"/>
        </w:rPr>
        <w:t xml:space="preserve"> – Financial Institutions (Protection of Funds) Act 28 of 2001.</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Registrar</w:t>
      </w:r>
      <w:r w:rsidRPr="00F463BC">
        <w:rPr>
          <w:rFonts w:ascii="Arial" w:hAnsi="Arial" w:cs="Arial"/>
          <w:sz w:val="22"/>
          <w:szCs w:val="22"/>
        </w:rPr>
        <w:t xml:space="preserve"> – Registrar of Medical Schemes appointed in terms of section 18 of the Act.</w:t>
      </w:r>
    </w:p>
    <w:p w:rsidR="004C618A" w:rsidRPr="00F463BC" w:rsidRDefault="004C618A" w:rsidP="004C618A">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Reinsurer</w:t>
      </w:r>
      <w:r w:rsidRPr="00F463BC">
        <w:rPr>
          <w:rFonts w:ascii="Arial" w:hAnsi="Arial" w:cs="Arial"/>
          <w:sz w:val="22"/>
          <w:szCs w:val="22"/>
        </w:rPr>
        <w:t xml:space="preserve"> – An insurer:</w:t>
      </w:r>
    </w:p>
    <w:p w:rsidR="004C618A" w:rsidRPr="00F463BC" w:rsidRDefault="004C618A" w:rsidP="004C618A">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Registered as a long-term insurer in terms of section 9 of the Long-term Insurance Act 52 of 1998, unless that insurer is prohibited from engaging in the practice of reinsurance in terms of section 10 of that Act; or</w:t>
      </w:r>
    </w:p>
    <w:p w:rsidR="004C618A" w:rsidRPr="00F463BC" w:rsidRDefault="004C618A" w:rsidP="004C618A">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Registered as a short-term insurer in terms of section 9 or the Short-term Insurance Act 53 of 1998, unless that insurer is prohibited from engaging in the practice of reinsurance in terms of section 10 of that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Relevant healthcare expenditure</w:t>
      </w:r>
      <w:r w:rsidRPr="00F463BC">
        <w:rPr>
          <w:rFonts w:ascii="Arial" w:hAnsi="Arial" w:cs="Arial"/>
          <w:sz w:val="22"/>
          <w:szCs w:val="22"/>
        </w:rPr>
        <w:t xml:space="preserve"> – Represents net claims incurred and net income/(expense) on risk transfer arrangements.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lastRenderedPageBreak/>
        <w:t>Relevant health service</w:t>
      </w:r>
      <w:r w:rsidRPr="00F463BC">
        <w:rPr>
          <w:rFonts w:ascii="Arial" w:hAnsi="Arial" w:cs="Arial"/>
          <w:sz w:val="22"/>
          <w:szCs w:val="22"/>
        </w:rPr>
        <w:t xml:space="preserve"> – Any healthcare treatment of any person by a person registered in terms of any law, which treatment has as its object:</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physical or mental examination of that person;</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treatment or prevention of any physical or mental defect, illness or deficiency;</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any such defect, illness or deficiency;</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or treatment of, any condition arising out of a pregnancy, including the termination thereof;</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prescribing or supplying of any medicine, appliance or apparatus in relation to any such defect, illness or deficiency or a pregnancy, including the termination thereof;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Nursing or midwifery;</w:t>
      </w:r>
    </w:p>
    <w:p w:rsidR="003635CD" w:rsidRPr="00F463BC" w:rsidRDefault="003635CD" w:rsidP="00C721DC">
      <w:pPr>
        <w:spacing w:before="0" w:line="360"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And includes an ambulance service, and the supply of accommodation in an institution established or registered in terms of any law as a hospital, maternity home, nursing home or similar institution where nursing is practised, or any other institution where surgical or other medical activities are performed, and such accommodation is necessitated by any physical or mental defect, illness or deficiency or by a pregnancy.</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Report of the board of trustees</w:t>
      </w:r>
      <w:r w:rsidRPr="00F463BC">
        <w:rPr>
          <w:rFonts w:ascii="Arial" w:hAnsi="Arial" w:cs="Arial"/>
          <w:sz w:val="22"/>
          <w:szCs w:val="22"/>
        </w:rPr>
        <w:t xml:space="preserve"> – The report as per section 37(5) of the Act. </w:t>
      </w:r>
      <w:r w:rsidR="001D1F95" w:rsidRPr="00F463BC">
        <w:rPr>
          <w:rFonts w:ascii="Arial" w:hAnsi="Arial" w:cs="Arial"/>
          <w:sz w:val="22"/>
          <w:szCs w:val="22"/>
        </w:rPr>
        <w:t>The</w:t>
      </w:r>
      <w:r w:rsidR="00D0090C" w:rsidRPr="00F463BC">
        <w:rPr>
          <w:rFonts w:ascii="Arial" w:hAnsi="Arial" w:cs="Arial"/>
          <w:sz w:val="22"/>
          <w:szCs w:val="22"/>
        </w:rPr>
        <w:t xml:space="preserve"> report </w:t>
      </w:r>
      <w:r w:rsidR="001D1F95" w:rsidRPr="00F463BC">
        <w:rPr>
          <w:rFonts w:ascii="Arial" w:hAnsi="Arial" w:cs="Arial"/>
          <w:sz w:val="22"/>
          <w:szCs w:val="22"/>
        </w:rPr>
        <w:t xml:space="preserve">is issued </w:t>
      </w:r>
      <w:r w:rsidR="00D0090C" w:rsidRPr="00F463BC">
        <w:rPr>
          <w:rFonts w:ascii="Arial" w:hAnsi="Arial" w:cs="Arial"/>
          <w:sz w:val="22"/>
          <w:szCs w:val="22"/>
        </w:rPr>
        <w:t xml:space="preserve">by those persons with a fiduciary responsibility towards the medical scheme.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Restricted membership medical scheme</w:t>
      </w:r>
      <w:r w:rsidRPr="00F463BC">
        <w:rPr>
          <w:rFonts w:ascii="Arial" w:hAnsi="Arial" w:cs="Arial"/>
          <w:sz w:val="22"/>
          <w:szCs w:val="22"/>
        </w:rPr>
        <w:t xml:space="preserve"> – Means a medical scheme, the </w:t>
      </w:r>
      <w:r w:rsidR="00EA3C6A" w:rsidRPr="00F463BC">
        <w:rPr>
          <w:rFonts w:ascii="Arial" w:hAnsi="Arial" w:cs="Arial"/>
          <w:sz w:val="22"/>
          <w:szCs w:val="22"/>
        </w:rPr>
        <w:t>Rule</w:t>
      </w:r>
      <w:r w:rsidRPr="00F463BC">
        <w:rPr>
          <w:rFonts w:ascii="Arial" w:hAnsi="Arial" w:cs="Arial"/>
          <w:sz w:val="22"/>
          <w:szCs w:val="22"/>
        </w:rPr>
        <w:t>s of which restrict the eligibility for membership by reference to:</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in a profession, trade, industry or calling;</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by a particular employer, or by an employer included in a particular class of employers;</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Membership or former membership or both membership or former membership of a particular profession, professional association or union;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other prescribed matter</w:t>
      </w:r>
      <w:r w:rsidR="00FE3726">
        <w:rPr>
          <w:rFonts w:ascii="Arial" w:hAnsi="Arial" w:cs="Arial"/>
          <w:color w:val="000000"/>
          <w:sz w:val="22"/>
          <w:szCs w:val="22"/>
          <w:lang w:val="en-US" w:eastAsia="en-US"/>
        </w:rPr>
        <w: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lastRenderedPageBreak/>
        <w:t>Risk claims incurred</w:t>
      </w:r>
      <w:r w:rsidRPr="00F463BC">
        <w:rPr>
          <w:rFonts w:ascii="Arial" w:hAnsi="Arial" w:cs="Arial"/>
          <w:sz w:val="22"/>
          <w:szCs w:val="22"/>
        </w:rPr>
        <w:t xml:space="preserve"> – Risk claims paid and reported adjusted by the outstanding risk claims provision at the beginning and end of the accounting period.</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Risk claims paid and reported</w:t>
      </w:r>
      <w:r w:rsidRPr="00F463BC">
        <w:rPr>
          <w:rFonts w:ascii="Arial" w:hAnsi="Arial" w:cs="Arial"/>
          <w:sz w:val="22"/>
          <w:szCs w:val="22"/>
        </w:rPr>
        <w:t xml:space="preserve"> – Gross claims assessed, accrued and paid for services rendered during the accounting period and for services rendered during the previous accounting period not included in the previous period’s outstanding risk claims provision, excluding </w:t>
      </w:r>
      <w:r w:rsidR="00655649" w:rsidRPr="00F463BC">
        <w:rPr>
          <w:rFonts w:ascii="Arial" w:hAnsi="Arial" w:cs="Arial"/>
          <w:sz w:val="22"/>
          <w:szCs w:val="22"/>
        </w:rPr>
        <w:t>savings claims</w:t>
      </w:r>
      <w:r w:rsidRPr="00F463BC">
        <w:rPr>
          <w:rFonts w:ascii="Arial" w:hAnsi="Arial" w:cs="Arial"/>
          <w:sz w:val="22"/>
          <w:szCs w:val="22"/>
        </w:rPr>
        <w:t>, and net of recoveries from members for co-payments, deductibles, and discount received from service providers.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Risk contribution income</w:t>
      </w:r>
      <w:r w:rsidRPr="00F463BC">
        <w:rPr>
          <w:rFonts w:ascii="Arial" w:hAnsi="Arial" w:cs="Arial"/>
          <w:sz w:val="22"/>
          <w:szCs w:val="22"/>
        </w:rPr>
        <w:t xml:space="preserve"> – </w:t>
      </w:r>
      <w:r w:rsidR="00FF00B0" w:rsidRPr="00F463BC">
        <w:rPr>
          <w:rFonts w:ascii="Arial" w:hAnsi="Arial" w:cs="Arial"/>
          <w:sz w:val="22"/>
          <w:szCs w:val="22"/>
        </w:rPr>
        <w:t>R</w:t>
      </w:r>
      <w:r w:rsidRPr="00F463BC">
        <w:rPr>
          <w:rFonts w:ascii="Arial" w:hAnsi="Arial" w:cs="Arial"/>
          <w:sz w:val="22"/>
          <w:szCs w:val="22"/>
        </w:rPr>
        <w:t>epresents revenue for which the medical scheme is at risk, and is calculated as gross contributions less savings contributions, during the accounting period.</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Risk transfer arrangement</w:t>
      </w:r>
      <w:r w:rsidRPr="00F463BC">
        <w:rPr>
          <w:rFonts w:ascii="Arial" w:hAnsi="Arial" w:cs="Arial"/>
          <w:sz w:val="22"/>
          <w:szCs w:val="22"/>
        </w:rPr>
        <w:t xml:space="preserve"> – A reinsurance contract as defined in IFRS 4</w:t>
      </w:r>
      <w:r w:rsidR="00493F37" w:rsidRPr="00F463BC">
        <w:rPr>
          <w:rStyle w:val="FootnoteReference"/>
          <w:rFonts w:ascii="Arial" w:hAnsi="Arial" w:cs="Arial"/>
          <w:sz w:val="22"/>
          <w:szCs w:val="22"/>
        </w:rPr>
        <w:footnoteReference w:id="52"/>
      </w:r>
      <w:r w:rsidRPr="00F463BC">
        <w:rPr>
          <w:rFonts w:ascii="Arial" w:hAnsi="Arial" w:cs="Arial"/>
          <w:sz w:val="22"/>
          <w:szCs w:val="22"/>
        </w:rPr>
        <w:t>. This is a contractual arrangement in terms of which a third party undertakes to compensate a medical scheme for all or a significant part of the loss that the medical scheme may suffer as a result of carrying on the business of a medical scheme. Risk transfer arrangements do not reduce a medical scheme’s primary obligations to its members and their dependants, but the arrangements only decrease the loss the medical scheme may suffer as a result of the carrying on of the business of a medical scheme. This can take the form of a capitation agreement or commercial reinsurance.</w:t>
      </w:r>
    </w:p>
    <w:p w:rsidR="003635CD" w:rsidRPr="00F463BC" w:rsidRDefault="00EA3C6A"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w:t>
      </w:r>
      <w:r w:rsidR="003635CD" w:rsidRPr="00F463BC">
        <w:rPr>
          <w:rFonts w:ascii="Arial" w:hAnsi="Arial" w:cs="Arial"/>
          <w:sz w:val="22"/>
          <w:szCs w:val="22"/>
        </w:rPr>
        <w:t xml:space="preserve"> – The </w:t>
      </w:r>
      <w:r w:rsidRPr="00F463BC">
        <w:rPr>
          <w:rFonts w:ascii="Arial" w:hAnsi="Arial" w:cs="Arial"/>
          <w:sz w:val="22"/>
          <w:szCs w:val="22"/>
        </w:rPr>
        <w:t>Rule</w:t>
      </w:r>
      <w:r w:rsidR="003635CD" w:rsidRPr="00F463BC">
        <w:rPr>
          <w:rFonts w:ascii="Arial" w:hAnsi="Arial" w:cs="Arial"/>
          <w:sz w:val="22"/>
          <w:szCs w:val="22"/>
        </w:rPr>
        <w:t>s of a medical scheme and include: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provisions of the law, or other document by which the medical scheme is constituted;</w:t>
      </w:r>
    </w:p>
    <w:p w:rsidR="003635CD" w:rsidRPr="00F463BC" w:rsidRDefault="00EA3C6A"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Rule</w:t>
      </w:r>
      <w:r w:rsidR="003635CD" w:rsidRPr="00F463BC">
        <w:rPr>
          <w:rFonts w:ascii="Arial" w:hAnsi="Arial" w:cs="Arial"/>
          <w:color w:val="000000"/>
          <w:sz w:val="22"/>
          <w:szCs w:val="22"/>
          <w:lang w:val="en-US" w:eastAsia="en-US"/>
        </w:rPr>
        <w:t>s for the conduct of the business of the medical scheme; and</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provisions relating to the benefits which may be granted by and the contributions which may become payable to the medical scheme.</w:t>
      </w:r>
    </w:p>
    <w:p w:rsidR="003635CD" w:rsidRPr="00F463BC" w:rsidRDefault="00EA3C6A"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s-based and clinical management-based programmes</w:t>
      </w:r>
      <w:r w:rsidR="003635CD" w:rsidRPr="00F463BC">
        <w:rPr>
          <w:rFonts w:ascii="Arial" w:hAnsi="Arial" w:cs="Arial"/>
          <w:sz w:val="22"/>
          <w:szCs w:val="22"/>
        </w:rPr>
        <w:t xml:space="preserve"> – A set of formal techniques designed to monitor the use of, and evaluate the clinical necessity, appropriateness, efficacy, and efficiency of, healthcare services, procedures or settings, on the basis of which appropriate managed healthcare interventions are made.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lastRenderedPageBreak/>
        <w:t>Savings claims</w:t>
      </w:r>
      <w:r w:rsidRPr="00F463BC">
        <w:rPr>
          <w:rFonts w:ascii="Arial" w:hAnsi="Arial" w:cs="Arial"/>
          <w:sz w:val="22"/>
          <w:szCs w:val="22"/>
        </w:rPr>
        <w:t xml:space="preserve"> – Healthcare benefits paid from members’ personal medical savings accounts in terms of the scheme’s registered </w:t>
      </w:r>
      <w:r w:rsidR="00EA3C6A" w:rsidRPr="00F463BC">
        <w:rPr>
          <w:rFonts w:ascii="Arial" w:hAnsi="Arial" w:cs="Arial"/>
          <w:sz w:val="22"/>
          <w:szCs w:val="22"/>
        </w:rPr>
        <w:t>Rule</w:t>
      </w:r>
      <w:r w:rsidRPr="00F463BC">
        <w:rPr>
          <w:rFonts w:ascii="Arial" w:hAnsi="Arial" w:cs="Arial"/>
          <w:sz w:val="22"/>
          <w:szCs w:val="22"/>
        </w:rPr>
        <w: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Savings contributions</w:t>
      </w:r>
      <w:r w:rsidRPr="00F463BC">
        <w:rPr>
          <w:rFonts w:ascii="Arial" w:hAnsi="Arial" w:cs="Arial"/>
          <w:sz w:val="22"/>
          <w:szCs w:val="22"/>
        </w:rPr>
        <w:t xml:space="preserve"> – The amount allocated to a member’s personal medical savings account in terms of the scheme’s </w:t>
      </w:r>
      <w:r w:rsidR="00EA3C6A" w:rsidRPr="00F463BC">
        <w:rPr>
          <w:rFonts w:ascii="Arial" w:hAnsi="Arial" w:cs="Arial"/>
          <w:sz w:val="22"/>
          <w:szCs w:val="22"/>
        </w:rPr>
        <w:t>Rule</w:t>
      </w:r>
      <w:r w:rsidRPr="00F463BC">
        <w:rPr>
          <w:rFonts w:ascii="Arial" w:hAnsi="Arial" w:cs="Arial"/>
          <w:sz w:val="22"/>
          <w:szCs w:val="22"/>
        </w:rPr>
        <w:t>s to a maximum of 25% of the gross amount contributed by the member.</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Savings plan liability</w:t>
      </w:r>
      <w:r w:rsidRPr="00F463BC">
        <w:rPr>
          <w:rFonts w:ascii="Arial" w:hAnsi="Arial" w:cs="Arial"/>
          <w:sz w:val="22"/>
          <w:szCs w:val="22"/>
        </w:rPr>
        <w:t xml:space="preserve"> – Constitutes saving plan contributions held on behalf of members to be used for payment of healthcare benefits that are payable by the member, in terms of the </w:t>
      </w:r>
      <w:r w:rsidR="00EA3C6A" w:rsidRPr="00F463BC">
        <w:rPr>
          <w:rFonts w:ascii="Arial" w:hAnsi="Arial" w:cs="Arial"/>
          <w:sz w:val="22"/>
          <w:szCs w:val="22"/>
        </w:rPr>
        <w:t>Rule</w:t>
      </w:r>
      <w:r w:rsidRPr="00F463BC">
        <w:rPr>
          <w:rFonts w:ascii="Arial" w:hAnsi="Arial" w:cs="Arial"/>
          <w:sz w:val="22"/>
          <w:szCs w:val="22"/>
        </w:rPr>
        <w: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Service auditor</w:t>
      </w:r>
      <w:r w:rsidRPr="00F463BC">
        <w:rPr>
          <w:rFonts w:ascii="Arial" w:hAnsi="Arial" w:cs="Arial"/>
          <w:sz w:val="22"/>
          <w:szCs w:val="22"/>
        </w:rPr>
        <w:t xml:space="preserve"> – A professional accountant in public practice who, at the request of the service organisation, provides an assurance report on controls at a service organisation.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Service organisation</w:t>
      </w:r>
      <w:r w:rsidRPr="00F463BC">
        <w:rPr>
          <w:rFonts w:ascii="Arial" w:hAnsi="Arial" w:cs="Arial"/>
          <w:sz w:val="22"/>
          <w:szCs w:val="22"/>
        </w:rPr>
        <w:t xml:space="preserve"> – A third-party organisation (or segment of a third-party organisation) that provides services to user entities that are part of those entities’ information systems relevant to financial reporting.</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Solvency ratio (accumulated funds ratio)</w:t>
      </w:r>
      <w:r w:rsidRPr="00F463BC">
        <w:rPr>
          <w:rFonts w:ascii="Arial" w:hAnsi="Arial" w:cs="Arial"/>
          <w:i/>
          <w:sz w:val="22"/>
          <w:szCs w:val="22"/>
        </w:rPr>
        <w:t xml:space="preserve"> –</w:t>
      </w:r>
      <w:r w:rsidRPr="00F463BC">
        <w:rPr>
          <w:rFonts w:ascii="Arial" w:hAnsi="Arial" w:cs="Arial"/>
          <w:sz w:val="22"/>
          <w:szCs w:val="22"/>
        </w:rPr>
        <w:t xml:space="preserve"> The accumulated funds, as defined by the Act, expressed as a percentage of annualised gross contributions for the accounting period under review. </w:t>
      </w:r>
      <w:r w:rsidR="00177EA9">
        <w:rPr>
          <w:rFonts w:ascii="Arial" w:hAnsi="Arial" w:cs="Arial"/>
          <w:sz w:val="22"/>
          <w:szCs w:val="22"/>
        </w:rPr>
        <w:t>Also see “</w:t>
      </w:r>
      <w:r w:rsidR="00177EA9" w:rsidRPr="001B129E">
        <w:rPr>
          <w:rFonts w:ascii="Arial" w:hAnsi="Arial" w:cs="Arial"/>
          <w:sz w:val="22"/>
          <w:szCs w:val="22"/>
        </w:rPr>
        <w:t>Minimum accumulated funds (solvency ratio)</w:t>
      </w:r>
      <w:r w:rsidR="00177EA9">
        <w:rPr>
          <w:rFonts w:ascii="Arial" w:hAnsi="Arial" w:cs="Arial"/>
          <w:sz w:val="22"/>
          <w:szCs w:val="22"/>
        </w:rPr>
        <w:t>”</w:t>
      </w:r>
      <w:r w:rsidR="00177EA9" w:rsidRPr="001B129E">
        <w:rPr>
          <w:rFonts w:ascii="Arial" w:hAnsi="Arial" w:cs="Arial"/>
          <w:sz w:val="22"/>
          <w:szCs w:val="22"/>
        </w:rPr>
        <w:t xml:space="preserve"> definition.</w:t>
      </w:r>
    </w:p>
    <w:p w:rsidR="003635CD" w:rsidRPr="00F463BC" w:rsidRDefault="003635CD" w:rsidP="00C721DC">
      <w:pPr>
        <w:pStyle w:val="Bulletsa"/>
        <w:tabs>
          <w:tab w:val="left" w:pos="1276"/>
        </w:tabs>
        <w:spacing w:before="0" w:line="360" w:lineRule="auto"/>
        <w:rPr>
          <w:rFonts w:ascii="Arial" w:hAnsi="Arial" w:cs="Arial"/>
          <w:i/>
          <w:sz w:val="22"/>
          <w:szCs w:val="22"/>
        </w:rPr>
      </w:pPr>
      <w:r w:rsidRPr="00F463BC">
        <w:rPr>
          <w:rFonts w:ascii="Arial" w:hAnsi="Arial" w:cs="Arial"/>
          <w:b/>
          <w:i/>
          <w:sz w:val="22"/>
          <w:szCs w:val="22"/>
        </w:rPr>
        <w:t>Waiting periods</w:t>
      </w:r>
      <w:r w:rsidRPr="00F463BC">
        <w:rPr>
          <w:rFonts w:ascii="Arial" w:hAnsi="Arial" w:cs="Arial"/>
          <w:i/>
          <w:sz w:val="22"/>
          <w:szCs w:val="22"/>
        </w:rPr>
        <w:t xml:space="preserve"> – </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Condition-specific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A</w:t>
      </w:r>
      <w:r w:rsidRPr="00F463BC">
        <w:rPr>
          <w:rFonts w:ascii="Arial" w:hAnsi="Arial" w:cs="Arial"/>
          <w:color w:val="000000"/>
          <w:sz w:val="22"/>
          <w:szCs w:val="22"/>
          <w:lang w:val="en-US" w:eastAsia="en-US"/>
        </w:rPr>
        <w:t xml:space="preserve"> period during which a beneficiary is not entitled to claim benefits in respect of a condition for which medical advice, diagnosis, care or treatment was recommended or received within the twelve-month period ending on the date on which an application for membership was made;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General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U</w:t>
      </w:r>
      <w:r w:rsidRPr="00F463BC">
        <w:rPr>
          <w:rFonts w:ascii="Arial" w:hAnsi="Arial" w:cs="Arial"/>
          <w:color w:val="000000"/>
          <w:sz w:val="22"/>
          <w:szCs w:val="22"/>
          <w:lang w:val="en-US" w:eastAsia="en-US"/>
        </w:rPr>
        <w:t>p to a three month period in which a beneficiary is not entitled to claim any benefits.</w:t>
      </w:r>
    </w:p>
    <w:p w:rsidR="003635CD" w:rsidRPr="00F463BC" w:rsidRDefault="003635CD" w:rsidP="00C721DC">
      <w:pPr>
        <w:tabs>
          <w:tab w:val="left" w:pos="1276"/>
        </w:tabs>
        <w:spacing w:before="0" w:line="360"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In the event that a member had a break of more than 90 days in membership (i.e. was uncovered), both waiting periods may be imposed, and the waiting periods would apply to PMBs.</w:t>
      </w:r>
    </w:p>
    <w:p w:rsidR="003635CD" w:rsidRPr="00F463BC" w:rsidRDefault="003635CD" w:rsidP="00C721DC">
      <w:pPr>
        <w:tabs>
          <w:tab w:val="left" w:pos="1276"/>
        </w:tabs>
        <w:spacing w:before="0" w:line="360"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If the break was less than 90 days, the waiting periods do not apply to PMBs</w:t>
      </w:r>
      <w:r w:rsidR="00177EA9">
        <w:rPr>
          <w:rFonts w:ascii="Arial" w:hAnsi="Arial" w:cs="Arial"/>
          <w:color w:val="000000"/>
          <w:sz w:val="22"/>
          <w:szCs w:val="22"/>
          <w:lang w:val="en-US" w:eastAsia="en-US"/>
        </w:rPr>
        <w:t xml:space="preserve"> if</w:t>
      </w:r>
      <w:r w:rsidRPr="00F463BC">
        <w:rPr>
          <w:rFonts w:ascii="Arial" w:hAnsi="Arial" w:cs="Arial"/>
          <w:color w:val="000000"/>
          <w:sz w:val="22"/>
          <w:szCs w:val="22"/>
          <w:lang w:val="en-US" w:eastAsia="en-US"/>
        </w:rPr>
        <w:t>:</w:t>
      </w:r>
    </w:p>
    <w:p w:rsidR="003635CD" w:rsidRPr="00F463BC" w:rsidRDefault="003635CD" w:rsidP="00C721DC">
      <w:pPr>
        <w:pStyle w:val="ListParagraph"/>
        <w:numPr>
          <w:ilvl w:val="0"/>
          <w:numId w:val="258"/>
        </w:numPr>
        <w:tabs>
          <w:tab w:val="left" w:pos="709"/>
        </w:tabs>
        <w:spacing w:after="120" w:line="360" w:lineRule="auto"/>
        <w:ind w:left="709"/>
        <w:contextualSpacing w:val="0"/>
        <w:jc w:val="both"/>
        <w:rPr>
          <w:rFonts w:ascii="Arial" w:hAnsi="Arial" w:cs="Arial"/>
          <w:color w:val="000000"/>
          <w:lang w:val="en-US" w:eastAsia="en-US"/>
        </w:rPr>
      </w:pPr>
      <w:r w:rsidRPr="00F463BC">
        <w:rPr>
          <w:rFonts w:ascii="Arial" w:hAnsi="Arial" w:cs="Arial"/>
          <w:color w:val="000000"/>
          <w:lang w:val="en-US" w:eastAsia="en-US"/>
        </w:rPr>
        <w:t>The previous membership was 24 months and longer, a general waiting period might be imposed;</w:t>
      </w:r>
    </w:p>
    <w:p w:rsidR="003635CD" w:rsidRPr="00F463BC" w:rsidRDefault="003635CD" w:rsidP="00C721DC">
      <w:pPr>
        <w:pStyle w:val="ListParagraph"/>
        <w:numPr>
          <w:ilvl w:val="0"/>
          <w:numId w:val="258"/>
        </w:numPr>
        <w:tabs>
          <w:tab w:val="left" w:pos="709"/>
        </w:tabs>
        <w:spacing w:after="120" w:line="360" w:lineRule="auto"/>
        <w:ind w:left="709"/>
        <w:contextualSpacing w:val="0"/>
        <w:jc w:val="both"/>
        <w:rPr>
          <w:rFonts w:ascii="Arial" w:hAnsi="Arial" w:cs="Arial"/>
          <w:color w:val="000000"/>
          <w:lang w:val="en-US" w:eastAsia="en-US"/>
        </w:rPr>
      </w:pPr>
      <w:r w:rsidRPr="00F463BC">
        <w:rPr>
          <w:rFonts w:ascii="Arial" w:hAnsi="Arial" w:cs="Arial"/>
          <w:color w:val="000000"/>
          <w:lang w:val="en-US" w:eastAsia="en-US"/>
        </w:rPr>
        <w:lastRenderedPageBreak/>
        <w:t>If the previous membership was shorter than 24 months (previous waiting periods may still be in place), a condition-specific waiting period may be imposed; and</w:t>
      </w:r>
    </w:p>
    <w:p w:rsidR="00CD5C89" w:rsidRPr="00944A95" w:rsidRDefault="003635CD" w:rsidP="00C721DC">
      <w:pPr>
        <w:pStyle w:val="ListParagraph"/>
        <w:numPr>
          <w:ilvl w:val="0"/>
          <w:numId w:val="258"/>
        </w:numPr>
        <w:tabs>
          <w:tab w:val="left" w:pos="709"/>
        </w:tabs>
        <w:spacing w:after="120" w:line="360" w:lineRule="auto"/>
        <w:ind w:left="709"/>
        <w:contextualSpacing w:val="0"/>
        <w:jc w:val="both"/>
        <w:rPr>
          <w:rFonts w:ascii="Arial" w:hAnsi="Arial" w:cs="Arial"/>
          <w:color w:val="000000"/>
          <w:lang w:val="en-US"/>
        </w:rPr>
      </w:pPr>
      <w:r w:rsidRPr="00F463BC">
        <w:rPr>
          <w:rFonts w:ascii="Arial" w:hAnsi="Arial" w:cs="Arial"/>
          <w:color w:val="000000"/>
          <w:lang w:val="en-US" w:eastAsia="en-US"/>
        </w:rPr>
        <w:t>Regardless of previous membership, if the member changed schemes due to a change in employment or the employer changing or terminating a scheme, no waiting period may be imposed.</w:t>
      </w:r>
    </w:p>
    <w:p w:rsidR="004C618A" w:rsidRPr="00F463BC" w:rsidRDefault="004C618A" w:rsidP="00C721DC">
      <w:pPr>
        <w:pStyle w:val="Bulletsa"/>
        <w:tabs>
          <w:tab w:val="left" w:pos="1276"/>
        </w:tabs>
        <w:spacing w:before="0" w:line="360" w:lineRule="auto"/>
        <w:ind w:left="174"/>
        <w:rPr>
          <w:rFonts w:ascii="Arial" w:hAnsi="Arial" w:cs="Arial"/>
          <w:sz w:val="22"/>
          <w:szCs w:val="22"/>
        </w:rPr>
      </w:pPr>
      <w:r w:rsidRPr="00F463BC">
        <w:rPr>
          <w:rFonts w:ascii="Arial" w:hAnsi="Arial" w:cs="Arial"/>
          <w:b/>
          <w:i/>
          <w:sz w:val="22"/>
          <w:szCs w:val="22"/>
        </w:rPr>
        <w:t>Wash-sale transaction</w:t>
      </w:r>
      <w:r w:rsidRPr="00F463BC">
        <w:rPr>
          <w:rFonts w:ascii="Arial" w:hAnsi="Arial" w:cs="Arial"/>
          <w:sz w:val="22"/>
          <w:szCs w:val="22"/>
        </w:rPr>
        <w:t xml:space="preserve"> – A transaction whereby a financial asset is purchased immediately before or soon after the sale of the same asset. </w:t>
      </w:r>
    </w:p>
    <w:p w:rsidR="005E0CA9" w:rsidRPr="00944A95" w:rsidRDefault="005E0CA9" w:rsidP="00C721DC">
      <w:pPr>
        <w:tabs>
          <w:tab w:val="left" w:pos="709"/>
        </w:tabs>
        <w:spacing w:line="271" w:lineRule="auto"/>
        <w:rPr>
          <w:rFonts w:ascii="Arial" w:hAnsi="Arial" w:cs="Arial"/>
          <w:color w:val="000000"/>
          <w:lang w:val="en-US"/>
        </w:rPr>
        <w:sectPr w:rsidR="005E0CA9" w:rsidRPr="00944A95" w:rsidSect="001B129E">
          <w:headerReference w:type="default" r:id="rId17"/>
          <w:headerReference w:type="first" r:id="rId18"/>
          <w:type w:val="continuous"/>
          <w:pgSz w:w="11909" w:h="16834" w:code="9"/>
          <w:pgMar w:top="1440" w:right="1440" w:bottom="1440" w:left="1440" w:header="720" w:footer="720" w:gutter="0"/>
          <w:cols w:space="720"/>
          <w:noEndnote/>
          <w:docGrid w:linePitch="326"/>
        </w:sectPr>
      </w:pPr>
    </w:p>
    <w:p w:rsidR="00064166" w:rsidRDefault="00064166">
      <w:pPr>
        <w:spacing w:before="0" w:after="0"/>
        <w:jc w:val="left"/>
        <w:rPr>
          <w:rFonts w:ascii="Arial" w:hAnsi="Arial" w:cs="Arial"/>
          <w:b/>
          <w:spacing w:val="-2"/>
          <w:sz w:val="28"/>
          <w:szCs w:val="28"/>
          <w:lang w:eastAsia="en-US"/>
        </w:rPr>
      </w:pPr>
      <w:bookmarkStart w:id="196" w:name="_Appendix_2_–_1"/>
      <w:bookmarkEnd w:id="196"/>
      <w:r>
        <w:br w:type="page"/>
      </w:r>
    </w:p>
    <w:p w:rsidR="005F23D9" w:rsidRPr="00F463BC" w:rsidRDefault="005F23D9" w:rsidP="00B82F08">
      <w:pPr>
        <w:pStyle w:val="Heading1"/>
        <w:spacing w:line="271" w:lineRule="auto"/>
      </w:pPr>
      <w:bookmarkStart w:id="197" w:name="_Appendix_2_–_2"/>
      <w:bookmarkStart w:id="198" w:name="_Toc455582236"/>
      <w:bookmarkEnd w:id="197"/>
      <w:r w:rsidRPr="00F463BC">
        <w:lastRenderedPageBreak/>
        <w:t xml:space="preserve">Appendix </w:t>
      </w:r>
      <w:r w:rsidR="00F65104" w:rsidRPr="00F463BC">
        <w:t>2</w:t>
      </w:r>
      <w:r w:rsidRPr="00F463BC">
        <w:t xml:space="preserve"> – Understanding the business of a medical scheme</w:t>
      </w:r>
      <w:r w:rsidR="005602AB" w:rsidRPr="00F463BC">
        <w:rPr>
          <w:rStyle w:val="FootnoteReference"/>
        </w:rPr>
        <w:footnoteReference w:id="53"/>
      </w:r>
      <w:bookmarkEnd w:id="198"/>
    </w:p>
    <w:p w:rsidR="005F23D9" w:rsidRPr="00F463BC" w:rsidRDefault="005F23D9" w:rsidP="00B82F08">
      <w:pPr>
        <w:pStyle w:val="Bulletnrs"/>
        <w:numPr>
          <w:ilvl w:val="0"/>
          <w:numId w:val="0"/>
        </w:numPr>
        <w:spacing w:before="0" w:line="271" w:lineRule="auto"/>
        <w:rPr>
          <w:rFonts w:ascii="Arial" w:hAnsi="Arial" w:cs="Arial"/>
          <w:b/>
          <w:sz w:val="22"/>
          <w:szCs w:val="22"/>
        </w:rPr>
      </w:pPr>
    </w:p>
    <w:p w:rsidR="005602AB" w:rsidRPr="00683790" w:rsidRDefault="00147357" w:rsidP="001B129E">
      <w:pPr>
        <w:pStyle w:val="Bulletnrs"/>
        <w:numPr>
          <w:ilvl w:val="0"/>
          <w:numId w:val="0"/>
        </w:numPr>
        <w:spacing w:before="0" w:line="271" w:lineRule="auto"/>
      </w:pPr>
      <w:r>
        <w:rPr>
          <w:rFonts w:ascii="Arial" w:hAnsi="Arial" w:cs="Arial"/>
          <w:sz w:val="22"/>
          <w:szCs w:val="22"/>
        </w:rPr>
        <w:t xml:space="preserve">The purpose of this appendix is to provide </w:t>
      </w:r>
      <w:r w:rsidR="005F23D9" w:rsidRPr="00F463BC">
        <w:rPr>
          <w:rFonts w:ascii="Arial" w:hAnsi="Arial" w:cs="Arial"/>
          <w:sz w:val="22"/>
          <w:szCs w:val="22"/>
        </w:rPr>
        <w:t>information and explanations on the</w:t>
      </w:r>
      <w:r w:rsidR="008D742A" w:rsidRPr="00F463BC">
        <w:rPr>
          <w:rFonts w:ascii="Arial" w:hAnsi="Arial" w:cs="Arial"/>
          <w:sz w:val="22"/>
          <w:szCs w:val="22"/>
        </w:rPr>
        <w:t xml:space="preserve"> nature of the business of a medical scheme</w:t>
      </w:r>
      <w:r w:rsidR="00BB48D2">
        <w:rPr>
          <w:rFonts w:ascii="Arial" w:hAnsi="Arial" w:cs="Arial"/>
          <w:sz w:val="22"/>
          <w:szCs w:val="22"/>
        </w:rPr>
        <w:t xml:space="preserve">, in order to assist an auditor in applying </w:t>
      </w:r>
      <w:r w:rsidR="00BB48D2" w:rsidRPr="00944A95">
        <w:rPr>
          <w:rFonts w:ascii="Arial" w:hAnsi="Arial" w:cs="Arial"/>
          <w:sz w:val="22"/>
          <w:szCs w:val="22"/>
        </w:rPr>
        <w:t xml:space="preserve">ISA 315, </w:t>
      </w:r>
      <w:r w:rsidR="00BB48D2" w:rsidRPr="001B129E">
        <w:rPr>
          <w:rFonts w:ascii="Arial" w:hAnsi="Arial" w:cs="Arial"/>
          <w:i/>
          <w:sz w:val="22"/>
          <w:szCs w:val="22"/>
        </w:rPr>
        <w:t>Identifying and Assessing the Risks of Material Misstatement through Understanding the Entity and Its Environment</w:t>
      </w:r>
      <w:r w:rsidR="00BB48D2">
        <w:rPr>
          <w:rFonts w:ascii="Arial" w:hAnsi="Arial" w:cs="Arial"/>
          <w:i/>
          <w:sz w:val="22"/>
          <w:szCs w:val="22"/>
        </w:rPr>
        <w:t>.</w:t>
      </w:r>
    </w:p>
    <w:p w:rsidR="00BB48D2" w:rsidRPr="001B129E" w:rsidRDefault="00BB48D2" w:rsidP="001B129E">
      <w:pPr>
        <w:pStyle w:val="Bulletnrs"/>
        <w:numPr>
          <w:ilvl w:val="0"/>
          <w:numId w:val="0"/>
        </w:numPr>
        <w:spacing w:before="0" w:line="271" w:lineRule="auto"/>
        <w:rPr>
          <w:rFonts w:ascii="Arial" w:hAnsi="Arial" w:cs="Arial"/>
          <w:sz w:val="22"/>
          <w:szCs w:val="22"/>
        </w:rPr>
      </w:pPr>
      <w:r w:rsidRPr="001B129E">
        <w:rPr>
          <w:rFonts w:ascii="Arial" w:hAnsi="Arial" w:cs="Arial"/>
          <w:sz w:val="22"/>
          <w:szCs w:val="22"/>
        </w:rPr>
        <w:t>The descriptions hereunder are not intended to be exhaustive and should not be used as a substitute for the underlying legislation and Rules.</w:t>
      </w:r>
    </w:p>
    <w:p w:rsidR="00BB48D2" w:rsidRDefault="00BB48D2" w:rsidP="00B82F08">
      <w:pPr>
        <w:spacing w:before="0" w:line="271" w:lineRule="auto"/>
        <w:rPr>
          <w:rFonts w:ascii="Arial" w:hAnsi="Arial" w:cs="Arial"/>
          <w:b/>
        </w:rPr>
      </w:pPr>
    </w:p>
    <w:p w:rsidR="00753A17" w:rsidRPr="00944A95" w:rsidRDefault="00753A17" w:rsidP="00B82F08">
      <w:pPr>
        <w:spacing w:before="0" w:line="271" w:lineRule="auto"/>
        <w:rPr>
          <w:rFonts w:ascii="Arial" w:hAnsi="Arial" w:cs="Arial"/>
        </w:rPr>
      </w:pPr>
      <w:r w:rsidRPr="00F463BC">
        <w:rPr>
          <w:rFonts w:ascii="Arial" w:hAnsi="Arial" w:cs="Arial"/>
          <w:b/>
        </w:rPr>
        <w:t>Nature of business</w:t>
      </w:r>
    </w:p>
    <w:p w:rsidR="00753A17" w:rsidRPr="00F463BC" w:rsidRDefault="00753A17" w:rsidP="00B82F08">
      <w:pPr>
        <w:pStyle w:val="Bulletnrs"/>
        <w:numPr>
          <w:ilvl w:val="0"/>
          <w:numId w:val="229"/>
        </w:numPr>
        <w:spacing w:before="0" w:line="271" w:lineRule="auto"/>
        <w:ind w:left="567" w:hanging="567"/>
        <w:rPr>
          <w:rFonts w:ascii="Arial" w:hAnsi="Arial" w:cs="Arial"/>
          <w:sz w:val="22"/>
          <w:szCs w:val="22"/>
        </w:rPr>
      </w:pPr>
      <w:r w:rsidRPr="00F463BC">
        <w:rPr>
          <w:rFonts w:ascii="Arial" w:hAnsi="Arial" w:cs="Arial"/>
          <w:sz w:val="22"/>
          <w:szCs w:val="22"/>
        </w:rPr>
        <w:t xml:space="preserve">The term “medical scheme” refers to a scheme that carries on the business of a medical scheme and that is registered under the Act. This excludes healthcare insurance products provided by a long-term or short-term insurer registered in terms of the Long-term Insurance Act 52 of 1998 or the Short-term Insurance Act 53 of 1998. </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A medical scheme is classified as not for profit under the Act and is similar to a mutual fund in that the members (policy holders) own the scheme.</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Business is introduced to a medical scheme by direct selling or by brokers accredited in terms of the Act. </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main sources of business are from employer groups that wish to arrange healthcare benefits for their employees and their employees’ dependants and from individuals that wish to cover themselves and their dependants. </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Some medical schemes are formed with the primary objective of providing healthcare benefits to the employees of particular organisations, members of certain professions, or members of a union, and are registered as restricted membership medical schemes. Other medical schemes admit members from any employer group or members of the public, and these are referred to as open medical schemes. Open medical schemes must accept all applicants as members</w:t>
      </w:r>
      <w:r w:rsidR="00D844D7">
        <w:rPr>
          <w:rFonts w:ascii="Arial" w:hAnsi="Arial" w:cs="Arial"/>
          <w:sz w:val="22"/>
          <w:szCs w:val="22"/>
        </w:rPr>
        <w:t>, but may impose waiting periods.</w:t>
      </w:r>
    </w:p>
    <w:p w:rsidR="00753A17" w:rsidRPr="00F463BC" w:rsidRDefault="00753A17" w:rsidP="00B82F08">
      <w:pPr>
        <w:pStyle w:val="Bulletnrs"/>
        <w:numPr>
          <w:ilvl w:val="0"/>
          <w:numId w:val="0"/>
        </w:numPr>
        <w:spacing w:before="0" w:line="271" w:lineRule="auto"/>
        <w:ind w:left="360" w:hanging="360"/>
        <w:rPr>
          <w:rFonts w:ascii="Arial" w:hAnsi="Arial" w:cs="Arial"/>
          <w:sz w:val="22"/>
          <w:szCs w:val="22"/>
        </w:rPr>
      </w:pPr>
    </w:p>
    <w:p w:rsidR="00753A17" w:rsidRPr="00944A95" w:rsidRDefault="00EA3C6A" w:rsidP="00B82F08">
      <w:pPr>
        <w:spacing w:before="0" w:line="271" w:lineRule="auto"/>
        <w:rPr>
          <w:rFonts w:ascii="Arial" w:hAnsi="Arial" w:cs="Arial"/>
        </w:rPr>
      </w:pPr>
      <w:r w:rsidRPr="00F463BC">
        <w:rPr>
          <w:rFonts w:ascii="Arial" w:hAnsi="Arial" w:cs="Arial"/>
          <w:b/>
        </w:rPr>
        <w:t>Rule</w:t>
      </w:r>
      <w:r w:rsidR="00753A17" w:rsidRPr="00F463BC">
        <w:rPr>
          <w:rFonts w:ascii="Arial" w:hAnsi="Arial" w:cs="Arial"/>
          <w:b/>
        </w:rPr>
        <w:t>s</w:t>
      </w:r>
    </w:p>
    <w:p w:rsidR="00753A17" w:rsidRPr="00F463BC" w:rsidRDefault="00753A17" w:rsidP="00B82F08">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 xml:space="preserve">The business of a medical scheme is subject to the </w:t>
      </w:r>
      <w:r w:rsidR="00EA3C6A" w:rsidRPr="00F463BC">
        <w:rPr>
          <w:rFonts w:ascii="Arial" w:hAnsi="Arial" w:cs="Arial"/>
          <w:sz w:val="22"/>
          <w:szCs w:val="22"/>
        </w:rPr>
        <w:t>Rule</w:t>
      </w:r>
      <w:r w:rsidRPr="00F463BC">
        <w:rPr>
          <w:rFonts w:ascii="Arial" w:hAnsi="Arial" w:cs="Arial"/>
          <w:sz w:val="22"/>
          <w:szCs w:val="22"/>
        </w:rPr>
        <w:t xml:space="preserve">s of that scheme. In terms of section 24(3) of the Act, the Registrar approves the </w:t>
      </w:r>
      <w:r w:rsidR="00EA3C6A" w:rsidRPr="00F463BC">
        <w:rPr>
          <w:rFonts w:ascii="Arial" w:hAnsi="Arial" w:cs="Arial"/>
          <w:sz w:val="22"/>
          <w:szCs w:val="22"/>
        </w:rPr>
        <w:t>Rule</w:t>
      </w:r>
      <w:r w:rsidRPr="00F463BC">
        <w:rPr>
          <w:rFonts w:ascii="Arial" w:hAnsi="Arial" w:cs="Arial"/>
          <w:sz w:val="22"/>
          <w:szCs w:val="22"/>
        </w:rPr>
        <w:t xml:space="preserve">s of a medical scheme upon initial registration of such scheme. This approval is evidenced by a stamp on each page of the </w:t>
      </w:r>
      <w:r w:rsidR="00EA3C6A" w:rsidRPr="00F463BC">
        <w:rPr>
          <w:rFonts w:ascii="Arial" w:hAnsi="Arial" w:cs="Arial"/>
          <w:sz w:val="22"/>
          <w:szCs w:val="22"/>
        </w:rPr>
        <w:t>Rule</w:t>
      </w:r>
      <w:r w:rsidRPr="00F463BC">
        <w:rPr>
          <w:rFonts w:ascii="Arial" w:hAnsi="Arial" w:cs="Arial"/>
          <w:sz w:val="22"/>
          <w:szCs w:val="22"/>
        </w:rPr>
        <w:t xml:space="preserve">s. Any amendments to the </w:t>
      </w:r>
      <w:r w:rsidR="00EA3C6A" w:rsidRPr="00F463BC">
        <w:rPr>
          <w:rFonts w:ascii="Arial" w:hAnsi="Arial" w:cs="Arial"/>
          <w:sz w:val="22"/>
          <w:szCs w:val="22"/>
        </w:rPr>
        <w:t>Rule</w:t>
      </w:r>
      <w:r w:rsidRPr="00F463BC">
        <w:rPr>
          <w:rFonts w:ascii="Arial" w:hAnsi="Arial" w:cs="Arial"/>
          <w:sz w:val="22"/>
          <w:szCs w:val="22"/>
        </w:rPr>
        <w:t xml:space="preserve">s are required to be similarly approved by the Registrar (section 31(2)) and registered in accordance with section 31(3) of the Act. </w:t>
      </w:r>
      <w:r w:rsidR="00D844D7">
        <w:rPr>
          <w:rFonts w:ascii="Arial" w:hAnsi="Arial" w:cs="Arial"/>
          <w:sz w:val="22"/>
          <w:szCs w:val="22"/>
        </w:rPr>
        <w:t xml:space="preserve">The medical scheme may annually revise its contribution tables and benefits. </w:t>
      </w:r>
      <w:r w:rsidRPr="00F463BC">
        <w:rPr>
          <w:rFonts w:ascii="Arial" w:hAnsi="Arial" w:cs="Arial"/>
          <w:sz w:val="22"/>
          <w:szCs w:val="22"/>
        </w:rPr>
        <w:t xml:space="preserve">The </w:t>
      </w:r>
      <w:r w:rsidRPr="00F463BC">
        <w:rPr>
          <w:rFonts w:ascii="Arial" w:hAnsi="Arial" w:cs="Arial"/>
          <w:sz w:val="22"/>
          <w:szCs w:val="22"/>
        </w:rPr>
        <w:lastRenderedPageBreak/>
        <w:t xml:space="preserve">annual changes to the contribution tables and the benefits provided are made via </w:t>
      </w:r>
      <w:r w:rsidR="00EA3C6A" w:rsidRPr="00F463BC">
        <w:rPr>
          <w:rFonts w:ascii="Arial" w:hAnsi="Arial" w:cs="Arial"/>
          <w:sz w:val="22"/>
          <w:szCs w:val="22"/>
        </w:rPr>
        <w:t>Rule</w:t>
      </w:r>
      <w:r w:rsidRPr="00F463BC">
        <w:rPr>
          <w:rFonts w:ascii="Arial" w:hAnsi="Arial" w:cs="Arial"/>
          <w:sz w:val="22"/>
          <w:szCs w:val="22"/>
        </w:rPr>
        <w:t xml:space="preserve"> changes. These </w:t>
      </w:r>
      <w:r w:rsidR="00EA3C6A" w:rsidRPr="00F463BC">
        <w:rPr>
          <w:rFonts w:ascii="Arial" w:hAnsi="Arial" w:cs="Arial"/>
          <w:sz w:val="22"/>
          <w:szCs w:val="22"/>
        </w:rPr>
        <w:t>Rule</w:t>
      </w:r>
      <w:r w:rsidRPr="00F463BC">
        <w:rPr>
          <w:rFonts w:ascii="Arial" w:hAnsi="Arial" w:cs="Arial"/>
          <w:sz w:val="22"/>
          <w:szCs w:val="22"/>
        </w:rPr>
        <w:t xml:space="preserve"> changes need to be registered by the Registrar in terms of section 31</w:t>
      </w:r>
      <w:r w:rsidR="00912ACC" w:rsidRPr="00F463BC">
        <w:rPr>
          <w:rFonts w:ascii="Arial" w:hAnsi="Arial" w:cs="Arial"/>
          <w:sz w:val="22"/>
          <w:szCs w:val="22"/>
        </w:rPr>
        <w:t xml:space="preserve"> of the Act</w:t>
      </w:r>
      <w:r w:rsidRPr="00F463BC">
        <w:rPr>
          <w:rFonts w:ascii="Arial" w:hAnsi="Arial" w:cs="Arial"/>
          <w:sz w:val="22"/>
          <w:szCs w:val="22"/>
        </w:rPr>
        <w:t>.</w:t>
      </w:r>
    </w:p>
    <w:p w:rsidR="00753A17" w:rsidRPr="00F463BC" w:rsidRDefault="00753A17" w:rsidP="00B82F08">
      <w:pPr>
        <w:pStyle w:val="Bulletnrs"/>
        <w:numPr>
          <w:ilvl w:val="0"/>
          <w:numId w:val="0"/>
        </w:numPr>
        <w:spacing w:before="0" w:line="271" w:lineRule="auto"/>
        <w:ind w:left="567"/>
        <w:rPr>
          <w:rFonts w:ascii="Arial" w:hAnsi="Arial" w:cs="Arial"/>
          <w:sz w:val="22"/>
          <w:szCs w:val="22"/>
        </w:rPr>
      </w:pPr>
    </w:p>
    <w:p w:rsidR="00753A17" w:rsidRPr="00944A95" w:rsidRDefault="00753A17" w:rsidP="00B82F08">
      <w:pPr>
        <w:spacing w:before="0" w:line="271" w:lineRule="auto"/>
        <w:rPr>
          <w:rFonts w:ascii="Arial" w:hAnsi="Arial" w:cs="Arial"/>
        </w:rPr>
      </w:pPr>
      <w:r w:rsidRPr="00F463BC">
        <w:rPr>
          <w:rFonts w:ascii="Arial" w:hAnsi="Arial" w:cs="Arial"/>
          <w:b/>
        </w:rPr>
        <w:t>Membership</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A medical scheme may manage its risk by imposing general waiting periods of up to 3 months and/or condition-specific waiting periods of up to 12 months, as well as late joiner penalties, on new members and dependants upon meeting certain conditions.</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According to section 29A of the Act, risk-rating </w:t>
      </w:r>
      <w:r w:rsidR="00D844D7">
        <w:rPr>
          <w:rFonts w:ascii="Arial" w:hAnsi="Arial" w:cs="Arial"/>
          <w:sz w:val="22"/>
          <w:szCs w:val="22"/>
        </w:rPr>
        <w:t>(pricing</w:t>
      </w:r>
      <w:r w:rsidR="00D844D7" w:rsidRPr="00F463BC">
        <w:rPr>
          <w:rFonts w:ascii="Arial" w:hAnsi="Arial" w:cs="Arial"/>
          <w:sz w:val="22"/>
          <w:szCs w:val="22"/>
        </w:rPr>
        <w:t xml:space="preserve"> based on the specific risk associated with that individual o</w:t>
      </w:r>
      <w:r w:rsidR="00D844D7">
        <w:rPr>
          <w:rFonts w:ascii="Arial" w:hAnsi="Arial" w:cs="Arial"/>
          <w:sz w:val="22"/>
          <w:szCs w:val="22"/>
        </w:rPr>
        <w:t xml:space="preserve">r any other individual criteria) </w:t>
      </w:r>
      <w:r w:rsidRPr="00F463BC">
        <w:rPr>
          <w:rFonts w:ascii="Arial" w:hAnsi="Arial" w:cs="Arial"/>
          <w:sz w:val="22"/>
          <w:szCs w:val="22"/>
        </w:rPr>
        <w:t xml:space="preserve">by way of imposing waiting periods are limited and even prohibited in certain instances. For example, no waiting period may be imposed by a scheme on the birth of a child-dependant, or where a change in medical schemes within a specified period is due to a change in employment. If an applicant has been a beneficiary of any medical scheme for a continuous period of up to 24 months and terminated such membership less than 90 days prior to the application, the waiting periods imposed will not be applicable to the diagnosis and treatment of PMBs. </w:t>
      </w:r>
    </w:p>
    <w:p w:rsidR="00134EC7" w:rsidRPr="00F463BC" w:rsidRDefault="00134EC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The following table summarises the various types of waiting periods</w:t>
      </w:r>
      <w:r w:rsidR="00BF1BD9" w:rsidRPr="00F463BC">
        <w:rPr>
          <w:rFonts w:ascii="Arial" w:hAnsi="Arial" w:cs="Arial"/>
          <w:sz w:val="22"/>
          <w:szCs w:val="22"/>
        </w:rPr>
        <w:t xml:space="preserve"> that schemes may apply when admitting new members</w:t>
      </w:r>
      <w:r w:rsidRPr="00F463BC">
        <w:rPr>
          <w:rFonts w:ascii="Arial" w:hAnsi="Arial" w:cs="Arial"/>
          <w:sz w:val="22"/>
          <w:szCs w:val="22"/>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34"/>
        <w:gridCol w:w="2126"/>
        <w:gridCol w:w="2268"/>
        <w:gridCol w:w="2268"/>
      </w:tblGrid>
      <w:tr w:rsidR="00F67FBF" w:rsidRPr="00FF2B5F" w:rsidTr="001B129E">
        <w:tc>
          <w:tcPr>
            <w:tcW w:w="8505" w:type="dxa"/>
            <w:gridSpan w:val="5"/>
            <w:tcBorders>
              <w:bottom w:val="single" w:sz="4" w:space="0" w:color="auto"/>
            </w:tcBorders>
            <w:shd w:val="clear" w:color="auto" w:fill="auto"/>
          </w:tcPr>
          <w:p w:rsidR="00F67FBF" w:rsidRPr="00944A95" w:rsidRDefault="00F67FBF" w:rsidP="00C721DC">
            <w:pPr>
              <w:spacing w:beforeLines="40" w:before="96" w:afterLines="40" w:after="96"/>
              <w:jc w:val="center"/>
              <w:rPr>
                <w:rFonts w:ascii="Arial" w:hAnsi="Arial" w:cs="Arial"/>
                <w:i/>
                <w:sz w:val="19"/>
                <w:szCs w:val="19"/>
              </w:rPr>
            </w:pPr>
            <w:r w:rsidRPr="00F463BC">
              <w:rPr>
                <w:rFonts w:ascii="Arial" w:hAnsi="Arial" w:cs="Arial"/>
                <w:b/>
                <w:i/>
                <w:sz w:val="19"/>
                <w:szCs w:val="19"/>
              </w:rPr>
              <w:t>(Uncovered period – time period between your last day of notice period of previous medical scheme to the date of application for membership with the new medical scheme)</w:t>
            </w:r>
          </w:p>
        </w:tc>
      </w:tr>
      <w:tr w:rsidR="00F67FBF" w:rsidRPr="00FF2B5F" w:rsidTr="001B129E">
        <w:tc>
          <w:tcPr>
            <w:tcW w:w="1709" w:type="dxa"/>
            <w:tcBorders>
              <w:bottom w:val="single" w:sz="4" w:space="0" w:color="auto"/>
            </w:tcBorders>
            <w:shd w:val="clear" w:color="auto" w:fill="BFBFBF" w:themeFill="background1" w:themeFillShade="BF"/>
          </w:tcPr>
          <w:p w:rsidR="00F67FBF" w:rsidRPr="00F463BC" w:rsidRDefault="00F67FBF" w:rsidP="00C721DC">
            <w:pPr>
              <w:spacing w:beforeLines="40" w:before="96" w:afterLines="40" w:after="96"/>
              <w:jc w:val="center"/>
              <w:rPr>
                <w:rFonts w:ascii="Arial" w:hAnsi="Arial" w:cs="Arial"/>
                <w:b/>
                <w:sz w:val="19"/>
                <w:szCs w:val="19"/>
              </w:rPr>
            </w:pPr>
            <w:r w:rsidRPr="00F463BC">
              <w:rPr>
                <w:rFonts w:ascii="Arial" w:hAnsi="Arial" w:cs="Arial"/>
                <w:b/>
                <w:sz w:val="19"/>
                <w:szCs w:val="19"/>
              </w:rPr>
              <w:t>Break MORE than 90 days</w:t>
            </w:r>
          </w:p>
        </w:tc>
        <w:tc>
          <w:tcPr>
            <w:tcW w:w="6796" w:type="dxa"/>
            <w:gridSpan w:val="4"/>
            <w:shd w:val="clear" w:color="auto" w:fill="A6A6A6" w:themeFill="background1" w:themeFillShade="A6"/>
          </w:tcPr>
          <w:p w:rsidR="00F67FBF" w:rsidRPr="00F463BC" w:rsidRDefault="00F67FBF" w:rsidP="00C721DC">
            <w:pPr>
              <w:spacing w:beforeLines="40" w:before="96" w:afterLines="40" w:after="96"/>
              <w:jc w:val="center"/>
              <w:rPr>
                <w:rFonts w:ascii="Arial" w:hAnsi="Arial" w:cs="Arial"/>
                <w:b/>
                <w:sz w:val="19"/>
                <w:szCs w:val="19"/>
              </w:rPr>
            </w:pPr>
            <w:r w:rsidRPr="00F463BC">
              <w:rPr>
                <w:rFonts w:ascii="Arial" w:hAnsi="Arial" w:cs="Arial"/>
                <w:b/>
                <w:sz w:val="19"/>
                <w:szCs w:val="19"/>
              </w:rPr>
              <w:t>Break</w:t>
            </w:r>
            <w:r w:rsidR="00E42368" w:rsidRPr="00F463BC">
              <w:rPr>
                <w:rFonts w:ascii="Arial" w:hAnsi="Arial" w:cs="Arial"/>
                <w:b/>
                <w:sz w:val="19"/>
                <w:szCs w:val="19"/>
              </w:rPr>
              <w:t xml:space="preserve"> </w:t>
            </w:r>
            <w:r w:rsidRPr="00F463BC">
              <w:rPr>
                <w:rFonts w:ascii="Arial" w:hAnsi="Arial" w:cs="Arial"/>
                <w:b/>
                <w:sz w:val="19"/>
                <w:szCs w:val="19"/>
              </w:rPr>
              <w:t>LESS than 90 days (0 to 89 days)</w:t>
            </w:r>
          </w:p>
        </w:tc>
      </w:tr>
      <w:tr w:rsidR="00F67FBF" w:rsidRPr="00FF2B5F" w:rsidTr="001B129E">
        <w:trPr>
          <w:trHeight w:val="505"/>
        </w:trPr>
        <w:tc>
          <w:tcPr>
            <w:tcW w:w="8505" w:type="dxa"/>
            <w:gridSpan w:val="5"/>
            <w:shd w:val="clear" w:color="auto" w:fill="D9D9D9" w:themeFill="background1" w:themeFillShade="D9"/>
          </w:tcPr>
          <w:p w:rsidR="00F67FBF" w:rsidRPr="00F463BC" w:rsidRDefault="00F67FBF" w:rsidP="00C721DC">
            <w:pPr>
              <w:spacing w:beforeLines="40" w:before="96" w:afterLines="40" w:after="96"/>
              <w:jc w:val="center"/>
              <w:rPr>
                <w:rFonts w:ascii="Arial" w:hAnsi="Arial" w:cs="Arial"/>
                <w:b/>
                <w:i/>
                <w:sz w:val="19"/>
                <w:szCs w:val="19"/>
              </w:rPr>
            </w:pPr>
            <w:r w:rsidRPr="00F463BC">
              <w:rPr>
                <w:rFonts w:ascii="Arial" w:hAnsi="Arial" w:cs="Arial"/>
                <w:b/>
                <w:i/>
                <w:sz w:val="19"/>
                <w:szCs w:val="19"/>
              </w:rPr>
              <w:t>Previous membership period</w:t>
            </w:r>
          </w:p>
        </w:tc>
      </w:tr>
      <w:tr w:rsidR="00F67FBF" w:rsidRPr="00FF2B5F" w:rsidTr="001B129E">
        <w:tc>
          <w:tcPr>
            <w:tcW w:w="1843" w:type="dxa"/>
            <w:gridSpan w:val="2"/>
            <w:shd w:val="clear" w:color="auto" w:fill="BFBFBF" w:themeFill="background1" w:themeFillShade="BF"/>
          </w:tcPr>
          <w:p w:rsidR="00F67FBF" w:rsidRPr="00F463BC" w:rsidRDefault="00F67FBF" w:rsidP="00C721DC">
            <w:pPr>
              <w:spacing w:beforeLines="40" w:before="96" w:afterLines="40" w:after="96"/>
              <w:ind w:left="72"/>
              <w:jc w:val="center"/>
              <w:rPr>
                <w:rFonts w:ascii="Arial" w:hAnsi="Arial" w:cs="Arial"/>
                <w:b/>
                <w:sz w:val="19"/>
                <w:szCs w:val="19"/>
              </w:rPr>
            </w:pPr>
            <w:r w:rsidRPr="00F463BC">
              <w:rPr>
                <w:rFonts w:ascii="Arial" w:hAnsi="Arial" w:cs="Arial"/>
                <w:b/>
                <w:sz w:val="19"/>
                <w:szCs w:val="19"/>
              </w:rPr>
              <w:t>Regardless of previous membership</w:t>
            </w:r>
          </w:p>
        </w:tc>
        <w:tc>
          <w:tcPr>
            <w:tcW w:w="2126" w:type="dxa"/>
          </w:tcPr>
          <w:p w:rsidR="00F67FBF" w:rsidRPr="00F463BC" w:rsidRDefault="00F67FBF" w:rsidP="00C721DC">
            <w:pPr>
              <w:spacing w:beforeLines="40" w:before="96" w:afterLines="40" w:after="96"/>
              <w:jc w:val="center"/>
              <w:rPr>
                <w:rFonts w:ascii="Arial" w:hAnsi="Arial" w:cs="Arial"/>
                <w:b/>
                <w:sz w:val="19"/>
                <w:szCs w:val="19"/>
              </w:rPr>
            </w:pPr>
            <w:r w:rsidRPr="00F463BC">
              <w:rPr>
                <w:rFonts w:ascii="Arial" w:hAnsi="Arial" w:cs="Arial"/>
                <w:b/>
                <w:sz w:val="19"/>
                <w:szCs w:val="19"/>
              </w:rPr>
              <w:t xml:space="preserve">24 </w:t>
            </w:r>
            <w:r w:rsidR="00E42368" w:rsidRPr="00F463BC">
              <w:rPr>
                <w:rFonts w:ascii="Arial" w:hAnsi="Arial" w:cs="Arial"/>
                <w:b/>
                <w:sz w:val="19"/>
                <w:szCs w:val="19"/>
              </w:rPr>
              <w:t>m</w:t>
            </w:r>
            <w:r w:rsidRPr="00F463BC">
              <w:rPr>
                <w:rFonts w:ascii="Arial" w:hAnsi="Arial" w:cs="Arial"/>
                <w:b/>
                <w:sz w:val="19"/>
                <w:szCs w:val="19"/>
              </w:rPr>
              <w:t>onths and longer</w:t>
            </w:r>
          </w:p>
        </w:tc>
        <w:tc>
          <w:tcPr>
            <w:tcW w:w="2268" w:type="dxa"/>
          </w:tcPr>
          <w:p w:rsidR="00F67FBF" w:rsidRPr="00F463BC" w:rsidRDefault="006A3A88" w:rsidP="00C721DC">
            <w:pPr>
              <w:spacing w:beforeLines="40" w:before="96" w:afterLines="40" w:after="96"/>
              <w:jc w:val="center"/>
              <w:rPr>
                <w:rFonts w:ascii="Arial" w:hAnsi="Arial" w:cs="Arial"/>
                <w:b/>
                <w:sz w:val="19"/>
                <w:szCs w:val="19"/>
              </w:rPr>
            </w:pPr>
            <w:r w:rsidRPr="00F463BC">
              <w:rPr>
                <w:rFonts w:ascii="Arial" w:hAnsi="Arial" w:cs="Arial"/>
                <w:b/>
                <w:sz w:val="19"/>
                <w:szCs w:val="19"/>
              </w:rPr>
              <w:t>Shorter than 24 months (previous waiting periods may still be in place)</w:t>
            </w:r>
          </w:p>
        </w:tc>
        <w:tc>
          <w:tcPr>
            <w:tcW w:w="2268" w:type="dxa"/>
          </w:tcPr>
          <w:p w:rsidR="00F67FBF" w:rsidRPr="00F463BC" w:rsidRDefault="00F67FBF" w:rsidP="00C721DC">
            <w:pPr>
              <w:spacing w:beforeLines="40" w:before="96" w:afterLines="40" w:after="96"/>
              <w:ind w:left="34"/>
              <w:jc w:val="center"/>
              <w:rPr>
                <w:rFonts w:ascii="Arial" w:hAnsi="Arial" w:cs="Arial"/>
                <w:b/>
                <w:sz w:val="19"/>
                <w:szCs w:val="19"/>
              </w:rPr>
            </w:pPr>
            <w:r w:rsidRPr="00F463BC">
              <w:rPr>
                <w:rFonts w:ascii="Arial" w:hAnsi="Arial" w:cs="Arial"/>
                <w:b/>
                <w:sz w:val="19"/>
                <w:szCs w:val="19"/>
              </w:rPr>
              <w:t>Regardless of previous membership</w:t>
            </w:r>
          </w:p>
          <w:p w:rsidR="00F67FBF" w:rsidRPr="00F463BC" w:rsidRDefault="00F67FBF" w:rsidP="00C721DC">
            <w:pPr>
              <w:tabs>
                <w:tab w:val="left" w:pos="252"/>
              </w:tabs>
              <w:spacing w:beforeLines="40" w:before="96" w:afterLines="40" w:after="96"/>
              <w:ind w:left="72"/>
              <w:jc w:val="center"/>
              <w:rPr>
                <w:rFonts w:ascii="Arial" w:hAnsi="Arial" w:cs="Arial"/>
                <w:i/>
                <w:sz w:val="19"/>
                <w:szCs w:val="19"/>
              </w:rPr>
            </w:pPr>
            <w:r w:rsidRPr="00F463BC">
              <w:rPr>
                <w:rFonts w:ascii="Arial" w:hAnsi="Arial" w:cs="Arial"/>
                <w:i/>
                <w:sz w:val="19"/>
                <w:szCs w:val="19"/>
              </w:rPr>
              <w:t>*Change of employment</w:t>
            </w:r>
          </w:p>
          <w:p w:rsidR="00F67FBF" w:rsidRPr="00F463BC" w:rsidRDefault="00F67FBF" w:rsidP="00C721DC">
            <w:pPr>
              <w:tabs>
                <w:tab w:val="left" w:pos="252"/>
              </w:tabs>
              <w:spacing w:beforeLines="40" w:before="96" w:afterLines="40" w:after="96"/>
              <w:ind w:left="72"/>
              <w:jc w:val="center"/>
              <w:rPr>
                <w:rFonts w:ascii="Arial" w:hAnsi="Arial" w:cs="Arial"/>
                <w:sz w:val="19"/>
                <w:szCs w:val="19"/>
              </w:rPr>
            </w:pPr>
            <w:r w:rsidRPr="00F463BC">
              <w:rPr>
                <w:rFonts w:ascii="Arial" w:hAnsi="Arial" w:cs="Arial"/>
                <w:i/>
                <w:sz w:val="19"/>
                <w:szCs w:val="19"/>
              </w:rPr>
              <w:t>*Employer changing / terminating medical scheme</w:t>
            </w:r>
          </w:p>
        </w:tc>
      </w:tr>
      <w:tr w:rsidR="00F67FBF" w:rsidRPr="00FF2B5F" w:rsidTr="001B129E">
        <w:tc>
          <w:tcPr>
            <w:tcW w:w="1843" w:type="dxa"/>
            <w:gridSpan w:val="2"/>
          </w:tcPr>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3 </w:t>
            </w:r>
            <w:r w:rsidR="006A3A88" w:rsidRPr="00F463BC">
              <w:rPr>
                <w:rFonts w:ascii="Arial" w:hAnsi="Arial" w:cs="Arial"/>
                <w:sz w:val="19"/>
                <w:szCs w:val="19"/>
              </w:rPr>
              <w:t>m</w:t>
            </w:r>
            <w:r w:rsidRPr="00F463BC">
              <w:rPr>
                <w:rFonts w:ascii="Arial" w:hAnsi="Arial" w:cs="Arial"/>
                <w:sz w:val="19"/>
                <w:szCs w:val="19"/>
              </w:rPr>
              <w:t>onths</w:t>
            </w:r>
          </w:p>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Condition specific – 12 months</w:t>
            </w:r>
          </w:p>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b/>
                <w:sz w:val="19"/>
                <w:szCs w:val="19"/>
              </w:rPr>
              <w:t>Waiting period applies to  PMBs</w:t>
            </w:r>
          </w:p>
        </w:tc>
        <w:tc>
          <w:tcPr>
            <w:tcW w:w="2126" w:type="dxa"/>
          </w:tcPr>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3 </w:t>
            </w:r>
            <w:r w:rsidR="006A3A88" w:rsidRPr="00F463BC">
              <w:rPr>
                <w:rFonts w:ascii="Arial" w:hAnsi="Arial" w:cs="Arial"/>
                <w:sz w:val="19"/>
                <w:szCs w:val="19"/>
              </w:rPr>
              <w:t>m</w:t>
            </w:r>
            <w:r w:rsidRPr="00F463BC">
              <w:rPr>
                <w:rFonts w:ascii="Arial" w:hAnsi="Arial" w:cs="Arial"/>
                <w:sz w:val="19"/>
                <w:szCs w:val="19"/>
              </w:rPr>
              <w:t>onths</w:t>
            </w:r>
          </w:p>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tc>
        <w:tc>
          <w:tcPr>
            <w:tcW w:w="2268" w:type="dxa"/>
          </w:tcPr>
          <w:p w:rsidR="00F67FBF" w:rsidRPr="00F463BC" w:rsidRDefault="00F67FBF" w:rsidP="00C721DC">
            <w:pPr>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Condition specific</w:t>
            </w:r>
            <w:r w:rsidR="00E42368" w:rsidRPr="00F463BC">
              <w:rPr>
                <w:rFonts w:ascii="Arial" w:hAnsi="Arial" w:cs="Arial"/>
                <w:sz w:val="19"/>
                <w:szCs w:val="19"/>
              </w:rPr>
              <w:t xml:space="preserve"> – </w:t>
            </w:r>
            <w:r w:rsidRPr="00F463BC">
              <w:rPr>
                <w:rFonts w:ascii="Arial" w:hAnsi="Arial" w:cs="Arial"/>
                <w:sz w:val="19"/>
                <w:szCs w:val="19"/>
              </w:rPr>
              <w:t>2</w:t>
            </w:r>
            <w:r w:rsidR="006A3A88" w:rsidRPr="00F463BC">
              <w:rPr>
                <w:rFonts w:ascii="Arial" w:hAnsi="Arial" w:cs="Arial"/>
                <w:sz w:val="19"/>
                <w:szCs w:val="19"/>
              </w:rPr>
              <w:t> </w:t>
            </w:r>
            <w:r w:rsidRPr="00F463BC">
              <w:rPr>
                <w:rFonts w:ascii="Arial" w:hAnsi="Arial" w:cs="Arial"/>
                <w:sz w:val="19"/>
                <w:szCs w:val="19"/>
              </w:rPr>
              <w:t>months</w:t>
            </w:r>
          </w:p>
          <w:p w:rsidR="00F67FBF" w:rsidRPr="00F463BC" w:rsidRDefault="00F67FBF" w:rsidP="00C721DC">
            <w:pPr>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p w:rsidR="00F67FBF" w:rsidRPr="00F463BC" w:rsidRDefault="00F67FBF" w:rsidP="00C721DC">
            <w:pPr>
              <w:numPr>
                <w:ilvl w:val="0"/>
                <w:numId w:val="300"/>
              </w:numPr>
              <w:spacing w:beforeLines="40" w:before="96" w:afterLines="40" w:after="96"/>
              <w:ind w:left="-468"/>
              <w:jc w:val="left"/>
              <w:rPr>
                <w:rFonts w:ascii="Arial" w:hAnsi="Arial" w:cs="Arial"/>
                <w:sz w:val="19"/>
                <w:szCs w:val="19"/>
              </w:rPr>
            </w:pPr>
          </w:p>
        </w:tc>
        <w:tc>
          <w:tcPr>
            <w:tcW w:w="2268" w:type="dxa"/>
          </w:tcPr>
          <w:p w:rsidR="00F67FBF" w:rsidRPr="00F463BC" w:rsidRDefault="00F67FBF" w:rsidP="00C721DC">
            <w:pPr>
              <w:numPr>
                <w:ilvl w:val="1"/>
                <w:numId w:val="300"/>
              </w:numPr>
              <w:tabs>
                <w:tab w:val="clear" w:pos="720"/>
                <w:tab w:val="num" w:pos="432"/>
              </w:tabs>
              <w:spacing w:beforeLines="40" w:before="96" w:afterLines="40" w:after="96"/>
              <w:ind w:left="432"/>
              <w:jc w:val="left"/>
              <w:rPr>
                <w:rFonts w:ascii="Arial" w:hAnsi="Arial" w:cs="Arial"/>
                <w:sz w:val="19"/>
                <w:szCs w:val="19"/>
              </w:rPr>
            </w:pPr>
            <w:r w:rsidRPr="00F463BC">
              <w:rPr>
                <w:rFonts w:ascii="Arial" w:hAnsi="Arial" w:cs="Arial"/>
                <w:sz w:val="19"/>
                <w:szCs w:val="19"/>
              </w:rPr>
              <w:t>No general or condition specific waiting periods may be imposed</w:t>
            </w:r>
          </w:p>
        </w:tc>
      </w:tr>
    </w:tbl>
    <w:p w:rsidR="00F67FBF" w:rsidRPr="00F463BC" w:rsidRDefault="00F67FBF" w:rsidP="00F67FBF">
      <w:pPr>
        <w:pStyle w:val="Bulletnrs"/>
        <w:numPr>
          <w:ilvl w:val="0"/>
          <w:numId w:val="0"/>
        </w:numPr>
        <w:spacing w:before="0" w:line="271" w:lineRule="auto"/>
        <w:ind w:left="360" w:hanging="360"/>
        <w:rPr>
          <w:rFonts w:ascii="Arial" w:hAnsi="Arial" w:cs="Arial"/>
          <w:sz w:val="22"/>
          <w:szCs w:val="22"/>
        </w:rPr>
      </w:pP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lastRenderedPageBreak/>
        <w:t>Late joiner penalties may be imposed on any beneficiary who at the date of the application is 35 years or older and who has not enjoyed continuous coverage (except for a break of less than 3 months) with any medical scheme since 1 April 2001. Such late joiner penalties may not exceed the limitations imposed by Regulation 13 to the Act.</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Each individual member is required to sign a separate contract with a medical scheme. An individual may join any open medical scheme in that individual’s personal capacity or may join a restricted membership medical scheme should that individual qualify for membership. An individual may not be a beneficiary of more than one medical scheme.</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Contracts are entered into between the principal member and a medical scheme in terms of the </w:t>
      </w:r>
      <w:r w:rsidR="00EA3C6A" w:rsidRPr="00F463BC">
        <w:rPr>
          <w:rFonts w:ascii="Arial" w:hAnsi="Arial" w:cs="Arial"/>
          <w:sz w:val="22"/>
          <w:szCs w:val="22"/>
        </w:rPr>
        <w:t>Rule</w:t>
      </w:r>
      <w:r w:rsidRPr="00F463BC">
        <w:rPr>
          <w:rFonts w:ascii="Arial" w:hAnsi="Arial" w:cs="Arial"/>
          <w:sz w:val="22"/>
          <w:szCs w:val="22"/>
        </w:rPr>
        <w:t xml:space="preserve">s of that medical scheme. The contract may be terminated only in terms of the </w:t>
      </w:r>
      <w:r w:rsidR="00EA3C6A" w:rsidRPr="00F463BC">
        <w:rPr>
          <w:rFonts w:ascii="Arial" w:hAnsi="Arial" w:cs="Arial"/>
          <w:sz w:val="22"/>
          <w:szCs w:val="22"/>
        </w:rPr>
        <w:t>Rule</w:t>
      </w:r>
      <w:r w:rsidRPr="00F463BC">
        <w:rPr>
          <w:rFonts w:ascii="Arial" w:hAnsi="Arial" w:cs="Arial"/>
          <w:sz w:val="22"/>
          <w:szCs w:val="22"/>
        </w:rPr>
        <w:t>s of that medical scheme, which may provide for termination in the following circumstances:</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Non-payment of contributions;</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Death of </w:t>
      </w:r>
      <w:r w:rsidR="00D844D7">
        <w:rPr>
          <w:rFonts w:ascii="Arial" w:hAnsi="Arial" w:cs="Arial"/>
          <w:sz w:val="22"/>
          <w:szCs w:val="22"/>
        </w:rPr>
        <w:t xml:space="preserve">a </w:t>
      </w:r>
      <w:r w:rsidRPr="00F463BC">
        <w:rPr>
          <w:rFonts w:ascii="Arial" w:hAnsi="Arial" w:cs="Arial"/>
          <w:sz w:val="22"/>
          <w:szCs w:val="22"/>
        </w:rPr>
        <w:t>member;</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Committing of any fraudulent act against the scheme;</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Non-disclosure of material information;  </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Prior termination of the contract, in terms of the </w:t>
      </w:r>
      <w:r w:rsidR="00EA3C6A" w:rsidRPr="00F463BC">
        <w:rPr>
          <w:rFonts w:ascii="Arial" w:hAnsi="Arial" w:cs="Arial"/>
          <w:sz w:val="22"/>
          <w:szCs w:val="22"/>
        </w:rPr>
        <w:t>Rule</w:t>
      </w:r>
      <w:r w:rsidRPr="00F463BC">
        <w:rPr>
          <w:rFonts w:ascii="Arial" w:hAnsi="Arial" w:cs="Arial"/>
          <w:sz w:val="22"/>
          <w:szCs w:val="22"/>
        </w:rPr>
        <w:t>s, by either party; and</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Liquidation of a medical scheme.</w:t>
      </w:r>
    </w:p>
    <w:p w:rsidR="00753A17" w:rsidRPr="00F463BC" w:rsidRDefault="00753A17" w:rsidP="00B82F08">
      <w:pPr>
        <w:pStyle w:val="Bulletsa"/>
        <w:tabs>
          <w:tab w:val="left" w:pos="993"/>
        </w:tabs>
        <w:spacing w:before="0" w:line="271" w:lineRule="auto"/>
        <w:ind w:left="993"/>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Benefit options and pricing</w:t>
      </w:r>
    </w:p>
    <w:p w:rsidR="00753A17" w:rsidRPr="00F463BC" w:rsidRDefault="00753A17" w:rsidP="00B82F08">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 xml:space="preserve">A medical scheme may have more than one defined set of benefit options in terms of the </w:t>
      </w:r>
      <w:r w:rsidR="00EA3C6A" w:rsidRPr="00F463BC">
        <w:rPr>
          <w:rFonts w:ascii="Arial" w:hAnsi="Arial" w:cs="Arial"/>
          <w:sz w:val="22"/>
          <w:szCs w:val="22"/>
        </w:rPr>
        <w:t>Rule</w:t>
      </w:r>
      <w:r w:rsidRPr="00F463BC">
        <w:rPr>
          <w:rFonts w:ascii="Arial" w:hAnsi="Arial" w:cs="Arial"/>
          <w:sz w:val="22"/>
          <w:szCs w:val="22"/>
        </w:rPr>
        <w:t>s of that scheme. A member may belong to only one benefit option in one scheme at any given time.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member of a medical scheme may elect to change benefit options on an annual basis and this shall take effect at the commencement of the benefit year (generally 1 January). Should a member not elect to change that member is defaulted to the existing benefit option for the following year. Dependent on the </w:t>
      </w:r>
      <w:r w:rsidR="00EA3C6A" w:rsidRPr="00F463BC">
        <w:rPr>
          <w:rFonts w:ascii="Arial" w:hAnsi="Arial" w:cs="Arial"/>
          <w:sz w:val="22"/>
          <w:szCs w:val="22"/>
        </w:rPr>
        <w:t>Rule</w:t>
      </w:r>
      <w:r w:rsidRPr="00F463BC">
        <w:rPr>
          <w:rFonts w:ascii="Arial" w:hAnsi="Arial" w:cs="Arial"/>
          <w:sz w:val="22"/>
          <w:szCs w:val="22"/>
        </w:rPr>
        <w:t>s, a member may downgrade to a lower cost option with lower benefit entitlements at any time during the year and/or upgrade to a higher cost option with more benefit entitlements during the benefit year.</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Contracts with an individual may not be priced based on the specific risk associated with that individual or any other individual criteria (i.e. </w:t>
      </w:r>
      <w:r w:rsidR="0079533E" w:rsidRPr="00F463BC">
        <w:rPr>
          <w:rFonts w:ascii="Arial" w:hAnsi="Arial" w:cs="Arial"/>
          <w:sz w:val="22"/>
          <w:szCs w:val="22"/>
        </w:rPr>
        <w:t>underwriting/</w:t>
      </w:r>
      <w:r w:rsidRPr="00F463BC">
        <w:rPr>
          <w:rFonts w:ascii="Arial" w:hAnsi="Arial" w:cs="Arial"/>
          <w:sz w:val="22"/>
          <w:szCs w:val="22"/>
        </w:rPr>
        <w:t>risk</w:t>
      </w:r>
      <w:r w:rsidR="00D844D7">
        <w:rPr>
          <w:rFonts w:ascii="Arial" w:hAnsi="Arial" w:cs="Arial"/>
          <w:sz w:val="22"/>
          <w:szCs w:val="22"/>
        </w:rPr>
        <w:t>-</w:t>
      </w:r>
      <w:r w:rsidRPr="00F463BC">
        <w:rPr>
          <w:rFonts w:ascii="Arial" w:hAnsi="Arial" w:cs="Arial"/>
          <w:sz w:val="22"/>
          <w:szCs w:val="22"/>
        </w:rPr>
        <w:t xml:space="preserve">rating is prohibited). Contributions may be varied on the basis of income or the number of dependants or both. A medical scheme sets prices that fully reflect the risk associated with each benefit option on an annual basis, subject to the cross-subsidisation as explained below.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Community rating refers to the concept of cross-subsidising the level of contributions for sick members by using those of healthy members. Cross-subsidising may occur in the benefit option and may also occur between benefit options.</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Contributions</w:t>
      </w:r>
    </w:p>
    <w:p w:rsidR="00753A17" w:rsidRPr="00F463BC" w:rsidRDefault="00C30E77"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 xml:space="preserve">Refer to the SAICA </w:t>
      </w:r>
      <w:r w:rsidRPr="00F463BC">
        <w:rPr>
          <w:rFonts w:ascii="Arial" w:hAnsi="Arial" w:cs="Arial"/>
          <w:i/>
          <w:sz w:val="22"/>
          <w:szCs w:val="22"/>
        </w:rPr>
        <w:t xml:space="preserve">Medical Schemes Accounting Guide </w:t>
      </w:r>
      <w:r w:rsidRPr="00F463BC">
        <w:rPr>
          <w:rFonts w:ascii="Arial" w:hAnsi="Arial" w:cs="Arial"/>
          <w:sz w:val="22"/>
          <w:szCs w:val="22"/>
        </w:rPr>
        <w:t xml:space="preserve">for accounting guidance and the application of International Financial Reporting Standards </w:t>
      </w:r>
      <w:r>
        <w:rPr>
          <w:rFonts w:ascii="Arial" w:hAnsi="Arial" w:cs="Arial"/>
          <w:sz w:val="22"/>
          <w:szCs w:val="22"/>
        </w:rPr>
        <w:t>with respect to contributions.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accordance with sections 26(1)(c) and 26(4) of the Act, a medical scheme is not allowed to collect fees payable by a member to a third party, e.g. a funeral fund, on behalf of that third party. Therefore, gross contributions should not include such fees. Gross contributions should only include contributions made in terms of the </w:t>
      </w:r>
      <w:r w:rsidR="00EA3C6A" w:rsidRPr="00F463BC">
        <w:rPr>
          <w:rFonts w:ascii="Arial" w:hAnsi="Arial" w:cs="Arial"/>
          <w:sz w:val="22"/>
          <w:szCs w:val="22"/>
        </w:rPr>
        <w:t>Rule</w:t>
      </w:r>
      <w:r w:rsidRPr="00F463BC">
        <w:rPr>
          <w:rFonts w:ascii="Arial" w:hAnsi="Arial" w:cs="Arial"/>
          <w:sz w:val="22"/>
          <w:szCs w:val="22"/>
        </w:rPr>
        <w:t xml:space="preserve">s of a medical scheme, which must be in compliance with the Act. </w:t>
      </w:r>
    </w:p>
    <w:p w:rsidR="00753A17" w:rsidRPr="00F463BC" w:rsidRDefault="0079533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Gross c</w:t>
      </w:r>
      <w:r w:rsidR="00753A17" w:rsidRPr="00F463BC">
        <w:rPr>
          <w:rFonts w:ascii="Arial" w:hAnsi="Arial" w:cs="Arial"/>
          <w:sz w:val="22"/>
          <w:szCs w:val="22"/>
        </w:rPr>
        <w:t xml:space="preserve">ontributions are paid as determined by the </w:t>
      </w:r>
      <w:r w:rsidR="00EA3C6A" w:rsidRPr="00F463BC">
        <w:rPr>
          <w:rFonts w:ascii="Arial" w:hAnsi="Arial" w:cs="Arial"/>
          <w:sz w:val="22"/>
          <w:szCs w:val="22"/>
        </w:rPr>
        <w:t>Rule</w:t>
      </w:r>
      <w:r w:rsidR="00753A17" w:rsidRPr="00F463BC">
        <w:rPr>
          <w:rFonts w:ascii="Arial" w:hAnsi="Arial" w:cs="Arial"/>
          <w:sz w:val="22"/>
          <w:szCs w:val="22"/>
        </w:rPr>
        <w:t xml:space="preserve">s in compliance with sections 26(6) and 26(7) of the Act. A medical scheme undertakes to accept, either wholly or in part, the risks arising from providing healthcare services to a member and a member’s dependants in terms of healthcare benefits defined in the </w:t>
      </w:r>
      <w:r w:rsidR="00EA3C6A" w:rsidRPr="00F463BC">
        <w:rPr>
          <w:rFonts w:ascii="Arial" w:hAnsi="Arial" w:cs="Arial"/>
          <w:sz w:val="22"/>
          <w:szCs w:val="22"/>
        </w:rPr>
        <w:t>Rule</w:t>
      </w:r>
      <w:r w:rsidR="00753A17" w:rsidRPr="00F463BC">
        <w:rPr>
          <w:rFonts w:ascii="Arial" w:hAnsi="Arial" w:cs="Arial"/>
          <w:sz w:val="22"/>
          <w:szCs w:val="22"/>
        </w:rPr>
        <w:t>s of that medical scheme.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26(7) of the Act requires that </w:t>
      </w:r>
      <w:r w:rsidR="0079533E" w:rsidRPr="00F463BC">
        <w:rPr>
          <w:rFonts w:ascii="Arial" w:hAnsi="Arial" w:cs="Arial"/>
          <w:sz w:val="22"/>
          <w:szCs w:val="22"/>
        </w:rPr>
        <w:t>gross</w:t>
      </w:r>
      <w:r w:rsidRPr="00F463BC">
        <w:rPr>
          <w:rFonts w:ascii="Arial" w:hAnsi="Arial" w:cs="Arial"/>
          <w:sz w:val="22"/>
          <w:szCs w:val="22"/>
        </w:rPr>
        <w:t xml:space="preserve"> contributions be paid directly to a medical scheme not later than three days after payment thereof becoming due (in terms of the scheme’s </w:t>
      </w:r>
      <w:r w:rsidR="00EA3C6A" w:rsidRPr="00F463BC">
        <w:rPr>
          <w:rFonts w:ascii="Arial" w:hAnsi="Arial" w:cs="Arial"/>
          <w:sz w:val="22"/>
          <w:szCs w:val="22"/>
        </w:rPr>
        <w:t>Rule</w:t>
      </w:r>
      <w:r w:rsidRPr="00F463BC">
        <w:rPr>
          <w:rFonts w:ascii="Arial" w:hAnsi="Arial" w:cs="Arial"/>
          <w:sz w:val="22"/>
          <w:szCs w:val="22"/>
        </w:rPr>
        <w:t xml:space="preserve">s). </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Healthcare benefits</w:t>
      </w:r>
    </w:p>
    <w:p w:rsidR="00753A17" w:rsidRPr="00F463BC" w:rsidRDefault="00753A17"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Healthcare benefits are prescribed in the </w:t>
      </w:r>
      <w:r w:rsidR="00EA3C6A" w:rsidRPr="00F463BC">
        <w:rPr>
          <w:rFonts w:ascii="Arial" w:hAnsi="Arial" w:cs="Arial"/>
          <w:sz w:val="22"/>
          <w:szCs w:val="22"/>
        </w:rPr>
        <w:t>Rule</w:t>
      </w:r>
      <w:r w:rsidRPr="00F463BC">
        <w:rPr>
          <w:rFonts w:ascii="Arial" w:hAnsi="Arial" w:cs="Arial"/>
          <w:sz w:val="22"/>
          <w:szCs w:val="22"/>
        </w:rPr>
        <w:t xml:space="preserve">s, which usually contain healthcare benefit limits and exclusion clauses in addition to the minimum benefits prescribed in the Act.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medical scheme has to cover the full costs related to the diagnosis, treatment and care of PMBs. PMBs include certain medicines required in the treatment of specific chronic conditions/diseases. A member is entitled to these benefits regardless of the scheme option selected.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Healthcare benefit limits (exclusive of PMBs) are normally set for a benefit period. Claims may be incurred by the member, and the member’s dependants, from the first month of the benefit period until healthcare benefit limits are fully used, after which the member bears the risk, either through self-payment or the member’s PMSA, if applicable. These healthcare benefit limits may be apportioned for a period of the year in which the contract is first entered into after the commencement of the benefit period. No apportionment of limits is permitted should a contract be terminated prior to the end of a benefit period. Unexpended benefits may not be accumulated by a beneficiary from one year to the next other than as provided for in the PMSAs.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 xml:space="preserve">A member carries the risk for payment of amounts charged by the provider of healthcare services in excess of the healthcare benefits provided by a medical scheme, which could be in the form of a member’s portion (co-payment) paid to the provider or a refund of amounts paid, lent or advanced by a medical scheme, in terms of the </w:t>
      </w:r>
      <w:r w:rsidR="00EA3C6A" w:rsidRPr="00F463BC">
        <w:rPr>
          <w:rFonts w:ascii="Arial" w:hAnsi="Arial" w:cs="Arial"/>
          <w:sz w:val="22"/>
          <w:szCs w:val="22"/>
        </w:rPr>
        <w:t>Rule</w:t>
      </w:r>
      <w:r w:rsidRPr="00F463BC">
        <w:rPr>
          <w:rFonts w:ascii="Arial" w:hAnsi="Arial" w:cs="Arial"/>
          <w:sz w:val="22"/>
          <w:szCs w:val="22"/>
        </w:rPr>
        <w:t xml:space="preserve">s, on behalf of a member. Co-payments on PMBs are not permitted in terms of the Act but may occur when a member has voluntarily not made use of a scheme’s DSP, where a DSP has been identified in a scheme </w:t>
      </w:r>
      <w:r w:rsidR="00EA3C6A" w:rsidRPr="00F463BC">
        <w:rPr>
          <w:rFonts w:ascii="Arial" w:hAnsi="Arial" w:cs="Arial"/>
          <w:sz w:val="22"/>
          <w:szCs w:val="22"/>
        </w:rPr>
        <w:t>Rule</w:t>
      </w:r>
      <w:r w:rsidRPr="00F463BC">
        <w:rPr>
          <w:rFonts w:ascii="Arial" w:hAnsi="Arial" w:cs="Arial"/>
          <w:sz w:val="22"/>
          <w:szCs w:val="22"/>
        </w:rPr>
        <w:t>s. However, co-payments may not be levied for emergencies.</w:t>
      </w:r>
      <w:r w:rsidR="00E94998" w:rsidRPr="00F463BC">
        <w:rPr>
          <w:rFonts w:ascii="Arial" w:hAnsi="Arial" w:cs="Arial"/>
          <w:sz w:val="22"/>
          <w:szCs w:val="22"/>
        </w:rPr>
        <w:t xml:space="preserve"> Co-payments on PMBs may not be funded from PMSA monies.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member of a medical scheme has four months, or such longer period as per the </w:t>
      </w:r>
      <w:r w:rsidR="00EA3C6A" w:rsidRPr="00F463BC">
        <w:rPr>
          <w:rFonts w:ascii="Arial" w:hAnsi="Arial" w:cs="Arial"/>
          <w:sz w:val="22"/>
          <w:szCs w:val="22"/>
        </w:rPr>
        <w:t>Rule</w:t>
      </w:r>
      <w:r w:rsidRPr="00F463BC">
        <w:rPr>
          <w:rFonts w:ascii="Arial" w:hAnsi="Arial" w:cs="Arial"/>
          <w:sz w:val="22"/>
          <w:szCs w:val="22"/>
        </w:rPr>
        <w:t>s of that scheme, from the date of service to submit claims to that scheme.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audit of claims takes cognisance of the manner in which claims are received by a scheme and the supporting documentation provided.  Most schemes receive a large number of claims via </w:t>
      </w:r>
      <w:r w:rsidR="00EB0225" w:rsidRPr="00F463BC">
        <w:rPr>
          <w:rFonts w:ascii="Arial" w:hAnsi="Arial" w:cs="Arial"/>
          <w:sz w:val="22"/>
          <w:szCs w:val="22"/>
        </w:rPr>
        <w:t>EDI</w:t>
      </w:r>
      <w:r w:rsidR="0079533E" w:rsidRPr="00F463BC">
        <w:rPr>
          <w:rFonts w:ascii="Arial" w:hAnsi="Arial" w:cs="Arial"/>
          <w:sz w:val="22"/>
          <w:szCs w:val="22"/>
        </w:rPr>
        <w:t xml:space="preserve"> switches</w:t>
      </w:r>
      <w:r w:rsidRPr="00F463BC">
        <w:rPr>
          <w:rFonts w:ascii="Arial" w:hAnsi="Arial" w:cs="Arial"/>
          <w:sz w:val="22"/>
          <w:szCs w:val="22"/>
        </w:rPr>
        <w:t>. Typically these claims are received from the service provider (e.g. pharmacy or doctor) directly via EDI. The service provider does not submit any evidence of the service being received (e.g. an invoice signed by the member).</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Certain risks may be reinsured by a medical scheme, in terms of which </w:t>
      </w:r>
      <w:r w:rsidR="00C30E77">
        <w:rPr>
          <w:rFonts w:ascii="Arial" w:hAnsi="Arial" w:cs="Arial"/>
          <w:sz w:val="22"/>
          <w:szCs w:val="22"/>
        </w:rPr>
        <w:t>some</w:t>
      </w:r>
      <w:r w:rsidR="00C30E77" w:rsidRPr="00F463BC">
        <w:rPr>
          <w:rFonts w:ascii="Arial" w:hAnsi="Arial" w:cs="Arial"/>
          <w:sz w:val="22"/>
          <w:szCs w:val="22"/>
        </w:rPr>
        <w:t xml:space="preserve"> </w:t>
      </w:r>
      <w:r w:rsidRPr="00F463BC">
        <w:rPr>
          <w:rFonts w:ascii="Arial" w:hAnsi="Arial" w:cs="Arial"/>
          <w:sz w:val="22"/>
          <w:szCs w:val="22"/>
        </w:rPr>
        <w:t>risks for healthcare benefits are underwritten by another party. This transfer of risk may take the form of:</w:t>
      </w:r>
    </w:p>
    <w:p w:rsidR="00753A17" w:rsidRPr="00F463BC" w:rsidRDefault="00753A17" w:rsidP="00B82F08">
      <w:pPr>
        <w:pStyle w:val="Bulletsa"/>
        <w:numPr>
          <w:ilvl w:val="0"/>
          <w:numId w:val="3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commercial reinsurance contract with a registered insurer; or</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capitated arrangement with a provider or managed care organisation.</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r w:rsidRPr="00F463BC">
        <w:rPr>
          <w:rFonts w:ascii="Arial" w:hAnsi="Arial" w:cs="Arial"/>
          <w:sz w:val="22"/>
          <w:szCs w:val="22"/>
        </w:rPr>
        <w:t>Entering into a risk transfer arrangement does not reduce a scheme’s primary obligations to its members and their dependants.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When a medical scheme enters into a commercial reinsurance contract with a registered insurer, the scheme adheres to the requirements imposed by section 20 of the Act. Section 20(2) of the Act states that a</w:t>
      </w:r>
      <w:r w:rsidRPr="00F463BC" w:rsidDel="004E59CC">
        <w:rPr>
          <w:rFonts w:ascii="Arial" w:hAnsi="Arial" w:cs="Arial"/>
          <w:sz w:val="22"/>
          <w:szCs w:val="22"/>
        </w:rPr>
        <w:t xml:space="preserve"> medical scheme shall </w:t>
      </w:r>
      <w:r w:rsidRPr="00F463BC">
        <w:rPr>
          <w:rFonts w:ascii="Arial" w:hAnsi="Arial" w:cs="Arial"/>
          <w:sz w:val="22"/>
          <w:szCs w:val="22"/>
        </w:rPr>
        <w:t xml:space="preserve">not </w:t>
      </w:r>
      <w:r w:rsidRPr="00F463BC" w:rsidDel="004E59CC">
        <w:rPr>
          <w:rFonts w:ascii="Arial" w:hAnsi="Arial" w:cs="Arial"/>
          <w:sz w:val="22"/>
          <w:szCs w:val="22"/>
        </w:rPr>
        <w:t xml:space="preserve">purchase any insurance policy in respect of any relevant health service other than to reinsure a liability in terms of </w:t>
      </w:r>
      <w:r w:rsidRPr="00F463BC">
        <w:rPr>
          <w:rFonts w:ascii="Arial" w:hAnsi="Arial" w:cs="Arial"/>
          <w:sz w:val="22"/>
          <w:szCs w:val="22"/>
        </w:rPr>
        <w:t>section</w:t>
      </w:r>
      <w:r w:rsidRPr="00F463BC" w:rsidDel="004E59CC">
        <w:rPr>
          <w:rFonts w:ascii="Arial" w:hAnsi="Arial" w:cs="Arial"/>
          <w:sz w:val="22"/>
          <w:szCs w:val="22"/>
        </w:rPr>
        <w:t xml:space="preserve"> 26(1)(b) of the Act. </w:t>
      </w:r>
      <w:r w:rsidRPr="00F463BC">
        <w:rPr>
          <w:rFonts w:ascii="Arial" w:hAnsi="Arial" w:cs="Arial"/>
          <w:sz w:val="22"/>
          <w:szCs w:val="22"/>
        </w:rPr>
        <w:t>In terms of section 20(3), the board of t</w:t>
      </w:r>
      <w:r w:rsidRPr="00F463BC" w:rsidDel="004E59CC">
        <w:rPr>
          <w:rFonts w:ascii="Arial" w:hAnsi="Arial" w:cs="Arial"/>
          <w:sz w:val="22"/>
          <w:szCs w:val="22"/>
        </w:rPr>
        <w:t xml:space="preserve">rustees </w:t>
      </w:r>
      <w:r w:rsidRPr="00F463BC">
        <w:rPr>
          <w:rFonts w:ascii="Arial" w:hAnsi="Arial" w:cs="Arial"/>
          <w:sz w:val="22"/>
          <w:szCs w:val="22"/>
        </w:rPr>
        <w:t>must</w:t>
      </w:r>
      <w:r w:rsidRPr="00F463BC" w:rsidDel="004E59CC">
        <w:rPr>
          <w:rFonts w:ascii="Arial" w:hAnsi="Arial" w:cs="Arial"/>
          <w:sz w:val="22"/>
          <w:szCs w:val="22"/>
        </w:rPr>
        <w:t xml:space="preserve"> furnish the Registrar with a copy of the contract or the amendment</w:t>
      </w:r>
      <w:r w:rsidRPr="00F463BC">
        <w:rPr>
          <w:rFonts w:ascii="Arial" w:hAnsi="Arial" w:cs="Arial"/>
          <w:sz w:val="22"/>
          <w:szCs w:val="22"/>
        </w:rPr>
        <w:t xml:space="preserve"> thereof</w:t>
      </w:r>
      <w:r w:rsidRPr="00F463BC" w:rsidDel="004E59CC">
        <w:rPr>
          <w:rFonts w:ascii="Arial" w:hAnsi="Arial" w:cs="Arial"/>
          <w:sz w:val="22"/>
          <w:szCs w:val="22"/>
        </w:rPr>
        <w:t xml:space="preserve"> and an evaluation of the need for the proposed commercial reinsurance contract. The Registrar may </w:t>
      </w:r>
      <w:r w:rsidRPr="00F463BC">
        <w:rPr>
          <w:rFonts w:ascii="Arial" w:hAnsi="Arial" w:cs="Arial"/>
          <w:sz w:val="22"/>
          <w:szCs w:val="22"/>
        </w:rPr>
        <w:t xml:space="preserve">then </w:t>
      </w:r>
      <w:r w:rsidRPr="00F463BC" w:rsidDel="004E59CC">
        <w:rPr>
          <w:rFonts w:ascii="Arial" w:hAnsi="Arial" w:cs="Arial"/>
          <w:sz w:val="22"/>
          <w:szCs w:val="22"/>
        </w:rPr>
        <w:t xml:space="preserve">in terms of </w:t>
      </w:r>
      <w:r w:rsidRPr="00F463BC">
        <w:rPr>
          <w:rFonts w:ascii="Arial" w:hAnsi="Arial" w:cs="Arial"/>
          <w:sz w:val="22"/>
          <w:szCs w:val="22"/>
        </w:rPr>
        <w:t>section</w:t>
      </w:r>
      <w:r w:rsidRPr="00F463BC" w:rsidDel="004E59CC">
        <w:rPr>
          <w:rFonts w:ascii="Arial" w:hAnsi="Arial" w:cs="Arial"/>
          <w:sz w:val="22"/>
          <w:szCs w:val="22"/>
        </w:rPr>
        <w:t> 20(4) raise any matter in respect of the said contract, whic</w:t>
      </w:r>
      <w:r w:rsidRPr="00F463BC">
        <w:rPr>
          <w:rFonts w:ascii="Arial" w:hAnsi="Arial" w:cs="Arial"/>
          <w:sz w:val="22"/>
          <w:szCs w:val="22"/>
        </w:rPr>
        <w:t>h needs to be addressed by the board of t</w:t>
      </w:r>
      <w:r w:rsidRPr="00F463BC" w:rsidDel="004E59CC">
        <w:rPr>
          <w:rFonts w:ascii="Arial" w:hAnsi="Arial" w:cs="Arial"/>
          <w:sz w:val="22"/>
          <w:szCs w:val="22"/>
        </w:rPr>
        <w:t>rustees</w:t>
      </w:r>
      <w:r w:rsidRPr="00F463BC">
        <w:rPr>
          <w:rFonts w:ascii="Arial" w:hAnsi="Arial" w:cs="Arial"/>
          <w:sz w:val="22"/>
          <w:szCs w:val="22"/>
        </w:rPr>
        <w:t>. The results of a commercial reinsurance contract are considered to be non-healthcare expenditure in nature.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With capitated arrangements with providers or managed care organisations, the provider is paid a monthly amount or capitation fee to provide defined services, during a specified period, according to the needs of members of a scheme. The provider carries the risk of the number of incidents</w:t>
      </w:r>
      <w:r w:rsidR="00ED0FD3" w:rsidRPr="00F463BC">
        <w:rPr>
          <w:rFonts w:ascii="Arial" w:hAnsi="Arial" w:cs="Arial"/>
          <w:sz w:val="22"/>
          <w:szCs w:val="22"/>
        </w:rPr>
        <w:t xml:space="preserve"> (utilisation risk)</w:t>
      </w:r>
      <w:r w:rsidRPr="00F463BC">
        <w:rPr>
          <w:rFonts w:ascii="Arial" w:hAnsi="Arial" w:cs="Arial"/>
          <w:sz w:val="22"/>
          <w:szCs w:val="22"/>
        </w:rPr>
        <w:t xml:space="preserve"> that occur during the specified period and the cost of providing the service</w:t>
      </w:r>
      <w:r w:rsidR="00ED0FD3" w:rsidRPr="00F463BC">
        <w:rPr>
          <w:rFonts w:ascii="Arial" w:hAnsi="Arial" w:cs="Arial"/>
          <w:sz w:val="22"/>
          <w:szCs w:val="22"/>
        </w:rPr>
        <w:t xml:space="preserve"> (price risk)</w:t>
      </w:r>
      <w:r w:rsidRPr="00F463BC">
        <w:rPr>
          <w:rFonts w:ascii="Arial" w:hAnsi="Arial" w:cs="Arial"/>
          <w:sz w:val="22"/>
          <w:szCs w:val="22"/>
        </w:rPr>
        <w:t xml:space="preserve">. Any capitated agreement entered into must adhere to the requirements imposed by Regulation 15. </w:t>
      </w:r>
      <w:r w:rsidRPr="00F463BC">
        <w:rPr>
          <w:rFonts w:ascii="Arial" w:hAnsi="Arial" w:cs="Arial"/>
          <w:sz w:val="22"/>
          <w:szCs w:val="22"/>
        </w:rPr>
        <w:lastRenderedPageBreak/>
        <w:t xml:space="preserve">Regulation 15F requires that any such contract must be in a member’s best interest, the premiums must be reasonable and a genuine transfer of risk should take place. Premiums/fees and recoveries for claims relating to risk transfer arrangements are </w:t>
      </w:r>
      <w:r w:rsidR="0085645A">
        <w:rPr>
          <w:rFonts w:ascii="Arial" w:hAnsi="Arial" w:cs="Arial"/>
          <w:sz w:val="22"/>
          <w:szCs w:val="22"/>
        </w:rPr>
        <w:t>disclosed</w:t>
      </w:r>
      <w:r w:rsidR="0085645A" w:rsidRPr="00F463BC">
        <w:rPr>
          <w:rFonts w:ascii="Arial" w:hAnsi="Arial" w:cs="Arial"/>
          <w:sz w:val="22"/>
          <w:szCs w:val="22"/>
        </w:rPr>
        <w:t xml:space="preserve"> </w:t>
      </w:r>
      <w:r w:rsidRPr="00F463BC">
        <w:rPr>
          <w:rFonts w:ascii="Arial" w:hAnsi="Arial" w:cs="Arial"/>
          <w:sz w:val="22"/>
          <w:szCs w:val="22"/>
        </w:rPr>
        <w:t>separately in respect of each risk transfer arrangement so that the financial extent of such arrangements may be clearly demonstrated.</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aim of managed healthcare initiatives is to ensure (through the use of clinical and financial risk assessments and management of healthcare) appropriate, affordable and cost-effective healthcare. This is achieved through the use of inter alia the following interventions:</w:t>
      </w:r>
    </w:p>
    <w:p w:rsidR="00753A17" w:rsidRPr="00F463BC" w:rsidRDefault="00753A17" w:rsidP="00B82F08">
      <w:pPr>
        <w:pStyle w:val="Bulletsa"/>
        <w:numPr>
          <w:ilvl w:val="0"/>
          <w:numId w:val="3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Managed care: management services;</w:t>
      </w:r>
    </w:p>
    <w:p w:rsidR="00753A17" w:rsidRPr="00F463BC" w:rsidRDefault="00753A17" w:rsidP="00B82F08">
      <w:pPr>
        <w:pStyle w:val="Bulletsa"/>
        <w:numPr>
          <w:ilvl w:val="0"/>
          <w:numId w:val="3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Managed care: healthcare services with no transfer of risk; and</w:t>
      </w:r>
    </w:p>
    <w:p w:rsidR="00753A17" w:rsidRPr="00F463BC" w:rsidRDefault="00753A17" w:rsidP="00B82F08">
      <w:pPr>
        <w:pStyle w:val="Bulletsa"/>
        <w:numPr>
          <w:ilvl w:val="0"/>
          <w:numId w:val="3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Managed care: healthcare services with risk transfer.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Managed care: management services expenditure is administrative in nature and represents the cost of managing healthcare expenditure. This may include services such as bill review, specialist and hospital referrals, case management, disease management, peer review, claims audits and statistical analysis. It is important to note that it does not include the cost of any relevant healthcare services. Managed care: management services expenditure forms part of the scheme’s non-healthcare expenditure incurred.</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Managed care: healthcare services with no transfer of risk may only be provided by accredited managed care organisations. This expenditure normally represents the provision of fee-for-service healthcare benefits included in managed care contracts. An example of this is disease management (e.g. diabetes) where the actual healthcare services provided as per the contract would be included in the managed care: healthcare services with no transfer of risk expenditure; the management of the disease would be classified as managed care: management services (see above). </w:t>
      </w:r>
    </w:p>
    <w:p w:rsidR="00753A17" w:rsidRPr="0017223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Managed care: healthcare services with risk transfer may be provided by either an accredited managed care organisation or a provider. Such provider would normally be the DSP for the related healthcare benefit. These arrangements are capitation agreements, in which the managed care organisation or provider carries the risk in variances in the utilisation and cost of the related healthcare services. Refer to </w:t>
      </w:r>
      <w:r w:rsidRPr="00E753ED">
        <w:rPr>
          <w:rFonts w:ascii="Arial" w:hAnsi="Arial" w:cs="Arial"/>
          <w:sz w:val="22"/>
          <w:szCs w:val="22"/>
        </w:rPr>
        <w:t xml:space="preserve">paragraph </w:t>
      </w:r>
      <w:r w:rsidR="0015206E" w:rsidRPr="00E753ED">
        <w:rPr>
          <w:rFonts w:ascii="Arial" w:hAnsi="Arial" w:cs="Arial"/>
          <w:sz w:val="22"/>
          <w:szCs w:val="22"/>
        </w:rPr>
        <w:t>29</w:t>
      </w:r>
      <w:r w:rsidRPr="0017223C">
        <w:rPr>
          <w:rFonts w:ascii="Arial" w:hAnsi="Arial" w:cs="Arial"/>
          <w:sz w:val="22"/>
          <w:szCs w:val="22"/>
        </w:rPr>
        <w:t xml:space="preserve"> for a more detailed explanation on what these contracts entail.</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Non-healthcare expenditure</w:t>
      </w:r>
    </w:p>
    <w:p w:rsidR="00753A17" w:rsidRPr="0017223C" w:rsidRDefault="00753A17" w:rsidP="00B82F08">
      <w:pPr>
        <w:pStyle w:val="Bulletnrs"/>
        <w:tabs>
          <w:tab w:val="left" w:pos="567"/>
        </w:tabs>
        <w:spacing w:before="0" w:line="271" w:lineRule="auto"/>
        <w:ind w:left="567" w:hanging="567"/>
        <w:rPr>
          <w:rFonts w:ascii="Arial" w:hAnsi="Arial" w:cs="Arial"/>
          <w:sz w:val="22"/>
          <w:szCs w:val="22"/>
        </w:rPr>
      </w:pPr>
      <w:r w:rsidRPr="0017223C">
        <w:rPr>
          <w:rFonts w:ascii="Arial" w:hAnsi="Arial" w:cs="Arial"/>
          <w:sz w:val="22"/>
          <w:szCs w:val="22"/>
        </w:rPr>
        <w:t xml:space="preserve">Non-healthcare expenditure consists of administration expenditure, managed care: management services (refer paragraph </w:t>
      </w:r>
      <w:r w:rsidR="002E28A9" w:rsidRPr="00E753ED">
        <w:rPr>
          <w:rFonts w:ascii="Arial" w:hAnsi="Arial" w:cs="Arial"/>
          <w:sz w:val="22"/>
          <w:szCs w:val="22"/>
        </w:rPr>
        <w:t>3</w:t>
      </w:r>
      <w:r w:rsidR="0015206E" w:rsidRPr="00E753ED">
        <w:rPr>
          <w:rFonts w:ascii="Arial" w:hAnsi="Arial" w:cs="Arial"/>
          <w:sz w:val="22"/>
          <w:szCs w:val="22"/>
        </w:rPr>
        <w:t>1</w:t>
      </w:r>
      <w:r w:rsidRPr="0017223C">
        <w:rPr>
          <w:rFonts w:ascii="Arial" w:hAnsi="Arial" w:cs="Arial"/>
          <w:sz w:val="22"/>
          <w:szCs w:val="22"/>
        </w:rPr>
        <w:t xml:space="preserve">), broker costs, commercial reinsurance results (refer paragraph </w:t>
      </w:r>
      <w:r w:rsidR="002E28A9" w:rsidRPr="00E753ED">
        <w:rPr>
          <w:rFonts w:ascii="Arial" w:hAnsi="Arial" w:cs="Arial"/>
          <w:sz w:val="22"/>
          <w:szCs w:val="22"/>
        </w:rPr>
        <w:t>2</w:t>
      </w:r>
      <w:r w:rsidR="0015206E" w:rsidRPr="00E753ED">
        <w:rPr>
          <w:rFonts w:ascii="Arial" w:hAnsi="Arial" w:cs="Arial"/>
          <w:sz w:val="22"/>
          <w:szCs w:val="22"/>
        </w:rPr>
        <w:t>8</w:t>
      </w:r>
      <w:r w:rsidRPr="0017223C">
        <w:rPr>
          <w:rFonts w:ascii="Arial" w:hAnsi="Arial" w:cs="Arial"/>
          <w:sz w:val="22"/>
          <w:szCs w:val="22"/>
        </w:rPr>
        <w:t>) and net impairment: trade and other receivables.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Administration expenditure consists mainly of administration fees. Other expenditure such as trustee remuneration and principal officer remuneration is also included in this expense item.</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 xml:space="preserve">Broker costs consist of regulated broker commissions as well as distribution fees which are incurred in managing broker networks.  A medical scheme may not directly or indirectly (i.e. via the distribution networks) compensate brokers other than the said regulated broker commissions. Reference should be made to section 65 and Regulation 28 of the Act for the specific requirements and limitations imposed on the payment of broker commissions. </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Personal medical savings accounts (PMSAs)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Some medical schemes provide for PMSAs to assist members in managing cash flow for the payment of healthcare services for which they are responsible. In accordance with the Act, a maximum of 25% of the total gross contribution in respect of a member can be allocated to a PMSA. If applicable, a medical scheme’s </w:t>
      </w:r>
      <w:r w:rsidR="00EA3C6A" w:rsidRPr="00F463BC">
        <w:rPr>
          <w:rFonts w:ascii="Arial" w:hAnsi="Arial" w:cs="Arial"/>
          <w:sz w:val="22"/>
          <w:szCs w:val="22"/>
        </w:rPr>
        <w:t>Rule</w:t>
      </w:r>
      <w:r w:rsidRPr="00F463BC">
        <w:rPr>
          <w:rFonts w:ascii="Arial" w:hAnsi="Arial" w:cs="Arial"/>
          <w:sz w:val="22"/>
          <w:szCs w:val="22"/>
        </w:rPr>
        <w:t xml:space="preserve">s will prescribe the allowable percentage that may be allocated per benefit option. While these savings belong to a member, they may only be used for healthcare services as provided for in the scheme’s </w:t>
      </w:r>
      <w:r w:rsidR="00EA3C6A" w:rsidRPr="00F463BC">
        <w:rPr>
          <w:rFonts w:ascii="Arial" w:hAnsi="Arial" w:cs="Arial"/>
          <w:sz w:val="22"/>
          <w:szCs w:val="22"/>
        </w:rPr>
        <w:t>Rule</w:t>
      </w:r>
      <w:r w:rsidRPr="00F463BC">
        <w:rPr>
          <w:rFonts w:ascii="Arial" w:hAnsi="Arial" w:cs="Arial"/>
          <w:sz w:val="22"/>
          <w:szCs w:val="22"/>
        </w:rPr>
        <w:t>s and are only refundable as provided for in Regulation 10. PMSAs may not be utilised to provide for benefits and members’ portions relating to PMBs.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PMSAs constitute trust money as defined in section 1 of the Protection of Funds </w:t>
      </w:r>
      <w:r w:rsidR="00C30E77">
        <w:rPr>
          <w:rFonts w:ascii="Arial" w:hAnsi="Arial" w:cs="Arial"/>
          <w:sz w:val="22"/>
          <w:szCs w:val="22"/>
        </w:rPr>
        <w:t xml:space="preserve">Acts </w:t>
      </w:r>
      <w:r w:rsidRPr="00F463BC">
        <w:rPr>
          <w:rFonts w:ascii="Arial" w:hAnsi="Arial" w:cs="Arial"/>
          <w:sz w:val="22"/>
          <w:szCs w:val="22"/>
        </w:rPr>
        <w:t xml:space="preserve">read together with Regulation 10 to the </w:t>
      </w:r>
      <w:r w:rsidR="00167B03">
        <w:rPr>
          <w:rFonts w:ascii="Arial" w:hAnsi="Arial" w:cs="Arial"/>
          <w:sz w:val="22"/>
          <w:szCs w:val="22"/>
        </w:rPr>
        <w:t xml:space="preserve">Medical Schemes </w:t>
      </w:r>
      <w:r w:rsidRPr="00F463BC">
        <w:rPr>
          <w:rFonts w:ascii="Arial" w:hAnsi="Arial" w:cs="Arial"/>
          <w:sz w:val="22"/>
          <w:szCs w:val="22"/>
        </w:rPr>
        <w:t xml:space="preserve">Act. The board of trustees manages and invests these </w:t>
      </w:r>
      <w:r w:rsidR="00E05AC8" w:rsidRPr="00F463BC">
        <w:rPr>
          <w:rFonts w:ascii="Arial" w:hAnsi="Arial" w:cs="Arial"/>
          <w:sz w:val="22"/>
          <w:szCs w:val="22"/>
        </w:rPr>
        <w:t>monies</w:t>
      </w:r>
      <w:r w:rsidRPr="00F463BC">
        <w:rPr>
          <w:rFonts w:ascii="Arial" w:hAnsi="Arial" w:cs="Arial"/>
          <w:sz w:val="22"/>
          <w:szCs w:val="22"/>
        </w:rPr>
        <w:t xml:space="preserve"> on a member’s behalf. PMSAs must be kept separately from scheme funds in terms of section 4(5) of the Protection of Funds Act.  Interest earned on these funds must be credited to a member’s individual PMSAs. No advances may be paid from the PMSA </w:t>
      </w:r>
      <w:r w:rsidR="00E05AC8" w:rsidRPr="00F463BC">
        <w:rPr>
          <w:rFonts w:ascii="Arial" w:hAnsi="Arial" w:cs="Arial"/>
          <w:sz w:val="22"/>
          <w:szCs w:val="22"/>
        </w:rPr>
        <w:t>monies</w:t>
      </w:r>
      <w:r w:rsidRPr="00F463BC">
        <w:rPr>
          <w:rFonts w:ascii="Arial" w:hAnsi="Arial" w:cs="Arial"/>
          <w:sz w:val="22"/>
          <w:szCs w:val="22"/>
        </w:rPr>
        <w:t>.</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Unexpended savings at the end of the accounting period are carried forward to meet future expenses for which the members are responsible. The savings plan liability represents the savings plan contributions which are a deposit component of the insurance contracts.</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Investments</w:t>
      </w:r>
    </w:p>
    <w:p w:rsidR="00753A17" w:rsidRPr="00F463BC" w:rsidRDefault="00753A17"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 medical scheme shall have such assets in the particular kinds or categories as may be prescribed in section 35 read together with Regulation 30 and Annexure B of the Regulations. Annexure B of the Regulations states that a medical scheme should demonstrate on a “look-through” basis that assets such as collective investment schemes, managed funds and investment insurance policies were not utilised to circumvent the limitations of these Regulations.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Trustees of a medical scheme may choose to have some or all of a scheme’s assets invested in a range of products, for example, deposits, securities, immovable properties, unit trusts, linked policies etc.</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These investments may either be through direct ownership (where the scheme invests directly with the investee or makes investments through a broker) or through indirect ownership (where the scheme invests through an asset manager in linked policies).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 xml:space="preserve">In terms of the Protection of Funds Act, PMSA </w:t>
      </w:r>
      <w:r w:rsidR="00E05AC8" w:rsidRPr="00F463BC">
        <w:rPr>
          <w:rFonts w:ascii="Arial" w:hAnsi="Arial" w:cs="Arial"/>
          <w:sz w:val="22"/>
          <w:szCs w:val="22"/>
        </w:rPr>
        <w:t>monies</w:t>
      </w:r>
      <w:r w:rsidRPr="00F463BC">
        <w:rPr>
          <w:rFonts w:ascii="Arial" w:hAnsi="Arial" w:cs="Arial"/>
          <w:sz w:val="22"/>
          <w:szCs w:val="22"/>
        </w:rPr>
        <w:t xml:space="preserve"> should be separately invested from scheme assets. Circular 38 of 2011</w:t>
      </w:r>
      <w:r w:rsidR="00294B85" w:rsidRPr="00F463BC">
        <w:rPr>
          <w:rStyle w:val="FootnoteReference"/>
          <w:rFonts w:ascii="Arial" w:hAnsi="Arial" w:cs="Arial"/>
          <w:sz w:val="22"/>
          <w:szCs w:val="22"/>
        </w:rPr>
        <w:footnoteReference w:id="54"/>
      </w:r>
      <w:r w:rsidRPr="00F463BC">
        <w:rPr>
          <w:rFonts w:ascii="Arial" w:hAnsi="Arial" w:cs="Arial"/>
          <w:sz w:val="22"/>
          <w:szCs w:val="22"/>
        </w:rPr>
        <w:t xml:space="preserve"> clarified that Annexure B restrictions are not applicable to PMSA trust investments. However, as the nature of the PMSA trust liability is short term, the funds may only be invested in bank deposits and call accounts or instruments with similar risk and liquidity characteristics.</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Solvency</w:t>
      </w:r>
    </w:p>
    <w:p w:rsidR="00753A17" w:rsidRPr="00362A53"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medical scheme is required to maintain minimum accumulated funds expressed as a percentage of gross annual contributions, which may not be less than 25%. New schemes are, however, subject to the phase-in periods as prescribed in Regulation 29(3A). A medical scheme that for a period of 90 days fails to meet the minimum accumulated funds must notify the Registrar in writing of this failure, and must provide information relating to the nature and cause of the failure and the course of action </w:t>
      </w:r>
      <w:r w:rsidRPr="00362A53">
        <w:rPr>
          <w:rFonts w:ascii="Arial" w:hAnsi="Arial" w:cs="Arial"/>
          <w:sz w:val="22"/>
          <w:szCs w:val="22"/>
        </w:rPr>
        <w:t>being adopted to ensure compliance with the Regulation.</w:t>
      </w:r>
      <w:r w:rsidR="00343D75" w:rsidRPr="00362A53">
        <w:rPr>
          <w:rFonts w:ascii="Arial" w:hAnsi="Arial" w:cs="Arial"/>
          <w:sz w:val="22"/>
          <w:szCs w:val="22"/>
        </w:rPr>
        <w:t xml:space="preserve"> Refer to paragraphs </w:t>
      </w:r>
      <w:r w:rsidR="00CD6DEC" w:rsidRPr="00E753ED">
        <w:rPr>
          <w:rFonts w:ascii="Arial" w:hAnsi="Arial" w:cs="Arial"/>
          <w:sz w:val="22"/>
          <w:szCs w:val="22"/>
        </w:rPr>
        <w:t>9</w:t>
      </w:r>
      <w:r w:rsidR="00362A53" w:rsidRPr="00E753ED">
        <w:rPr>
          <w:rFonts w:ascii="Arial" w:hAnsi="Arial" w:cs="Arial"/>
          <w:sz w:val="22"/>
          <w:szCs w:val="22"/>
        </w:rPr>
        <w:t>2</w:t>
      </w:r>
      <w:r w:rsidR="00343D75" w:rsidRPr="00E753ED">
        <w:rPr>
          <w:rFonts w:ascii="Arial" w:hAnsi="Arial" w:cs="Arial"/>
          <w:sz w:val="22"/>
          <w:szCs w:val="22"/>
        </w:rPr>
        <w:t xml:space="preserve"> to </w:t>
      </w:r>
      <w:r w:rsidR="00CD6DEC" w:rsidRPr="00E753ED">
        <w:rPr>
          <w:rFonts w:ascii="Arial" w:hAnsi="Arial" w:cs="Arial"/>
          <w:sz w:val="22"/>
          <w:szCs w:val="22"/>
        </w:rPr>
        <w:t>9</w:t>
      </w:r>
      <w:r w:rsidR="00362A53" w:rsidRPr="00E753ED">
        <w:rPr>
          <w:rFonts w:ascii="Arial" w:hAnsi="Arial" w:cs="Arial"/>
          <w:sz w:val="22"/>
          <w:szCs w:val="22"/>
        </w:rPr>
        <w:t>6</w:t>
      </w:r>
      <w:r w:rsidR="00D47C65" w:rsidRPr="00362A53">
        <w:rPr>
          <w:rFonts w:ascii="Arial" w:hAnsi="Arial" w:cs="Arial"/>
          <w:sz w:val="22"/>
          <w:szCs w:val="22"/>
        </w:rPr>
        <w:t xml:space="preserve"> of this Guide.</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Service organisations</w:t>
      </w:r>
      <w:r w:rsidRPr="00F463BC">
        <w:rPr>
          <w:rFonts w:ascii="Arial" w:hAnsi="Arial" w:cs="Arial"/>
          <w:b/>
          <w:vertAlign w:val="superscript"/>
        </w:rPr>
        <w:footnoteReference w:id="55"/>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different service organisations within a medical scheme environment include, but are not limited to, the following:</w:t>
      </w:r>
    </w:p>
    <w:p w:rsidR="00753A17" w:rsidRPr="00F463BC" w:rsidRDefault="00753A17" w:rsidP="00B82F08">
      <w:pPr>
        <w:pStyle w:val="Bulletsa"/>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Administrators</w:t>
      </w:r>
      <w:r w:rsidR="00D47C65">
        <w:rPr>
          <w:rFonts w:ascii="Arial" w:hAnsi="Arial" w:cs="Arial"/>
          <w:sz w:val="22"/>
          <w:szCs w:val="22"/>
        </w:rPr>
        <w:t>;</w:t>
      </w:r>
    </w:p>
    <w:p w:rsidR="00753A17" w:rsidRPr="00F463BC" w:rsidRDefault="00753A17" w:rsidP="00B82F08">
      <w:pPr>
        <w:pStyle w:val="Bulletsa"/>
        <w:keepNext/>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Managed healthcare organisations</w:t>
      </w:r>
      <w:r w:rsidR="00D47C65">
        <w:rPr>
          <w:rFonts w:ascii="Arial" w:hAnsi="Arial" w:cs="Arial"/>
          <w:sz w:val="22"/>
          <w:szCs w:val="22"/>
        </w:rPr>
        <w:t>;</w:t>
      </w:r>
    </w:p>
    <w:p w:rsidR="00753A17" w:rsidRPr="00F463BC" w:rsidRDefault="00753A17" w:rsidP="00B82F08">
      <w:pPr>
        <w:pStyle w:val="Bulletsa"/>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Designated service providers</w:t>
      </w:r>
      <w:r w:rsidR="00D47C65">
        <w:rPr>
          <w:rFonts w:ascii="Arial" w:hAnsi="Arial" w:cs="Arial"/>
          <w:sz w:val="22"/>
          <w:szCs w:val="22"/>
        </w:rPr>
        <w:t>;</w:t>
      </w:r>
    </w:p>
    <w:p w:rsidR="00753A17" w:rsidRPr="00F463BC" w:rsidRDefault="00753A17" w:rsidP="00B82F08">
      <w:pPr>
        <w:pStyle w:val="Bulletsa"/>
        <w:keepNext/>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Investment managers</w:t>
      </w:r>
      <w:r w:rsidR="00D47C65">
        <w:rPr>
          <w:rFonts w:ascii="Arial" w:hAnsi="Arial" w:cs="Arial"/>
          <w:sz w:val="22"/>
          <w:szCs w:val="22"/>
        </w:rPr>
        <w:t>; and</w:t>
      </w:r>
    </w:p>
    <w:p w:rsidR="00753A17" w:rsidRPr="00F463BC" w:rsidRDefault="00753A17" w:rsidP="00B82F08">
      <w:pPr>
        <w:pStyle w:val="Bulletsa"/>
        <w:keepNext/>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Electronic claims clearing houses</w:t>
      </w:r>
      <w:r w:rsidR="00D47C65">
        <w:rPr>
          <w:rFonts w:ascii="Arial" w:hAnsi="Arial" w:cs="Arial"/>
          <w:sz w:val="22"/>
          <w:szCs w:val="22"/>
        </w:rPr>
        <w:t>.</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Service level agreements </w:t>
      </w:r>
      <w:r w:rsidR="00D47C65">
        <w:rPr>
          <w:rFonts w:ascii="Arial" w:hAnsi="Arial" w:cs="Arial"/>
          <w:sz w:val="22"/>
          <w:szCs w:val="22"/>
        </w:rPr>
        <w:t>should</w:t>
      </w:r>
      <w:r w:rsidRPr="00F463BC">
        <w:rPr>
          <w:rFonts w:ascii="Arial" w:hAnsi="Arial" w:cs="Arial"/>
          <w:sz w:val="22"/>
          <w:szCs w:val="22"/>
        </w:rPr>
        <w:t xml:space="preserve"> be in place to ensure appropriate controls are in place at the service organisations.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r w:rsidR="00294B85" w:rsidRPr="00F463BC">
        <w:rPr>
          <w:rFonts w:ascii="Arial" w:hAnsi="Arial" w:cs="Arial"/>
          <w:sz w:val="22"/>
          <w:szCs w:val="22"/>
        </w:rPr>
        <w:t xml:space="preserve">the section </w:t>
      </w:r>
      <w:hyperlink w:anchor="_Part_F_–" w:history="1">
        <w:r w:rsidR="00294B85" w:rsidRPr="00F463BC">
          <w:rPr>
            <w:rStyle w:val="Hyperlink"/>
            <w:rFonts w:ascii="Arial" w:hAnsi="Arial" w:cs="Arial"/>
            <w:sz w:val="22"/>
            <w:szCs w:val="22"/>
          </w:rPr>
          <w:t>Service organisations</w:t>
        </w:r>
      </w:hyperlink>
      <w:r w:rsidRPr="00F463BC">
        <w:rPr>
          <w:rFonts w:ascii="Arial" w:hAnsi="Arial" w:cs="Arial"/>
          <w:sz w:val="22"/>
          <w:szCs w:val="22"/>
        </w:rPr>
        <w:t>, for guidance on service organisations.</w:t>
      </w:r>
    </w:p>
    <w:p w:rsidR="00707681" w:rsidRPr="00944A95" w:rsidRDefault="00707681" w:rsidP="00B82F08">
      <w:pPr>
        <w:spacing w:before="0" w:line="271" w:lineRule="auto"/>
        <w:rPr>
          <w:rFonts w:ascii="Arial" w:hAnsi="Arial" w:cs="Arial"/>
          <w:b/>
        </w:rPr>
        <w:sectPr w:rsidR="00707681" w:rsidRPr="00944A95" w:rsidSect="001B129E">
          <w:headerReference w:type="default" r:id="rId19"/>
          <w:type w:val="continuous"/>
          <w:pgSz w:w="11909" w:h="16834" w:code="9"/>
          <w:pgMar w:top="1440" w:right="1440" w:bottom="1440" w:left="1440" w:header="720" w:footer="720" w:gutter="0"/>
          <w:cols w:space="720"/>
          <w:noEndnote/>
          <w:docGrid w:linePitch="326"/>
        </w:sectPr>
      </w:pPr>
    </w:p>
    <w:p w:rsidR="007F00F3" w:rsidRPr="00F463BC" w:rsidRDefault="007F00F3" w:rsidP="00B82F08">
      <w:pPr>
        <w:pStyle w:val="Heading1"/>
        <w:spacing w:line="271" w:lineRule="auto"/>
      </w:pPr>
      <w:bookmarkStart w:id="199" w:name="_Appendix_3_–_1"/>
      <w:bookmarkStart w:id="200" w:name="_Toc455582237"/>
      <w:bookmarkEnd w:id="199"/>
      <w:r w:rsidRPr="00F463BC">
        <w:lastRenderedPageBreak/>
        <w:t xml:space="preserve">Appendix </w:t>
      </w:r>
      <w:r w:rsidR="00F65104" w:rsidRPr="00F463BC">
        <w:t>3</w:t>
      </w:r>
      <w:r w:rsidRPr="00F463BC">
        <w:t xml:space="preserve"> – </w:t>
      </w:r>
      <w:r w:rsidR="00AB6F62" w:rsidRPr="00F463BC">
        <w:t xml:space="preserve">Extracts from </w:t>
      </w:r>
      <w:r w:rsidR="006E522B" w:rsidRPr="00F463BC">
        <w:t xml:space="preserve">and commentary on </w:t>
      </w:r>
      <w:r w:rsidR="00AB6F62" w:rsidRPr="00F463BC">
        <w:t>the Medical Schemes Act</w:t>
      </w:r>
      <w:bookmarkEnd w:id="184"/>
      <w:bookmarkEnd w:id="185"/>
      <w:r w:rsidR="0040575F" w:rsidRPr="00F463BC">
        <w:t xml:space="preserve"> and </w:t>
      </w:r>
      <w:r w:rsidR="00D4343E">
        <w:t xml:space="preserve">related </w:t>
      </w:r>
      <w:r w:rsidR="0040575F" w:rsidRPr="00F463BC">
        <w:t>Regulations</w:t>
      </w:r>
      <w:bookmarkEnd w:id="186"/>
      <w:bookmarkEnd w:id="191"/>
      <w:bookmarkEnd w:id="192"/>
      <w:bookmarkEnd w:id="193"/>
      <w:bookmarkEnd w:id="194"/>
      <w:bookmarkEnd w:id="195"/>
      <w:bookmarkEnd w:id="200"/>
    </w:p>
    <w:p w:rsidR="00F00038" w:rsidRPr="00F463BC" w:rsidRDefault="00F00038" w:rsidP="00B82F08">
      <w:pPr>
        <w:pStyle w:val="Bulletnrs"/>
        <w:numPr>
          <w:ilvl w:val="0"/>
          <w:numId w:val="0"/>
        </w:numPr>
        <w:spacing w:before="0" w:line="271" w:lineRule="auto"/>
        <w:rPr>
          <w:rFonts w:ascii="Arial" w:hAnsi="Arial" w:cs="Arial"/>
          <w:b/>
          <w:sz w:val="22"/>
          <w:szCs w:val="22"/>
        </w:rPr>
      </w:pPr>
      <w:bookmarkStart w:id="201" w:name="_Toc300572979"/>
      <w:bookmarkStart w:id="202" w:name="_Toc304897946"/>
      <w:bookmarkStart w:id="203" w:name="_Toc305083374"/>
    </w:p>
    <w:p w:rsidR="00585F9F" w:rsidRPr="00F463BC" w:rsidRDefault="00585F9F" w:rsidP="00B82F08">
      <w:pPr>
        <w:pStyle w:val="Bulletnrs"/>
        <w:numPr>
          <w:ilvl w:val="0"/>
          <w:numId w:val="0"/>
        </w:numPr>
        <w:spacing w:before="0" w:line="271" w:lineRule="auto"/>
        <w:rPr>
          <w:rFonts w:ascii="Arial" w:hAnsi="Arial" w:cs="Arial"/>
          <w:i/>
          <w:sz w:val="22"/>
          <w:szCs w:val="22"/>
        </w:rPr>
      </w:pPr>
      <w:r w:rsidRPr="00F463BC">
        <w:rPr>
          <w:rFonts w:ascii="Arial" w:hAnsi="Arial" w:cs="Arial"/>
          <w:i/>
          <w:sz w:val="22"/>
          <w:szCs w:val="22"/>
        </w:rPr>
        <w:t>The legislation is correct to the date that this Guide was issued. For legislative changes after the date of issue of this Guide, refer to the website of the Council.</w:t>
      </w:r>
    </w:p>
    <w:p w:rsidR="00585F9F" w:rsidRPr="00F463BC" w:rsidRDefault="00585F9F" w:rsidP="00B82F08">
      <w:pPr>
        <w:pStyle w:val="Bulletnrs"/>
        <w:numPr>
          <w:ilvl w:val="0"/>
          <w:numId w:val="0"/>
        </w:numPr>
        <w:spacing w:before="0" w:line="271" w:lineRule="auto"/>
        <w:rPr>
          <w:rFonts w:ascii="Arial" w:hAnsi="Arial" w:cs="Arial"/>
          <w:b/>
          <w:sz w:val="22"/>
          <w:szCs w:val="22"/>
        </w:rPr>
      </w:pPr>
    </w:p>
    <w:p w:rsidR="00F00038" w:rsidRPr="00F463BC" w:rsidRDefault="00F00038" w:rsidP="00B82F08">
      <w:pPr>
        <w:pStyle w:val="Bulletnrs"/>
        <w:numPr>
          <w:ilvl w:val="0"/>
          <w:numId w:val="0"/>
        </w:numPr>
        <w:spacing w:before="0" w:line="271" w:lineRule="auto"/>
        <w:rPr>
          <w:rFonts w:ascii="Arial" w:hAnsi="Arial" w:cs="Arial"/>
          <w:sz w:val="22"/>
          <w:szCs w:val="22"/>
        </w:rPr>
      </w:pPr>
      <w:r w:rsidRPr="00F463BC">
        <w:rPr>
          <w:rFonts w:ascii="Arial" w:hAnsi="Arial" w:cs="Arial"/>
          <w:sz w:val="22"/>
          <w:szCs w:val="22"/>
        </w:rPr>
        <w:t xml:space="preserve">This appendix contains a summary of and therefore highlights the sections of the Act and </w:t>
      </w:r>
      <w:r w:rsidR="00D4343E">
        <w:rPr>
          <w:rFonts w:ascii="Arial" w:hAnsi="Arial" w:cs="Arial"/>
          <w:sz w:val="22"/>
          <w:szCs w:val="22"/>
        </w:rPr>
        <w:t xml:space="preserve">related </w:t>
      </w:r>
      <w:r w:rsidRPr="00F463BC">
        <w:rPr>
          <w:rFonts w:ascii="Arial" w:hAnsi="Arial" w:cs="Arial"/>
          <w:sz w:val="22"/>
          <w:szCs w:val="22"/>
        </w:rPr>
        <w:t>Regulations most often referred to during the course of an audit.</w:t>
      </w:r>
      <w:r w:rsidR="00DA2136">
        <w:rPr>
          <w:rFonts w:ascii="Arial" w:hAnsi="Arial" w:cs="Arial"/>
          <w:sz w:val="22"/>
          <w:szCs w:val="22"/>
        </w:rPr>
        <w:t xml:space="preserve"> However, all </w:t>
      </w:r>
      <w:r w:rsidR="004B24AB">
        <w:rPr>
          <w:rFonts w:ascii="Arial" w:hAnsi="Arial" w:cs="Arial"/>
          <w:sz w:val="22"/>
          <w:szCs w:val="22"/>
        </w:rPr>
        <w:t>sections/aspects of the Act and related Regulations may be relevant to a medical scheme and its auditors, depending on the circumstances.</w:t>
      </w:r>
    </w:p>
    <w:p w:rsidR="002B0507" w:rsidRPr="00F463BC" w:rsidRDefault="002B0507" w:rsidP="00B82F08">
      <w:pPr>
        <w:pStyle w:val="Bulletnrs"/>
        <w:numPr>
          <w:ilvl w:val="0"/>
          <w:numId w:val="0"/>
        </w:numPr>
        <w:spacing w:before="0" w:line="271" w:lineRule="auto"/>
        <w:rPr>
          <w:rFonts w:ascii="Arial" w:hAnsi="Arial" w:cs="Arial"/>
          <w:sz w:val="22"/>
          <w:szCs w:val="22"/>
        </w:rPr>
      </w:pPr>
    </w:p>
    <w:p w:rsidR="007F00F3" w:rsidRPr="00F463BC" w:rsidRDefault="001518CD" w:rsidP="00B82F08">
      <w:pPr>
        <w:keepNext/>
        <w:spacing w:before="0" w:line="271" w:lineRule="auto"/>
        <w:rPr>
          <w:rFonts w:ascii="Arial" w:hAnsi="Arial" w:cs="Arial"/>
          <w:b/>
        </w:rPr>
      </w:pPr>
      <w:r w:rsidRPr="00F463BC">
        <w:rPr>
          <w:rFonts w:ascii="Arial" w:hAnsi="Arial" w:cs="Arial"/>
          <w:b/>
        </w:rPr>
        <w:t>The Act</w:t>
      </w:r>
      <w:bookmarkEnd w:id="201"/>
      <w:bookmarkEnd w:id="202"/>
      <w:bookmarkEnd w:id="203"/>
    </w:p>
    <w:p w:rsidR="007F00F3" w:rsidRPr="00F463BC" w:rsidRDefault="007F00F3" w:rsidP="00B82F08">
      <w:pPr>
        <w:pStyle w:val="Bulletnrs"/>
        <w:numPr>
          <w:ilvl w:val="0"/>
          <w:numId w:val="11"/>
        </w:numPr>
        <w:spacing w:before="0" w:line="271" w:lineRule="auto"/>
        <w:rPr>
          <w:rFonts w:ascii="Arial" w:hAnsi="Arial" w:cs="Arial"/>
          <w:sz w:val="22"/>
          <w:szCs w:val="22"/>
        </w:rPr>
      </w:pPr>
      <w:r w:rsidRPr="00F463BC">
        <w:rPr>
          <w:rFonts w:ascii="Arial" w:hAnsi="Arial" w:cs="Arial"/>
          <w:sz w:val="22"/>
          <w:szCs w:val="22"/>
        </w:rPr>
        <w:t xml:space="preserve">Section 20 of the Act places a legal obligation on all organisations carrying on business of a medical scheme to apply to the Registrar for registration under the Act. Non-registration of such a business will constitute a </w:t>
      </w:r>
      <w:r w:rsidR="00BD3D54" w:rsidRPr="00F463BC">
        <w:rPr>
          <w:rFonts w:ascii="Arial" w:hAnsi="Arial" w:cs="Arial"/>
          <w:sz w:val="22"/>
          <w:szCs w:val="22"/>
        </w:rPr>
        <w:t xml:space="preserve">reportable </w:t>
      </w:r>
      <w:r w:rsidRPr="00F463BC">
        <w:rPr>
          <w:rFonts w:ascii="Arial" w:hAnsi="Arial" w:cs="Arial"/>
          <w:sz w:val="22"/>
          <w:szCs w:val="22"/>
        </w:rPr>
        <w:t>irregularity</w:t>
      </w:r>
      <w:r w:rsidR="00BD3D54" w:rsidRPr="00F463BC">
        <w:rPr>
          <w:rFonts w:ascii="Arial" w:hAnsi="Arial" w:cs="Arial"/>
          <w:sz w:val="22"/>
          <w:szCs w:val="22"/>
        </w:rPr>
        <w:t xml:space="preserve"> as defined in the Auditing Professions Act, 2005,</w:t>
      </w:r>
      <w:r w:rsidRPr="00F463BC">
        <w:rPr>
          <w:rFonts w:ascii="Arial" w:hAnsi="Arial" w:cs="Arial"/>
          <w:sz w:val="22"/>
          <w:szCs w:val="22"/>
        </w:rPr>
        <w:t xml:space="preserve"> and is prohibited in terms of section 20 of the Act.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24 gives the Registrar the power to register medical schemes, with the concurrence of the Council, and to impose such terms and conditions that </w:t>
      </w:r>
      <w:r w:rsidR="00892C4B" w:rsidRPr="00F463BC">
        <w:rPr>
          <w:rFonts w:ascii="Arial" w:hAnsi="Arial" w:cs="Arial"/>
          <w:sz w:val="22"/>
          <w:szCs w:val="22"/>
        </w:rPr>
        <w:t>are</w:t>
      </w:r>
      <w:r w:rsidRPr="00F463BC">
        <w:rPr>
          <w:rFonts w:ascii="Arial" w:hAnsi="Arial" w:cs="Arial"/>
          <w:sz w:val="22"/>
          <w:szCs w:val="22"/>
        </w:rPr>
        <w:t xml:space="preserve"> deemed appropriate.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27 of the Act gives the Registrar the power to cancel or suspend the registration of a medical scheme if, after investigation, the Council is of the opinion that such registration should be so cancelled or suspended.</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Sections 20(2) to 20(7) of the Act require certain conditions to be adhered to in respect of commercial reinsurance contracts entered into by a medical scheme.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26(1)(c) of the Act requires a bank account to be established under the scheme’s direct control into which shall be paid every amount received as subscription or contribution paid by or in respect of a member, and received as income, discount, interest, accrual or payment of whatever kind. </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26(4) of the Act sets out the items that may be debited to a scheme’s bank account.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26(5) prohibits the payment of dividends, rebates and bonuses.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26(6) of the Act states that no person other than an employer shall receive, hold or in any manner deal with the subscription or contribution that is payable to a medical scheme by, or on behalf of a member of that medical scheme.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26(7) of the Act requires that all subscriptions or contributions shall be paid directly to a medical scheme not later than three days after payment thereof becoming due.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lastRenderedPageBreak/>
        <w:t xml:space="preserve">Section 26(11) prohibits medical schemes </w:t>
      </w:r>
      <w:r w:rsidR="006C2AC1" w:rsidRPr="00F463BC">
        <w:rPr>
          <w:rFonts w:ascii="Arial" w:hAnsi="Arial" w:cs="Arial"/>
          <w:sz w:val="22"/>
          <w:szCs w:val="22"/>
        </w:rPr>
        <w:t>from</w:t>
      </w:r>
      <w:r w:rsidRPr="00F463BC">
        <w:rPr>
          <w:rFonts w:ascii="Arial" w:hAnsi="Arial" w:cs="Arial"/>
          <w:sz w:val="22"/>
          <w:szCs w:val="22"/>
        </w:rPr>
        <w:t xml:space="preserve"> carry</w:t>
      </w:r>
      <w:r w:rsidR="006C2AC1" w:rsidRPr="00F463BC">
        <w:rPr>
          <w:rFonts w:ascii="Arial" w:hAnsi="Arial" w:cs="Arial"/>
          <w:sz w:val="22"/>
          <w:szCs w:val="22"/>
        </w:rPr>
        <w:t>ing</w:t>
      </w:r>
      <w:r w:rsidRPr="00F463BC">
        <w:rPr>
          <w:rFonts w:ascii="Arial" w:hAnsi="Arial" w:cs="Arial"/>
          <w:sz w:val="22"/>
          <w:szCs w:val="22"/>
        </w:rPr>
        <w:t xml:space="preserve"> on any business other than the business of a medical scheme.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29 details the minimum matters for which the scheme’s </w:t>
      </w:r>
      <w:r w:rsidR="00EA3C6A" w:rsidRPr="00F463BC">
        <w:rPr>
          <w:rFonts w:ascii="Arial" w:hAnsi="Arial" w:cs="Arial"/>
          <w:sz w:val="22"/>
          <w:szCs w:val="22"/>
        </w:rPr>
        <w:t>Rule</w:t>
      </w:r>
      <w:r w:rsidRPr="00F463BC">
        <w:rPr>
          <w:rFonts w:ascii="Arial" w:hAnsi="Arial" w:cs="Arial"/>
          <w:sz w:val="22"/>
          <w:szCs w:val="22"/>
        </w:rPr>
        <w:t xml:space="preserve">s must provide. Section 30 continues to detail the general provisions which may be included in the scheme’s </w:t>
      </w:r>
      <w:r w:rsidR="00EA3C6A" w:rsidRPr="00F463BC">
        <w:rPr>
          <w:rFonts w:ascii="Arial" w:hAnsi="Arial" w:cs="Arial"/>
          <w:sz w:val="22"/>
          <w:szCs w:val="22"/>
        </w:rPr>
        <w:t>Rule</w:t>
      </w:r>
      <w:r w:rsidRPr="00F463BC">
        <w:rPr>
          <w:rFonts w:ascii="Arial" w:hAnsi="Arial" w:cs="Arial"/>
          <w:sz w:val="22"/>
          <w:szCs w:val="22"/>
        </w:rPr>
        <w:t xml:space="preserve">s. Sections 31 and 32 provide further information on the amendment of </w:t>
      </w:r>
      <w:r w:rsidR="00EA3C6A" w:rsidRPr="00F463BC">
        <w:rPr>
          <w:rFonts w:ascii="Arial" w:hAnsi="Arial" w:cs="Arial"/>
          <w:sz w:val="22"/>
          <w:szCs w:val="22"/>
        </w:rPr>
        <w:t>Rule</w:t>
      </w:r>
      <w:r w:rsidRPr="00F463BC">
        <w:rPr>
          <w:rFonts w:ascii="Arial" w:hAnsi="Arial" w:cs="Arial"/>
          <w:sz w:val="22"/>
          <w:szCs w:val="22"/>
        </w:rPr>
        <w:t>s and the binding force thereof.</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29A of the Act stipulates the conditions under which a medical scheme may apply general and specific waiting periods.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33(2) of the Act contains provisions relating to the approval of new benefit options and the conditions that must be addressed to the satisfaction of the Registrar before approval of such benefit options can occur.</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Chapter 7 of the Act contains provisions relating to the financial matters of a medical scheme, covering, inter alia, the following:</w:t>
      </w:r>
    </w:p>
    <w:p w:rsidR="007F00F3" w:rsidRPr="00F463BC" w:rsidRDefault="007F00F3" w:rsidP="00B82F08">
      <w:pPr>
        <w:pStyle w:val="Bulletsa"/>
        <w:numPr>
          <w:ilvl w:val="0"/>
          <w:numId w:val="241"/>
        </w:numPr>
        <w:spacing w:before="0" w:line="271" w:lineRule="auto"/>
        <w:rPr>
          <w:rFonts w:ascii="Arial" w:hAnsi="Arial" w:cs="Arial"/>
          <w:sz w:val="22"/>
          <w:szCs w:val="22"/>
        </w:rPr>
      </w:pPr>
      <w:r w:rsidRPr="00F463BC">
        <w:rPr>
          <w:rFonts w:ascii="Arial" w:hAnsi="Arial" w:cs="Arial"/>
          <w:sz w:val="22"/>
          <w:szCs w:val="22"/>
        </w:rPr>
        <w:t>Financial arrangements (</w:t>
      </w:r>
      <w:r w:rsidR="004C23DA" w:rsidRPr="00F463BC">
        <w:rPr>
          <w:rFonts w:ascii="Arial" w:hAnsi="Arial" w:cs="Arial"/>
          <w:sz w:val="22"/>
          <w:szCs w:val="22"/>
        </w:rPr>
        <w:t>s</w:t>
      </w:r>
      <w:r w:rsidRPr="00F463BC">
        <w:rPr>
          <w:rFonts w:ascii="Arial" w:hAnsi="Arial" w:cs="Arial"/>
          <w:sz w:val="22"/>
          <w:szCs w:val="22"/>
        </w:rPr>
        <w:t>ection 35);</w:t>
      </w:r>
    </w:p>
    <w:p w:rsidR="007F00F3" w:rsidRPr="00F463BC" w:rsidRDefault="007F00F3" w:rsidP="00B82F08">
      <w:pPr>
        <w:numPr>
          <w:ilvl w:val="0"/>
          <w:numId w:val="140"/>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maintain its business in a financially sound condition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ections 35(1) and 35(2));</w:t>
      </w:r>
    </w:p>
    <w:p w:rsidR="007F00F3" w:rsidRPr="00F463BC" w:rsidRDefault="007F00F3" w:rsidP="00B82F08">
      <w:pPr>
        <w:numPr>
          <w:ilvl w:val="0"/>
          <w:numId w:val="140"/>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encumber its assets, allow it assets to be held on its behalf, borrow money or give security to obligations between other persons without the prior approval of, or subject to directives issued by, the Council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35(6)); and</w:t>
      </w:r>
    </w:p>
    <w:p w:rsidR="007F00F3" w:rsidRPr="00F463BC" w:rsidRDefault="007F00F3" w:rsidP="00B82F08">
      <w:pPr>
        <w:numPr>
          <w:ilvl w:val="0"/>
          <w:numId w:val="140"/>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invest any of its assets in the business of, or grant loans to, an employer that participates in the medical scheme, or any administrator or any arrangement associated with the medical scheme, any other medical scheme, any administrator, and any person associated with any of the above mentioned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35(8)).</w:t>
      </w:r>
    </w:p>
    <w:p w:rsidR="007F00F3" w:rsidRPr="00F463BC" w:rsidRDefault="007F00F3" w:rsidP="00B82F08">
      <w:pPr>
        <w:pStyle w:val="Bulletsa"/>
        <w:numPr>
          <w:ilvl w:val="0"/>
          <w:numId w:val="241"/>
        </w:numPr>
        <w:spacing w:before="0" w:line="271" w:lineRule="auto"/>
        <w:rPr>
          <w:rFonts w:ascii="Arial" w:hAnsi="Arial" w:cs="Arial"/>
          <w:sz w:val="22"/>
          <w:szCs w:val="22"/>
        </w:rPr>
      </w:pPr>
      <w:r w:rsidRPr="00F463BC">
        <w:rPr>
          <w:rFonts w:ascii="Arial" w:hAnsi="Arial" w:cs="Arial"/>
          <w:sz w:val="22"/>
          <w:szCs w:val="22"/>
        </w:rPr>
        <w:t>Auditor and audit committee</w:t>
      </w:r>
    </w:p>
    <w:p w:rsidR="007F00F3" w:rsidRPr="00F463BC" w:rsidRDefault="007F00F3" w:rsidP="00B82F08">
      <w:pPr>
        <w:numPr>
          <w:ilvl w:val="0"/>
          <w:numId w:val="142"/>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The appointment of the auditor and the audit committee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36).</w:t>
      </w:r>
      <w:r w:rsidRPr="00F463BC">
        <w:rPr>
          <w:rFonts w:ascii="Arial" w:hAnsi="Arial" w:cs="Arial"/>
          <w:color w:val="000000"/>
          <w:sz w:val="22"/>
          <w:szCs w:val="22"/>
          <w:vertAlign w:val="superscript"/>
          <w:lang w:val="en-US" w:eastAsia="en-US"/>
        </w:rPr>
        <w:footnoteReference w:id="56"/>
      </w:r>
      <w:r w:rsidRPr="00F463BC">
        <w:rPr>
          <w:rFonts w:ascii="Arial" w:hAnsi="Arial" w:cs="Arial"/>
          <w:color w:val="000000"/>
          <w:sz w:val="22"/>
          <w:szCs w:val="22"/>
          <w:lang w:val="en-US" w:eastAsia="en-US"/>
        </w:rPr>
        <w:t xml:space="preserve"> </w:t>
      </w:r>
    </w:p>
    <w:p w:rsidR="007F00F3" w:rsidRPr="00AB643A" w:rsidRDefault="007F00F3" w:rsidP="00B82F08">
      <w:pPr>
        <w:pStyle w:val="Bulletsa"/>
        <w:numPr>
          <w:ilvl w:val="0"/>
          <w:numId w:val="241"/>
        </w:numPr>
        <w:spacing w:before="0" w:line="271" w:lineRule="auto"/>
        <w:rPr>
          <w:rFonts w:ascii="Arial" w:hAnsi="Arial" w:cs="Arial"/>
          <w:sz w:val="22"/>
          <w:szCs w:val="22"/>
        </w:rPr>
      </w:pPr>
      <w:r w:rsidRPr="00AB643A">
        <w:rPr>
          <w:rFonts w:ascii="Arial" w:hAnsi="Arial" w:cs="Arial"/>
          <w:sz w:val="22"/>
          <w:szCs w:val="22"/>
        </w:rPr>
        <w:t>Annual financial statements</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Section 37(1) requires the trustees to prepare the annual financial statements and to </w:t>
      </w:r>
      <w:r w:rsidR="002C2A80" w:rsidRPr="00F463BC">
        <w:rPr>
          <w:rFonts w:ascii="Arial" w:hAnsi="Arial" w:cs="Arial"/>
          <w:color w:val="000000"/>
          <w:sz w:val="22"/>
          <w:szCs w:val="22"/>
          <w:lang w:val="en-US" w:eastAsia="en-US"/>
        </w:rPr>
        <w:t>submit these together with the report of the board of t</w:t>
      </w:r>
      <w:r w:rsidRPr="00F463BC">
        <w:rPr>
          <w:rFonts w:ascii="Arial" w:hAnsi="Arial" w:cs="Arial"/>
          <w:color w:val="000000"/>
          <w:sz w:val="22"/>
          <w:szCs w:val="22"/>
          <w:lang w:val="en-US" w:eastAsia="en-US"/>
        </w:rPr>
        <w:t xml:space="preserve">rustees to the Registrar by 30 April each year; </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 37(2) specif</w:t>
      </w:r>
      <w:r w:rsidR="001518CD" w:rsidRPr="00F463BC">
        <w:rPr>
          <w:rFonts w:ascii="Arial" w:hAnsi="Arial" w:cs="Arial"/>
          <w:color w:val="000000"/>
          <w:sz w:val="22"/>
          <w:szCs w:val="22"/>
          <w:lang w:val="en-US" w:eastAsia="en-US"/>
        </w:rPr>
        <w:t>ies</w:t>
      </w:r>
      <w:r w:rsidRPr="00F463BC">
        <w:rPr>
          <w:rFonts w:ascii="Arial" w:hAnsi="Arial" w:cs="Arial"/>
          <w:color w:val="000000"/>
          <w:sz w:val="22"/>
          <w:szCs w:val="22"/>
          <w:lang w:val="en-US" w:eastAsia="en-US"/>
        </w:rPr>
        <w:t xml:space="preserve"> what statements/reports are considered to form part of the annual financial statements;</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Sections 37(4) and (5) detail the requirements in respect of the accounting framework and further information that needs to be included in the annual financial statements; and</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The disclosure of financial information in respect of every benefit option offered by the medical scheme is required in terms of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37(4)(d). This is required to be audited in terms of Circular 4 of 2008</w:t>
      </w:r>
      <w:r w:rsidR="009E2195" w:rsidRPr="00F463BC">
        <w:rPr>
          <w:rStyle w:val="FootnoteReference"/>
          <w:rFonts w:ascii="Arial" w:hAnsi="Arial" w:cs="Arial"/>
          <w:color w:val="000000"/>
          <w:sz w:val="22"/>
          <w:szCs w:val="22"/>
          <w:lang w:val="en-US" w:eastAsia="en-US"/>
        </w:rPr>
        <w:footnoteReference w:id="57"/>
      </w:r>
      <w:r w:rsidRPr="00F463BC">
        <w:rPr>
          <w:rFonts w:ascii="Arial" w:hAnsi="Arial" w:cs="Arial"/>
          <w:color w:val="000000"/>
          <w:sz w:val="22"/>
          <w:szCs w:val="22"/>
          <w:lang w:val="en-US" w:eastAsia="en-US"/>
        </w:rPr>
        <w: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44: The Registrar may order an inspection of a medical scheme:</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If he/she is of the opinion that such an inspection will provide evidence of any irregularity or non-compliance with the Act; or</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For purposes of routine monitoring of compliance with the Act by a medical scheme or any other person.</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44(8) provides the Registrar with the power to place restrictions on the administration </w:t>
      </w:r>
      <w:r w:rsidR="008B2EF9" w:rsidRPr="00F463BC">
        <w:rPr>
          <w:rFonts w:ascii="Arial" w:hAnsi="Arial" w:cs="Arial"/>
          <w:sz w:val="22"/>
          <w:szCs w:val="22"/>
        </w:rPr>
        <w:t>expenditure</w:t>
      </w:r>
      <w:r w:rsidRPr="00F463BC">
        <w:rPr>
          <w:rFonts w:ascii="Arial" w:hAnsi="Arial" w:cs="Arial"/>
          <w:sz w:val="22"/>
          <w:szCs w:val="22"/>
        </w:rPr>
        <w:t xml:space="preserve"> of medical schemes.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In terms of </w:t>
      </w:r>
      <w:r w:rsidR="004C23DA" w:rsidRPr="00F463BC">
        <w:rPr>
          <w:rFonts w:ascii="Arial" w:hAnsi="Arial" w:cs="Arial"/>
          <w:sz w:val="22"/>
          <w:szCs w:val="22"/>
        </w:rPr>
        <w:t>s</w:t>
      </w:r>
      <w:r w:rsidRPr="00F463BC">
        <w:rPr>
          <w:rFonts w:ascii="Arial" w:hAnsi="Arial" w:cs="Arial"/>
          <w:sz w:val="22"/>
          <w:szCs w:val="22"/>
        </w:rPr>
        <w:t>ection 51(1) of the Act, the Registrar may, with the consent of the Council, apply to the court for an order for judicial management, curatorship or winding up, in terms of the conditions laid down in the Act.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57 of the Act sets out the duties of the </w:t>
      </w:r>
      <w:r w:rsidR="002C5032" w:rsidRPr="00F463BC">
        <w:rPr>
          <w:rFonts w:ascii="Arial" w:hAnsi="Arial" w:cs="Arial"/>
          <w:sz w:val="22"/>
          <w:szCs w:val="22"/>
        </w:rPr>
        <w:t>board of trustees</w:t>
      </w:r>
      <w:r w:rsidRPr="00F463BC">
        <w:rPr>
          <w:rFonts w:ascii="Arial" w:hAnsi="Arial" w:cs="Arial"/>
          <w:sz w:val="22"/>
          <w:szCs w:val="22"/>
        </w:rPr>
        <w:t>, which are significant, to ensure good governance.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57(4)(f) requires the trustees to take out and maintain an appropriate level of professional indemnity insurance and fidelity guarantee insurance.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59(2) of the Act and Regulation 6 set out the payment periods by the scheme to a member or a supplier of service in the case where an account has been rendered.</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61 of the Act speaks to undesirable business practices.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63(14) of the Act states that the relevant assets and liabilities of the parties to amalgamations shall vest in and become binding upon the amalgamated body, or the relevant assets and liabilities of the party effecting the transfer shall vest in and become binding upon the party to which the transfer is effected. The scheme making the transfer is still responsible for submitting annual financial statements and an annual return for the period to the date of transfer.</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A medical scheme may only compensate a broker in accordance with section 65 of the Act, and Regulation 28, for the introduction or admission of a member to the medical scheme, and the provision of </w:t>
      </w:r>
      <w:r w:rsidR="007662FD" w:rsidRPr="00F463BC">
        <w:rPr>
          <w:rFonts w:ascii="Arial" w:hAnsi="Arial" w:cs="Arial"/>
          <w:sz w:val="22"/>
          <w:szCs w:val="22"/>
        </w:rPr>
        <w:t>on-going</w:t>
      </w:r>
      <w:r w:rsidRPr="00F463BC">
        <w:rPr>
          <w:rFonts w:ascii="Arial" w:hAnsi="Arial" w:cs="Arial"/>
          <w:sz w:val="22"/>
          <w:szCs w:val="22"/>
        </w:rPr>
        <w:t xml:space="preserve"> service or advice to that member.</w:t>
      </w:r>
      <w:r w:rsidRPr="00F463BC">
        <w:rPr>
          <w:rStyle w:val="FootnoteReference"/>
          <w:rFonts w:ascii="Arial" w:hAnsi="Arial" w:cs="Arial"/>
          <w:sz w:val="22"/>
          <w:szCs w:val="22"/>
        </w:rPr>
        <w:footnoteReference w:id="58"/>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66 contains details on offences and penalties.</w:t>
      </w:r>
    </w:p>
    <w:p w:rsidR="003E07F7" w:rsidRPr="00F463BC" w:rsidRDefault="003E07F7" w:rsidP="00B82F08">
      <w:pPr>
        <w:pStyle w:val="Bulletnrs"/>
        <w:numPr>
          <w:ilvl w:val="0"/>
          <w:numId w:val="0"/>
        </w:numPr>
        <w:spacing w:before="0" w:line="271" w:lineRule="auto"/>
        <w:ind w:left="360"/>
        <w:rPr>
          <w:rFonts w:ascii="Arial" w:hAnsi="Arial" w:cs="Arial"/>
          <w:sz w:val="22"/>
          <w:szCs w:val="22"/>
        </w:rPr>
      </w:pPr>
    </w:p>
    <w:p w:rsidR="001518CD" w:rsidRPr="00F463BC" w:rsidRDefault="001518CD" w:rsidP="00B82F08">
      <w:pPr>
        <w:keepNext/>
        <w:spacing w:before="0" w:line="271" w:lineRule="auto"/>
        <w:rPr>
          <w:rFonts w:ascii="Arial" w:hAnsi="Arial" w:cs="Arial"/>
          <w:b/>
        </w:rPr>
      </w:pPr>
      <w:bookmarkStart w:id="204" w:name="_Toc300572980"/>
      <w:bookmarkStart w:id="205" w:name="_Toc304897947"/>
      <w:bookmarkStart w:id="206" w:name="_Toc305083375"/>
      <w:r w:rsidRPr="00F463BC">
        <w:rPr>
          <w:rFonts w:ascii="Arial" w:hAnsi="Arial" w:cs="Arial"/>
          <w:b/>
        </w:rPr>
        <w:lastRenderedPageBreak/>
        <w:t>The Regulations</w:t>
      </w:r>
      <w:bookmarkEnd w:id="204"/>
      <w:bookmarkEnd w:id="205"/>
      <w:bookmarkEnd w:id="206"/>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2(3) states that the minimum number of members required for a medical scheme is 6 000.</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4(4) prohibits ring-fencing.</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6A sets out the requirements for the disclosure of trustees’ remuneration.</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8 and Annexure A provide information on prescribed minimum benefits.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Regulation 9A states that a medical scheme may not provide in its </w:t>
      </w:r>
      <w:r w:rsidR="00EA3C6A" w:rsidRPr="00F463BC">
        <w:rPr>
          <w:rFonts w:ascii="Arial" w:hAnsi="Arial" w:cs="Arial"/>
          <w:sz w:val="22"/>
          <w:szCs w:val="22"/>
        </w:rPr>
        <w:t>Rule</w:t>
      </w:r>
      <w:r w:rsidRPr="00F463BC">
        <w:rPr>
          <w:rFonts w:ascii="Arial" w:hAnsi="Arial" w:cs="Arial"/>
          <w:sz w:val="22"/>
          <w:szCs w:val="22"/>
        </w:rPr>
        <w:t xml:space="preserve">s for the accumulation of unexpended benefits by a beneficiary from one year to the next other than as provided for in the </w:t>
      </w:r>
      <w:r w:rsidR="00C043B4" w:rsidRPr="00F463BC">
        <w:rPr>
          <w:rFonts w:ascii="Arial" w:hAnsi="Arial" w:cs="Arial"/>
          <w:sz w:val="22"/>
          <w:szCs w:val="22"/>
        </w:rPr>
        <w:t>PMSA</w:t>
      </w:r>
      <w:r w:rsidRPr="00F463BC">
        <w:rPr>
          <w:rFonts w:ascii="Arial" w:hAnsi="Arial" w:cs="Arial"/>
          <w:sz w:val="22"/>
          <w:szCs w:val="22"/>
        </w:rPr>
        <w:t xml:space="preserve">. </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10 stipulates the requirements in respect of savings accounts:</w:t>
      </w:r>
    </w:p>
    <w:p w:rsidR="007F00F3" w:rsidRPr="00F463BC" w:rsidRDefault="007F00F3" w:rsidP="00B82F08">
      <w:pPr>
        <w:pStyle w:val="Bulletsa"/>
        <w:numPr>
          <w:ilvl w:val="0"/>
          <w:numId w:val="12"/>
        </w:numPr>
        <w:spacing w:before="0" w:line="271" w:lineRule="auto"/>
        <w:rPr>
          <w:rFonts w:ascii="Arial" w:hAnsi="Arial" w:cs="Arial"/>
          <w:sz w:val="22"/>
          <w:szCs w:val="22"/>
        </w:rPr>
      </w:pPr>
      <w:r w:rsidRPr="00F463BC">
        <w:rPr>
          <w:rFonts w:ascii="Arial" w:hAnsi="Arial" w:cs="Arial"/>
          <w:sz w:val="22"/>
          <w:szCs w:val="22"/>
        </w:rPr>
        <w:t xml:space="preserve">Regulation 10(1) limits the amount of the total gross contribution that is allocated to the member’s </w:t>
      </w:r>
      <w:r w:rsidR="00C043B4" w:rsidRPr="00F463BC">
        <w:rPr>
          <w:rFonts w:ascii="Arial" w:hAnsi="Arial" w:cs="Arial"/>
          <w:sz w:val="22"/>
          <w:szCs w:val="22"/>
        </w:rPr>
        <w:t>PMSA</w:t>
      </w:r>
      <w:r w:rsidRPr="00F463BC">
        <w:rPr>
          <w:rFonts w:ascii="Arial" w:hAnsi="Arial" w:cs="Arial"/>
          <w:sz w:val="22"/>
          <w:szCs w:val="22"/>
        </w:rPr>
        <w:t xml:space="preserve"> to 25%;</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 xml:space="preserve">Regulation 10(4) states that credit balances in a member’s </w:t>
      </w:r>
      <w:r w:rsidR="00C043B4" w:rsidRPr="00F463BC">
        <w:rPr>
          <w:rFonts w:ascii="Arial" w:hAnsi="Arial" w:cs="Arial"/>
          <w:sz w:val="22"/>
          <w:szCs w:val="22"/>
        </w:rPr>
        <w:t>PMSA</w:t>
      </w:r>
      <w:r w:rsidRPr="00F463BC">
        <w:rPr>
          <w:rFonts w:ascii="Arial" w:hAnsi="Arial" w:cs="Arial"/>
          <w:sz w:val="22"/>
          <w:szCs w:val="22"/>
        </w:rPr>
        <w:t xml:space="preserve"> shall be transferred to another medical scheme or benefit option with a </w:t>
      </w:r>
      <w:r w:rsidR="00C043B4" w:rsidRPr="00F463BC">
        <w:rPr>
          <w:rFonts w:ascii="Arial" w:hAnsi="Arial" w:cs="Arial"/>
          <w:sz w:val="22"/>
          <w:szCs w:val="22"/>
        </w:rPr>
        <w:t>PMSA</w:t>
      </w:r>
      <w:r w:rsidRPr="00F463BC">
        <w:rPr>
          <w:rFonts w:ascii="Arial" w:hAnsi="Arial" w:cs="Arial"/>
          <w:sz w:val="22"/>
          <w:szCs w:val="22"/>
        </w:rPr>
        <w:t xml:space="preserve">, as the case may be, when such member changes medical schemes or benefit options; </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Regulation 10(5) requires that credit balances in a member’s personal medical savings account must be taken as a cash benefit, subject to applicable laws, when the member terminates his or her membership of a medical scheme or benefit option without enrolling in another medical scheme or enrols in another medical scheme without a personal medical savings account provision or selects a benefit option without a savings plan; and</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 xml:space="preserve">Regulation 10(6) stipulates that savings plan account facilities may not be utilised to provide for benefits and </w:t>
      </w:r>
      <w:r w:rsidR="00184505" w:rsidRPr="00F463BC">
        <w:rPr>
          <w:rFonts w:ascii="Arial" w:hAnsi="Arial" w:cs="Arial"/>
          <w:sz w:val="22"/>
          <w:szCs w:val="22"/>
        </w:rPr>
        <w:t>members’ portions</w:t>
      </w:r>
      <w:r w:rsidRPr="00F463BC">
        <w:rPr>
          <w:rFonts w:ascii="Arial" w:hAnsi="Arial" w:cs="Arial"/>
          <w:sz w:val="22"/>
          <w:szCs w:val="22"/>
        </w:rPr>
        <w:t xml:space="preserve"> relating to PMBs.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Managed care agreements are regulated in terms of Chapter 5 of the Regulations. </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The administration of a medical scheme by a third party should comply with Chapter 6 of the Regulations.</w:t>
      </w:r>
    </w:p>
    <w:p w:rsidR="00BB37D3" w:rsidRPr="00F463BC" w:rsidRDefault="00BB37D3" w:rsidP="00B82F08">
      <w:pPr>
        <w:pStyle w:val="Bulletnrs"/>
        <w:spacing w:before="0" w:line="271" w:lineRule="auto"/>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of these </w:t>
      </w:r>
      <w:r w:rsidR="00E05AC8" w:rsidRPr="00F463BC">
        <w:rPr>
          <w:rFonts w:ascii="Arial" w:hAnsi="Arial" w:cs="Arial"/>
          <w:sz w:val="22"/>
          <w:szCs w:val="22"/>
        </w:rPr>
        <w:t>monies</w:t>
      </w:r>
      <w:r w:rsidRPr="00F463BC">
        <w:rPr>
          <w:rFonts w:ascii="Arial" w:hAnsi="Arial" w:cs="Arial"/>
          <w:sz w:val="22"/>
          <w:szCs w:val="22"/>
        </w:rPr>
        <w:t xml:space="preserve">, into a bank account opened in the name of the medical scheme. 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into any bank account other than that of the medical scheme.</w:t>
      </w:r>
    </w:p>
    <w:p w:rsidR="001518CD" w:rsidRPr="00F463BC" w:rsidRDefault="001518CD" w:rsidP="00B82F08">
      <w:pPr>
        <w:pStyle w:val="Bulletnrs"/>
        <w:spacing w:before="0" w:line="271" w:lineRule="auto"/>
        <w:rPr>
          <w:rFonts w:ascii="Arial" w:hAnsi="Arial" w:cs="Arial"/>
          <w:sz w:val="22"/>
          <w:szCs w:val="22"/>
        </w:rPr>
      </w:pPr>
      <w:r w:rsidRPr="00F463BC">
        <w:rPr>
          <w:rFonts w:ascii="Arial" w:hAnsi="Arial" w:cs="Arial"/>
          <w:sz w:val="22"/>
          <w:szCs w:val="22"/>
        </w:rPr>
        <w:t>The conditions to be complied with by brokers are set out in Chapter 7.</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The minimum accumulated </w:t>
      </w:r>
      <w:r w:rsidR="008731F8" w:rsidRPr="00F463BC">
        <w:rPr>
          <w:rFonts w:ascii="Arial" w:hAnsi="Arial" w:cs="Arial"/>
          <w:sz w:val="22"/>
          <w:szCs w:val="22"/>
        </w:rPr>
        <w:t>funds to be maintained by a medical scheme are</w:t>
      </w:r>
      <w:r w:rsidRPr="00F463BC">
        <w:rPr>
          <w:rFonts w:ascii="Arial" w:hAnsi="Arial" w:cs="Arial"/>
          <w:sz w:val="22"/>
          <w:szCs w:val="22"/>
        </w:rPr>
        <w:t xml:space="preserve"> regulated </w:t>
      </w:r>
      <w:r w:rsidR="00BD3D54" w:rsidRPr="00F463BC">
        <w:rPr>
          <w:rFonts w:ascii="Arial" w:hAnsi="Arial" w:cs="Arial"/>
          <w:sz w:val="22"/>
          <w:szCs w:val="22"/>
        </w:rPr>
        <w:t>by Chapter 8 of the Regulations.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Regulation 29 sets out the minimum accumulated funds to be maintained by a medical scheme – the amount is determined as a percentage of gross annual contributions. In </w:t>
      </w:r>
      <w:r w:rsidRPr="00F463BC">
        <w:rPr>
          <w:rFonts w:ascii="Arial" w:hAnsi="Arial" w:cs="Arial"/>
          <w:sz w:val="22"/>
          <w:szCs w:val="22"/>
        </w:rPr>
        <w:lastRenderedPageBreak/>
        <w:t>terms of Regulation 29(1) the term “accumulated funds” for the purpose of this regulation means “the net asset value of the medical scheme, excluding funds set aside for specific purposes and unrealised non-distributable reserves”.</w:t>
      </w:r>
      <w:r w:rsidRPr="00F463BC">
        <w:rPr>
          <w:rStyle w:val="FootnoteReference"/>
          <w:rFonts w:ascii="Arial" w:hAnsi="Arial" w:cs="Arial"/>
          <w:sz w:val="22"/>
          <w:szCs w:val="22"/>
        </w:rPr>
        <w:footnoteReference w:id="59"/>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30 and Annexure B limit the asset exposure in the different asset categories. Explanatory note 8 to Annexure B states that medical schemes should demonstrate on a “look-through” basis that assets such as collective investment schemes, managed funds and insurance policies were not utilised to circumvent the limitations of these Regulations.</w:t>
      </w:r>
      <w:r w:rsidR="003007AA" w:rsidRPr="00F463BC">
        <w:rPr>
          <w:rFonts w:ascii="Arial" w:hAnsi="Arial" w:cs="Arial"/>
          <w:sz w:val="22"/>
          <w:szCs w:val="22"/>
        </w:rPr>
        <w:t xml:space="preserve"> As was clarified in Circular 5 of 2012</w:t>
      </w:r>
      <w:r w:rsidR="0032037C" w:rsidRPr="00F463BC">
        <w:rPr>
          <w:rStyle w:val="FootnoteReference"/>
          <w:rFonts w:ascii="Arial" w:hAnsi="Arial" w:cs="Arial"/>
          <w:sz w:val="22"/>
          <w:szCs w:val="22"/>
        </w:rPr>
        <w:footnoteReference w:id="60"/>
      </w:r>
      <w:r w:rsidR="003007AA" w:rsidRPr="00F463BC">
        <w:rPr>
          <w:rFonts w:ascii="Arial" w:hAnsi="Arial" w:cs="Arial"/>
          <w:sz w:val="22"/>
          <w:szCs w:val="22"/>
        </w:rPr>
        <w:t xml:space="preserve">, due to the nature of PMSAs (i.e. these do not form part of scheme assets), the limitations imposed by Regulation 30 and Annexure B are not applicable to these trust </w:t>
      </w:r>
      <w:r w:rsidR="00E05AC8" w:rsidRPr="00F463BC">
        <w:rPr>
          <w:rFonts w:ascii="Arial" w:hAnsi="Arial" w:cs="Arial"/>
          <w:sz w:val="22"/>
          <w:szCs w:val="22"/>
        </w:rPr>
        <w:t>monies</w:t>
      </w:r>
      <w:r w:rsidR="003007AA" w:rsidRPr="00F463BC">
        <w:rPr>
          <w:rFonts w:ascii="Arial" w:hAnsi="Arial" w:cs="Arial"/>
          <w:sz w:val="22"/>
          <w:szCs w:val="22"/>
        </w:rPr>
        <w:t>. Circular 38 of 2011</w:t>
      </w:r>
      <w:r w:rsidR="00EA2A01" w:rsidRPr="00F463BC">
        <w:rPr>
          <w:rStyle w:val="FootnoteReference"/>
          <w:rFonts w:ascii="Arial" w:hAnsi="Arial" w:cs="Arial"/>
          <w:sz w:val="22"/>
          <w:szCs w:val="22"/>
        </w:rPr>
        <w:footnoteReference w:id="61"/>
      </w:r>
      <w:r w:rsidR="003007AA" w:rsidRPr="00F463BC">
        <w:rPr>
          <w:rFonts w:ascii="Arial" w:hAnsi="Arial" w:cs="Arial"/>
          <w:sz w:val="22"/>
          <w:szCs w:val="22"/>
        </w:rPr>
        <w:t xml:space="preserve"> provided clarity as to the type of instruments these trust </w:t>
      </w:r>
      <w:r w:rsidR="00E05AC8" w:rsidRPr="00F463BC">
        <w:rPr>
          <w:rFonts w:ascii="Arial" w:hAnsi="Arial" w:cs="Arial"/>
          <w:sz w:val="22"/>
          <w:szCs w:val="22"/>
        </w:rPr>
        <w:t>monies</w:t>
      </w:r>
      <w:r w:rsidR="003007AA" w:rsidRPr="00F463BC">
        <w:rPr>
          <w:rFonts w:ascii="Arial" w:hAnsi="Arial" w:cs="Arial"/>
          <w:sz w:val="22"/>
          <w:szCs w:val="22"/>
        </w:rPr>
        <w:t xml:space="preserve"> may be invested in.</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Refer to</w:t>
      </w:r>
      <w:r w:rsidR="00A01234" w:rsidRPr="00F463BC">
        <w:rPr>
          <w:rFonts w:ascii="Arial" w:hAnsi="Arial" w:cs="Arial"/>
          <w:sz w:val="22"/>
          <w:szCs w:val="22"/>
        </w:rPr>
        <w:t xml:space="preserve"> </w:t>
      </w:r>
      <w:hyperlink w:anchor="_Appendix_2_–" w:history="1">
        <w:r w:rsidR="009E2195" w:rsidRPr="00F463BC">
          <w:rPr>
            <w:rStyle w:val="Hyperlink"/>
            <w:rFonts w:ascii="Arial" w:hAnsi="Arial" w:cs="Arial"/>
            <w:sz w:val="22"/>
            <w:szCs w:val="22"/>
          </w:rPr>
          <w:t>Appendix 4 – Circulars relevant to financial statements</w:t>
        </w:r>
      </w:hyperlink>
      <w:r w:rsidR="009E2195" w:rsidRPr="00F463BC">
        <w:rPr>
          <w:rFonts w:ascii="Arial" w:hAnsi="Arial" w:cs="Arial"/>
          <w:sz w:val="22"/>
          <w:szCs w:val="22"/>
        </w:rPr>
        <w:t xml:space="preserve"> </w:t>
      </w:r>
      <w:r w:rsidRPr="00F463BC">
        <w:rPr>
          <w:rFonts w:ascii="Arial" w:hAnsi="Arial" w:cs="Arial"/>
          <w:sz w:val="22"/>
          <w:szCs w:val="22"/>
        </w:rPr>
        <w:t>for a complete list of Circulars issued by the Council that are relevant for</w:t>
      </w:r>
      <w:r w:rsidR="00BD3D54" w:rsidRPr="00F463BC">
        <w:rPr>
          <w:rFonts w:ascii="Arial" w:hAnsi="Arial" w:cs="Arial"/>
          <w:sz w:val="22"/>
          <w:szCs w:val="22"/>
        </w:rPr>
        <w:t xml:space="preserve"> financial statement purposes. </w:t>
      </w:r>
    </w:p>
    <w:p w:rsidR="00FD015F" w:rsidRPr="00F463BC" w:rsidRDefault="00FD015F" w:rsidP="00B82F08">
      <w:pPr>
        <w:autoSpaceDE w:val="0"/>
        <w:autoSpaceDN w:val="0"/>
        <w:adjustRightInd w:val="0"/>
        <w:spacing w:before="0" w:line="271" w:lineRule="auto"/>
        <w:rPr>
          <w:rFonts w:ascii="Arial" w:hAnsi="Arial" w:cs="Arial"/>
          <w:sz w:val="22"/>
          <w:szCs w:val="22"/>
          <w:lang w:eastAsia="en-ZA"/>
        </w:rPr>
      </w:pPr>
    </w:p>
    <w:p w:rsidR="004D16D5" w:rsidRPr="00F463BC" w:rsidRDefault="004D16D5" w:rsidP="00B82F08">
      <w:pPr>
        <w:pStyle w:val="Heading1"/>
        <w:spacing w:line="271" w:lineRule="auto"/>
        <w:sectPr w:rsidR="004D16D5" w:rsidRPr="00F463BC" w:rsidSect="001B129E">
          <w:headerReference w:type="default" r:id="rId20"/>
          <w:footerReference w:type="first" r:id="rId21"/>
          <w:type w:val="continuous"/>
          <w:pgSz w:w="11909" w:h="16834" w:code="9"/>
          <w:pgMar w:top="1440" w:right="1440" w:bottom="1440" w:left="1440" w:header="720" w:footer="720" w:gutter="0"/>
          <w:cols w:space="720"/>
          <w:noEndnote/>
          <w:docGrid w:linePitch="326"/>
        </w:sectPr>
      </w:pPr>
      <w:bookmarkStart w:id="208" w:name="_Toc275178286"/>
      <w:bookmarkStart w:id="209" w:name="_Toc275178350"/>
      <w:bookmarkStart w:id="210" w:name="_Toc275178457"/>
      <w:bookmarkStart w:id="211" w:name="_Toc277749812"/>
      <w:bookmarkStart w:id="212" w:name="_Toc277750682"/>
      <w:bookmarkStart w:id="213" w:name="_Toc277750863"/>
      <w:bookmarkStart w:id="214" w:name="_Ref299639692"/>
    </w:p>
    <w:p w:rsidR="00727244" w:rsidRPr="00F463BC" w:rsidRDefault="007C7708" w:rsidP="00B82F08">
      <w:pPr>
        <w:pStyle w:val="Heading1"/>
        <w:spacing w:line="271" w:lineRule="auto"/>
      </w:pPr>
      <w:bookmarkStart w:id="215" w:name="_Appendix_2_–"/>
      <w:bookmarkStart w:id="216" w:name="_Toc300572981"/>
      <w:bookmarkStart w:id="217" w:name="_Ref300580151"/>
      <w:bookmarkStart w:id="218" w:name="_Ref300581392"/>
      <w:bookmarkStart w:id="219" w:name="_Ref300590037"/>
      <w:bookmarkStart w:id="220" w:name="_Toc304897948"/>
      <w:bookmarkStart w:id="221" w:name="_Toc305083376"/>
      <w:bookmarkStart w:id="222" w:name="_Toc455582238"/>
      <w:bookmarkEnd w:id="215"/>
      <w:r w:rsidRPr="00F463BC">
        <w:lastRenderedPageBreak/>
        <w:t>A</w:t>
      </w:r>
      <w:r w:rsidR="00B46A79" w:rsidRPr="00F463BC">
        <w:t>ppendix</w:t>
      </w:r>
      <w:r w:rsidRPr="00F463BC">
        <w:t xml:space="preserve"> </w:t>
      </w:r>
      <w:bookmarkEnd w:id="187"/>
      <w:bookmarkEnd w:id="188"/>
      <w:bookmarkEnd w:id="208"/>
      <w:bookmarkEnd w:id="209"/>
      <w:bookmarkEnd w:id="210"/>
      <w:bookmarkEnd w:id="211"/>
      <w:bookmarkEnd w:id="212"/>
      <w:bookmarkEnd w:id="213"/>
      <w:r w:rsidR="00F65104" w:rsidRPr="00F463BC">
        <w:t>4</w:t>
      </w:r>
      <w:r w:rsidR="00B46A79" w:rsidRPr="00F463BC">
        <w:t xml:space="preserve"> </w:t>
      </w:r>
      <w:bookmarkStart w:id="223" w:name="_Toc275178351"/>
      <w:bookmarkStart w:id="224" w:name="_Toc275178458"/>
      <w:bookmarkStart w:id="225" w:name="_Toc277749813"/>
      <w:bookmarkStart w:id="226" w:name="_Toc277750683"/>
      <w:bookmarkStart w:id="227" w:name="_Toc277750864"/>
      <w:r w:rsidR="007662FD" w:rsidRPr="00F463BC">
        <w:t>–</w:t>
      </w:r>
      <w:r w:rsidR="00BD5BCB" w:rsidRPr="00F463BC">
        <w:t xml:space="preserve"> </w:t>
      </w:r>
      <w:r w:rsidR="00B46A79" w:rsidRPr="00F463BC">
        <w:t xml:space="preserve">Circulars relevant </w:t>
      </w:r>
      <w:r w:rsidR="006072F2" w:rsidRPr="00F463BC">
        <w:t xml:space="preserve">to </w:t>
      </w:r>
      <w:r w:rsidR="00B46A79" w:rsidRPr="00F463BC">
        <w:t>financial statement</w:t>
      </w:r>
      <w:r w:rsidR="006072F2" w:rsidRPr="00F463BC">
        <w:t>s</w:t>
      </w:r>
      <w:bookmarkEnd w:id="214"/>
      <w:bookmarkEnd w:id="216"/>
      <w:bookmarkEnd w:id="217"/>
      <w:bookmarkEnd w:id="218"/>
      <w:bookmarkEnd w:id="219"/>
      <w:bookmarkEnd w:id="220"/>
      <w:bookmarkEnd w:id="221"/>
      <w:bookmarkEnd w:id="223"/>
      <w:bookmarkEnd w:id="224"/>
      <w:bookmarkEnd w:id="225"/>
      <w:bookmarkEnd w:id="226"/>
      <w:bookmarkEnd w:id="227"/>
      <w:bookmarkEnd w:id="222"/>
    </w:p>
    <w:p w:rsidR="003E07F7" w:rsidRPr="00F463BC" w:rsidRDefault="003E07F7" w:rsidP="00B82F08">
      <w:pPr>
        <w:spacing w:before="0" w:line="271" w:lineRule="auto"/>
        <w:rPr>
          <w:rFonts w:ascii="Arial" w:hAnsi="Arial" w:cs="Arial"/>
          <w:sz w:val="22"/>
          <w:szCs w:val="22"/>
        </w:rPr>
      </w:pPr>
    </w:p>
    <w:p w:rsidR="00585F9F" w:rsidRPr="00F463BC" w:rsidRDefault="00585F9F" w:rsidP="00B82F08">
      <w:pPr>
        <w:spacing w:before="0" w:line="271" w:lineRule="auto"/>
        <w:rPr>
          <w:rFonts w:ascii="Arial" w:hAnsi="Arial" w:cs="Arial"/>
          <w:i/>
          <w:sz w:val="22"/>
          <w:szCs w:val="22"/>
        </w:rPr>
      </w:pPr>
      <w:r w:rsidRPr="00F463BC">
        <w:rPr>
          <w:rFonts w:ascii="Arial" w:hAnsi="Arial" w:cs="Arial"/>
          <w:i/>
          <w:sz w:val="22"/>
          <w:szCs w:val="22"/>
        </w:rPr>
        <w:t xml:space="preserve">This list is complete to the date that this Guide was issued. For </w:t>
      </w:r>
      <w:r w:rsidR="00E20504" w:rsidRPr="00F463BC">
        <w:rPr>
          <w:rFonts w:ascii="Arial" w:hAnsi="Arial" w:cs="Arial"/>
          <w:i/>
          <w:sz w:val="22"/>
          <w:szCs w:val="22"/>
        </w:rPr>
        <w:t>Circulars issued</w:t>
      </w:r>
      <w:r w:rsidRPr="00F463BC">
        <w:rPr>
          <w:rFonts w:ascii="Arial" w:hAnsi="Arial" w:cs="Arial"/>
          <w:i/>
          <w:sz w:val="22"/>
          <w:szCs w:val="22"/>
        </w:rPr>
        <w:t xml:space="preserve"> after the date of issue of this Guide, refer to the website of the Council.</w:t>
      </w:r>
    </w:p>
    <w:p w:rsidR="00585F9F" w:rsidRPr="00F463BC" w:rsidRDefault="00585F9F" w:rsidP="00B82F08">
      <w:pPr>
        <w:spacing w:before="0" w:line="271" w:lineRule="auto"/>
        <w:rPr>
          <w:rFonts w:ascii="Arial" w:hAnsi="Arial" w:cs="Arial"/>
          <w:sz w:val="22"/>
          <w:szCs w:val="22"/>
        </w:rPr>
      </w:pPr>
    </w:p>
    <w:p w:rsidR="001A45BE" w:rsidRPr="00F463BC" w:rsidRDefault="001A45BE" w:rsidP="00B82F08">
      <w:pPr>
        <w:spacing w:before="0" w:line="271" w:lineRule="auto"/>
        <w:rPr>
          <w:rFonts w:ascii="Arial" w:hAnsi="Arial" w:cs="Arial"/>
          <w:sz w:val="22"/>
          <w:szCs w:val="22"/>
        </w:rPr>
      </w:pPr>
      <w:r w:rsidRPr="00F463BC">
        <w:rPr>
          <w:rFonts w:ascii="Arial" w:hAnsi="Arial" w:cs="Arial"/>
          <w:sz w:val="22"/>
          <w:szCs w:val="22"/>
        </w:rPr>
        <w:t>The following Circulars issued by the Council are relevant for financial statement purposes:</w:t>
      </w:r>
    </w:p>
    <w:p w:rsidR="003E07F7" w:rsidRPr="00F463BC" w:rsidRDefault="003E07F7" w:rsidP="00B82F08">
      <w:pPr>
        <w:spacing w:before="0" w:line="271"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1964D6" w:rsidRPr="00FF2B5F" w:rsidTr="001B129E">
        <w:trPr>
          <w:tblHeader/>
        </w:trPr>
        <w:tc>
          <w:tcPr>
            <w:tcW w:w="1526" w:type="dxa"/>
            <w:shd w:val="clear" w:color="auto" w:fill="D9D9D9" w:themeFill="background1" w:themeFillShade="D9"/>
          </w:tcPr>
          <w:p w:rsidR="001964D6" w:rsidRPr="00F463BC" w:rsidRDefault="001964D6" w:rsidP="00527238">
            <w:pPr>
              <w:spacing w:beforeLines="40" w:before="96" w:afterLines="40" w:after="96"/>
              <w:rPr>
                <w:rFonts w:ascii="Arial" w:hAnsi="Arial" w:cs="Arial"/>
                <w:b/>
                <w:sz w:val="22"/>
                <w:szCs w:val="22"/>
              </w:rPr>
            </w:pPr>
            <w:r w:rsidRPr="00F463BC">
              <w:rPr>
                <w:rFonts w:ascii="Arial" w:hAnsi="Arial" w:cs="Arial"/>
                <w:b/>
                <w:sz w:val="22"/>
                <w:szCs w:val="22"/>
              </w:rPr>
              <w:t>Circular number</w:t>
            </w:r>
          </w:p>
        </w:tc>
        <w:tc>
          <w:tcPr>
            <w:tcW w:w="7654" w:type="dxa"/>
            <w:shd w:val="clear" w:color="auto" w:fill="D9D9D9" w:themeFill="background1" w:themeFillShade="D9"/>
          </w:tcPr>
          <w:p w:rsidR="001964D6" w:rsidRPr="00F463BC" w:rsidRDefault="001964D6" w:rsidP="00B364BD">
            <w:pPr>
              <w:spacing w:beforeLines="40" w:before="96" w:afterLines="40" w:after="96"/>
              <w:rPr>
                <w:rFonts w:ascii="Arial" w:hAnsi="Arial" w:cs="Arial"/>
                <w:b/>
                <w:sz w:val="22"/>
                <w:szCs w:val="22"/>
              </w:rPr>
            </w:pPr>
            <w:r w:rsidRPr="00F463BC">
              <w:rPr>
                <w:rFonts w:ascii="Arial" w:hAnsi="Arial" w:cs="Arial"/>
                <w:b/>
                <w:sz w:val="22"/>
                <w:szCs w:val="22"/>
              </w:rPr>
              <w:t>Subject</w:t>
            </w:r>
          </w:p>
        </w:tc>
      </w:tr>
      <w:tr w:rsidR="00092E2A" w:rsidRPr="00FF2B5F" w:rsidTr="001B129E">
        <w:tc>
          <w:tcPr>
            <w:tcW w:w="1526" w:type="dxa"/>
          </w:tcPr>
          <w:p w:rsidR="00092E2A" w:rsidRPr="00F463BC" w:rsidRDefault="007A2AA7" w:rsidP="00527238">
            <w:pPr>
              <w:spacing w:beforeLines="40" w:before="96" w:afterLines="40" w:after="96"/>
              <w:rPr>
                <w:rFonts w:ascii="Arial" w:hAnsi="Arial" w:cs="Arial"/>
                <w:sz w:val="22"/>
                <w:szCs w:val="22"/>
              </w:rPr>
            </w:pPr>
            <w:r w:rsidRPr="00F463BC">
              <w:rPr>
                <w:rFonts w:ascii="Arial" w:hAnsi="Arial" w:cs="Arial"/>
                <w:sz w:val="22"/>
                <w:szCs w:val="22"/>
              </w:rPr>
              <w:t>34 of 2014</w:t>
            </w:r>
          </w:p>
        </w:tc>
        <w:tc>
          <w:tcPr>
            <w:tcW w:w="7654" w:type="dxa"/>
          </w:tcPr>
          <w:p w:rsidR="00092E2A" w:rsidRPr="00F463BC" w:rsidRDefault="007A2AA7" w:rsidP="00B364BD">
            <w:pPr>
              <w:spacing w:beforeLines="40" w:before="96" w:afterLines="40" w:after="96"/>
              <w:rPr>
                <w:rFonts w:ascii="Arial" w:hAnsi="Arial" w:cs="Arial"/>
                <w:sz w:val="22"/>
                <w:szCs w:val="22"/>
              </w:rPr>
            </w:pPr>
            <w:r w:rsidRPr="00F463BC">
              <w:rPr>
                <w:rFonts w:ascii="Arial" w:hAnsi="Arial" w:cs="Arial"/>
                <w:sz w:val="22"/>
                <w:szCs w:val="22"/>
              </w:rPr>
              <w:t>Guidance on benefit changes and contribution increases for 2015</w:t>
            </w:r>
          </w:p>
        </w:tc>
      </w:tr>
      <w:tr w:rsidR="005D7E27" w:rsidRPr="00FF2B5F" w:rsidTr="001B129E">
        <w:tc>
          <w:tcPr>
            <w:tcW w:w="1526" w:type="dxa"/>
          </w:tcPr>
          <w:p w:rsidR="005D7E27" w:rsidRPr="00F463BC" w:rsidRDefault="005D7E27" w:rsidP="00527238">
            <w:pPr>
              <w:spacing w:beforeLines="40" w:before="96" w:afterLines="40" w:after="96"/>
              <w:rPr>
                <w:rFonts w:ascii="Arial" w:hAnsi="Arial" w:cs="Arial"/>
                <w:sz w:val="22"/>
                <w:szCs w:val="22"/>
              </w:rPr>
            </w:pPr>
            <w:r w:rsidRPr="00F463BC">
              <w:rPr>
                <w:rFonts w:ascii="Arial" w:hAnsi="Arial" w:cs="Arial"/>
                <w:sz w:val="22"/>
                <w:szCs w:val="22"/>
              </w:rPr>
              <w:t>30 of 2014</w:t>
            </w:r>
          </w:p>
        </w:tc>
        <w:tc>
          <w:tcPr>
            <w:tcW w:w="7654" w:type="dxa"/>
          </w:tcPr>
          <w:p w:rsidR="005D7E27" w:rsidRPr="00F463BC" w:rsidRDefault="005D7E27" w:rsidP="00B364BD">
            <w:p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2013 Annual Financial Statements and Statutory Returns</w:t>
            </w:r>
          </w:p>
        </w:tc>
      </w:tr>
      <w:tr w:rsidR="007A2AA7" w:rsidRPr="00FF2B5F" w:rsidTr="001B129E">
        <w:tc>
          <w:tcPr>
            <w:tcW w:w="1526" w:type="dxa"/>
          </w:tcPr>
          <w:p w:rsidR="007A2AA7" w:rsidRPr="00F463BC" w:rsidRDefault="007A2AA7" w:rsidP="00527238">
            <w:pPr>
              <w:spacing w:beforeLines="40" w:before="96" w:afterLines="40" w:after="96"/>
              <w:rPr>
                <w:rFonts w:ascii="Arial" w:hAnsi="Arial" w:cs="Arial"/>
                <w:sz w:val="22"/>
                <w:szCs w:val="22"/>
              </w:rPr>
            </w:pPr>
            <w:r w:rsidRPr="00F463BC">
              <w:rPr>
                <w:rFonts w:ascii="Arial" w:hAnsi="Arial" w:cs="Arial"/>
                <w:sz w:val="22"/>
                <w:szCs w:val="22"/>
              </w:rPr>
              <w:t>25 of 2014</w:t>
            </w:r>
          </w:p>
        </w:tc>
        <w:tc>
          <w:tcPr>
            <w:tcW w:w="7654" w:type="dxa"/>
          </w:tcPr>
          <w:p w:rsidR="007A2AA7" w:rsidRPr="00F463BC" w:rsidRDefault="007A2AA7" w:rsidP="00B364BD">
            <w:pPr>
              <w:spacing w:beforeLines="40" w:before="96" w:afterLines="40" w:after="96"/>
              <w:rPr>
                <w:rFonts w:ascii="Arial" w:hAnsi="Arial" w:cs="Arial"/>
                <w:sz w:val="22"/>
                <w:szCs w:val="22"/>
              </w:rPr>
            </w:pPr>
            <w:r w:rsidRPr="00F463BC">
              <w:rPr>
                <w:rFonts w:ascii="Arial" w:hAnsi="Arial" w:cs="Arial"/>
                <w:sz w:val="22"/>
                <w:szCs w:val="22"/>
              </w:rPr>
              <w:t>Adjustment of statutory fees payable to brokers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28 of 2013</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2012 Annual Financial Statements and Statutory Returns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10 of 2013</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Funding of PMBs from personal medical savings accounts when members are discharged from hospital</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6 of 2013</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Annual financial information provided to members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41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Prescribed format for the Statement of Comprehensive Income and disclosures required in respect of PMSA</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25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Adjustment of statutory fees payable to brokers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23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Explanatory Note 2 of Annexure B</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22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2011 Annual Financial Statements and Statutory Returns</w:t>
            </w:r>
          </w:p>
        </w:tc>
      </w:tr>
      <w:tr w:rsidR="00496F29" w:rsidRPr="00FF2B5F" w:rsidTr="001B129E">
        <w:tc>
          <w:tcPr>
            <w:tcW w:w="1526" w:type="dxa"/>
          </w:tcPr>
          <w:p w:rsidR="00496F29" w:rsidRPr="00F463BC" w:rsidRDefault="00496F29" w:rsidP="00527238">
            <w:pPr>
              <w:spacing w:beforeLines="40" w:before="96" w:afterLines="40" w:after="96"/>
              <w:rPr>
                <w:rFonts w:ascii="Arial" w:hAnsi="Arial" w:cs="Arial"/>
                <w:sz w:val="22"/>
                <w:szCs w:val="22"/>
              </w:rPr>
            </w:pPr>
            <w:r w:rsidRPr="00F463BC">
              <w:rPr>
                <w:rFonts w:ascii="Arial" w:hAnsi="Arial" w:cs="Arial"/>
                <w:sz w:val="22"/>
                <w:szCs w:val="22"/>
              </w:rPr>
              <w:t>5 of 2012</w:t>
            </w:r>
          </w:p>
        </w:tc>
        <w:tc>
          <w:tcPr>
            <w:tcW w:w="7654" w:type="dxa"/>
          </w:tcPr>
          <w:p w:rsidR="00496F29" w:rsidRPr="00F463BC" w:rsidRDefault="00496F29" w:rsidP="00B364BD">
            <w:pPr>
              <w:pStyle w:val="Bullets"/>
              <w:numPr>
                <w:ilvl w:val="0"/>
                <w:numId w:val="0"/>
              </w:numPr>
              <w:spacing w:beforeLines="40" w:before="96" w:afterLines="40" w:after="96"/>
              <w:rPr>
                <w:rFonts w:ascii="Arial" w:hAnsi="Arial" w:cs="Arial"/>
                <w:sz w:val="22"/>
                <w:szCs w:val="22"/>
              </w:rPr>
            </w:pPr>
            <w:r w:rsidRPr="00F463BC">
              <w:rPr>
                <w:rFonts w:ascii="Arial" w:hAnsi="Arial" w:cs="Arial"/>
                <w:sz w:val="22"/>
                <w:szCs w:val="22"/>
              </w:rPr>
              <w:t>Clarification of Circular 38 of 2011 regarding personal medical savings accounts</w:t>
            </w:r>
          </w:p>
        </w:tc>
      </w:tr>
      <w:tr w:rsidR="00052DBC" w:rsidRPr="00FF2B5F" w:rsidTr="001B129E">
        <w:tc>
          <w:tcPr>
            <w:tcW w:w="1526" w:type="dxa"/>
          </w:tcPr>
          <w:p w:rsidR="00052DBC" w:rsidRPr="00F463BC" w:rsidRDefault="00052DBC" w:rsidP="00527238">
            <w:pPr>
              <w:spacing w:beforeLines="40" w:before="96" w:afterLines="40" w:after="96"/>
              <w:rPr>
                <w:rFonts w:ascii="Arial" w:hAnsi="Arial" w:cs="Arial"/>
                <w:sz w:val="22"/>
                <w:szCs w:val="22"/>
              </w:rPr>
            </w:pPr>
            <w:r w:rsidRPr="00F463BC">
              <w:rPr>
                <w:rFonts w:ascii="Arial" w:hAnsi="Arial" w:cs="Arial"/>
                <w:sz w:val="22"/>
                <w:szCs w:val="22"/>
              </w:rPr>
              <w:t>38 of 2011</w:t>
            </w:r>
          </w:p>
        </w:tc>
        <w:tc>
          <w:tcPr>
            <w:tcW w:w="7654" w:type="dxa"/>
          </w:tcPr>
          <w:p w:rsidR="00052DBC" w:rsidRPr="00F463BC" w:rsidRDefault="00052DBC" w:rsidP="00B364BD">
            <w:pPr>
              <w:pStyle w:val="Bullets"/>
              <w:numPr>
                <w:ilvl w:val="0"/>
                <w:numId w:val="0"/>
              </w:numPr>
              <w:spacing w:beforeLines="40" w:before="96" w:afterLines="40" w:after="96"/>
              <w:rPr>
                <w:rFonts w:ascii="Arial" w:hAnsi="Arial" w:cs="Arial"/>
                <w:sz w:val="22"/>
                <w:szCs w:val="22"/>
              </w:rPr>
            </w:pPr>
            <w:r w:rsidRPr="00F463BC">
              <w:rPr>
                <w:rFonts w:ascii="Arial" w:hAnsi="Arial" w:cs="Arial"/>
                <w:sz w:val="22"/>
                <w:szCs w:val="22"/>
              </w:rPr>
              <w:t>Personal Medical Savings Accounts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23 of 201</w:t>
            </w:r>
            <w:r w:rsidR="002C1650" w:rsidRPr="00F463BC">
              <w:rPr>
                <w:rFonts w:ascii="Arial" w:hAnsi="Arial" w:cs="Arial"/>
                <w:sz w:val="22"/>
                <w:szCs w:val="22"/>
              </w:rPr>
              <w:t>1</w:t>
            </w:r>
          </w:p>
        </w:tc>
        <w:tc>
          <w:tcPr>
            <w:tcW w:w="7654" w:type="dxa"/>
          </w:tcPr>
          <w:p w:rsidR="001964D6" w:rsidRPr="00F463BC" w:rsidRDefault="001964D6" w:rsidP="00B364BD">
            <w:pPr>
              <w:pStyle w:val="Bullets"/>
              <w:numPr>
                <w:ilvl w:val="0"/>
                <w:numId w:val="0"/>
              </w:num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w:t>
            </w:r>
            <w:r w:rsidR="002C1650" w:rsidRPr="00F463BC">
              <w:rPr>
                <w:rFonts w:ascii="Arial" w:hAnsi="Arial" w:cs="Arial"/>
                <w:sz w:val="22"/>
                <w:szCs w:val="22"/>
              </w:rPr>
              <w:t>1</w:t>
            </w:r>
            <w:r w:rsidRPr="00F463BC">
              <w:rPr>
                <w:rFonts w:ascii="Arial" w:hAnsi="Arial" w:cs="Arial"/>
                <w:sz w:val="22"/>
                <w:szCs w:val="22"/>
              </w:rPr>
              <w:t>0 Annual Financial Statements and Statutory Returns</w:t>
            </w:r>
          </w:p>
        </w:tc>
      </w:tr>
      <w:tr w:rsidR="0035720B" w:rsidRPr="00FF2B5F" w:rsidTr="001B129E">
        <w:tc>
          <w:tcPr>
            <w:tcW w:w="1526" w:type="dxa"/>
          </w:tcPr>
          <w:p w:rsidR="0035720B" w:rsidRPr="00F463BC" w:rsidRDefault="0035720B" w:rsidP="00527238">
            <w:pPr>
              <w:spacing w:beforeLines="40" w:before="96" w:afterLines="40" w:after="96"/>
              <w:rPr>
                <w:rFonts w:ascii="Arial" w:hAnsi="Arial" w:cs="Arial"/>
                <w:sz w:val="22"/>
                <w:szCs w:val="22"/>
              </w:rPr>
            </w:pPr>
            <w:r w:rsidRPr="00F463BC">
              <w:rPr>
                <w:rFonts w:ascii="Arial" w:hAnsi="Arial" w:cs="Arial"/>
                <w:sz w:val="22"/>
                <w:szCs w:val="22"/>
              </w:rPr>
              <w:t>3 of 2011</w:t>
            </w:r>
          </w:p>
          <w:p w:rsidR="0035720B" w:rsidRPr="00F463BC" w:rsidRDefault="0035720B" w:rsidP="00B364BD">
            <w:pPr>
              <w:spacing w:beforeLines="40" w:before="96" w:afterLines="40" w:after="96"/>
              <w:rPr>
                <w:rFonts w:ascii="Arial" w:hAnsi="Arial" w:cs="Arial"/>
                <w:sz w:val="22"/>
                <w:szCs w:val="22"/>
              </w:rPr>
            </w:pPr>
          </w:p>
        </w:tc>
        <w:tc>
          <w:tcPr>
            <w:tcW w:w="7654" w:type="dxa"/>
          </w:tcPr>
          <w:p w:rsidR="0035720B" w:rsidRPr="00F463BC" w:rsidRDefault="0035720B">
            <w:pPr>
              <w:spacing w:beforeLines="40" w:before="96" w:afterLines="40" w:after="96"/>
              <w:rPr>
                <w:rFonts w:ascii="Arial" w:hAnsi="Arial" w:cs="Arial"/>
                <w:sz w:val="22"/>
                <w:szCs w:val="22"/>
              </w:rPr>
            </w:pPr>
            <w:r w:rsidRPr="00F463BC">
              <w:rPr>
                <w:rFonts w:ascii="Arial" w:hAnsi="Arial" w:cs="Arial"/>
                <w:sz w:val="22"/>
                <w:szCs w:val="22"/>
              </w:rPr>
              <w:t>Categorisation of assets in terms of Annexure B to the Regulations</w:t>
            </w:r>
          </w:p>
        </w:tc>
      </w:tr>
      <w:tr w:rsidR="0035720B" w:rsidRPr="00FF2B5F" w:rsidTr="001B129E">
        <w:tc>
          <w:tcPr>
            <w:tcW w:w="1526" w:type="dxa"/>
          </w:tcPr>
          <w:p w:rsidR="0035720B" w:rsidRPr="00F463BC" w:rsidRDefault="0035720B" w:rsidP="00527238">
            <w:pPr>
              <w:spacing w:beforeLines="40" w:before="96" w:afterLines="40" w:after="96"/>
              <w:rPr>
                <w:rFonts w:ascii="Arial" w:hAnsi="Arial" w:cs="Arial"/>
                <w:sz w:val="22"/>
                <w:szCs w:val="22"/>
              </w:rPr>
            </w:pPr>
            <w:r w:rsidRPr="00F463BC">
              <w:rPr>
                <w:rFonts w:ascii="Arial" w:hAnsi="Arial" w:cs="Arial"/>
                <w:sz w:val="22"/>
                <w:szCs w:val="22"/>
              </w:rPr>
              <w:t>52 of 2010</w:t>
            </w:r>
          </w:p>
        </w:tc>
        <w:tc>
          <w:tcPr>
            <w:tcW w:w="7654" w:type="dxa"/>
          </w:tcPr>
          <w:p w:rsidR="0035720B" w:rsidRPr="00F463BC" w:rsidRDefault="0035720B" w:rsidP="00B364BD">
            <w:pPr>
              <w:spacing w:beforeLines="40" w:before="96" w:afterLines="40" w:after="96"/>
              <w:rPr>
                <w:rFonts w:ascii="Arial" w:hAnsi="Arial" w:cs="Arial"/>
                <w:sz w:val="22"/>
                <w:szCs w:val="22"/>
              </w:rPr>
            </w:pPr>
            <w:r w:rsidRPr="00F463BC">
              <w:rPr>
                <w:rFonts w:ascii="Arial" w:hAnsi="Arial" w:cs="Arial"/>
                <w:sz w:val="22"/>
                <w:szCs w:val="22"/>
              </w:rPr>
              <w:t>Granting of loans by medical schemes to members must stop</w:t>
            </w:r>
          </w:p>
        </w:tc>
      </w:tr>
      <w:tr w:rsidR="00FA2148" w:rsidRPr="00FF2B5F" w:rsidTr="001B129E">
        <w:tc>
          <w:tcPr>
            <w:tcW w:w="1526" w:type="dxa"/>
            <w:hideMark/>
          </w:tcPr>
          <w:p w:rsidR="00FA2148" w:rsidRPr="00F463BC" w:rsidRDefault="00FA2148" w:rsidP="00527238">
            <w:pPr>
              <w:spacing w:beforeLines="40" w:before="96" w:afterLines="40" w:after="96"/>
              <w:rPr>
                <w:rFonts w:ascii="Arial" w:hAnsi="Arial" w:cs="Arial"/>
                <w:sz w:val="22"/>
                <w:szCs w:val="22"/>
              </w:rPr>
            </w:pPr>
            <w:r w:rsidRPr="00F463BC">
              <w:rPr>
                <w:rFonts w:ascii="Arial" w:hAnsi="Arial" w:cs="Arial"/>
                <w:sz w:val="22"/>
                <w:szCs w:val="22"/>
              </w:rPr>
              <w:lastRenderedPageBreak/>
              <w:t>5 of 2010</w:t>
            </w:r>
          </w:p>
        </w:tc>
        <w:tc>
          <w:tcPr>
            <w:tcW w:w="7654" w:type="dxa"/>
            <w:hideMark/>
          </w:tcPr>
          <w:p w:rsidR="00FA2148" w:rsidRPr="00F463BC" w:rsidRDefault="00FA2148" w:rsidP="00B364BD">
            <w:pPr>
              <w:spacing w:beforeLines="40" w:before="96" w:afterLines="40" w:after="96"/>
              <w:rPr>
                <w:rFonts w:ascii="Arial" w:hAnsi="Arial" w:cs="Arial"/>
                <w:sz w:val="22"/>
                <w:szCs w:val="22"/>
              </w:rPr>
            </w:pPr>
            <w:r w:rsidRPr="00F463BC">
              <w:rPr>
                <w:rFonts w:ascii="Arial" w:hAnsi="Arial" w:cs="Arial"/>
                <w:sz w:val="22"/>
                <w:szCs w:val="22"/>
              </w:rPr>
              <w:t>Audit reports to the Annual Statutory Returns</w:t>
            </w:r>
          </w:p>
        </w:tc>
      </w:tr>
      <w:tr w:rsidR="004026AD" w:rsidRPr="00FF2B5F" w:rsidTr="001B129E">
        <w:tc>
          <w:tcPr>
            <w:tcW w:w="1526" w:type="dxa"/>
          </w:tcPr>
          <w:p w:rsidR="004026AD" w:rsidRPr="00F463BC" w:rsidRDefault="004026AD" w:rsidP="00527238">
            <w:pPr>
              <w:spacing w:beforeLines="40" w:before="96" w:afterLines="40" w:after="96"/>
              <w:rPr>
                <w:rFonts w:ascii="Arial" w:hAnsi="Arial" w:cs="Arial"/>
                <w:sz w:val="22"/>
                <w:szCs w:val="22"/>
              </w:rPr>
            </w:pPr>
            <w:r w:rsidRPr="00F463BC">
              <w:rPr>
                <w:rFonts w:ascii="Arial" w:hAnsi="Arial" w:cs="Arial"/>
                <w:sz w:val="22"/>
                <w:szCs w:val="22"/>
              </w:rPr>
              <w:t>2 of 2010</w:t>
            </w:r>
          </w:p>
        </w:tc>
        <w:tc>
          <w:tcPr>
            <w:tcW w:w="7654" w:type="dxa"/>
          </w:tcPr>
          <w:p w:rsidR="004026AD" w:rsidRPr="00F463BC" w:rsidRDefault="004026AD"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Categorisation of assets in terms of Annexure B to the Regulations</w:t>
            </w:r>
          </w:p>
        </w:tc>
      </w:tr>
      <w:tr w:rsidR="004026AD" w:rsidRPr="00FF2B5F" w:rsidTr="001B129E">
        <w:tc>
          <w:tcPr>
            <w:tcW w:w="1526" w:type="dxa"/>
          </w:tcPr>
          <w:p w:rsidR="004026AD" w:rsidRPr="00F463BC" w:rsidRDefault="004026AD" w:rsidP="00527238">
            <w:pPr>
              <w:spacing w:beforeLines="40" w:before="96" w:afterLines="40" w:after="96"/>
              <w:rPr>
                <w:rFonts w:ascii="Arial" w:hAnsi="Arial" w:cs="Arial"/>
                <w:sz w:val="22"/>
                <w:szCs w:val="22"/>
              </w:rPr>
            </w:pPr>
            <w:r w:rsidRPr="00F463BC">
              <w:rPr>
                <w:rFonts w:ascii="Arial" w:hAnsi="Arial" w:cs="Arial"/>
                <w:sz w:val="22"/>
                <w:szCs w:val="22"/>
              </w:rPr>
              <w:t>38 of 2009</w:t>
            </w:r>
          </w:p>
        </w:tc>
        <w:tc>
          <w:tcPr>
            <w:tcW w:w="7654" w:type="dxa"/>
          </w:tcPr>
          <w:p w:rsidR="004026AD" w:rsidRPr="00F463BC" w:rsidRDefault="004026AD"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Increase in fee</w:t>
            </w:r>
            <w:r w:rsidR="00917755" w:rsidRPr="00F463BC">
              <w:rPr>
                <w:rFonts w:ascii="Arial" w:hAnsi="Arial" w:cs="Arial"/>
                <w:sz w:val="22"/>
                <w:szCs w:val="22"/>
              </w:rPr>
              <w:t>s</w:t>
            </w:r>
            <w:r w:rsidRPr="00F463BC">
              <w:rPr>
                <w:rFonts w:ascii="Arial" w:hAnsi="Arial" w:cs="Arial"/>
                <w:sz w:val="22"/>
                <w:szCs w:val="22"/>
              </w:rPr>
              <w:t xml:space="preserve"> payable to brokers with effect from 1 January 2009</w:t>
            </w:r>
          </w:p>
          <w:p w:rsidR="004026AD" w:rsidRPr="00F463BC" w:rsidRDefault="004026AD">
            <w:pPr>
              <w:pStyle w:val="Bullets"/>
              <w:spacing w:beforeLines="40" w:before="96" w:afterLines="40" w:after="96"/>
              <w:rPr>
                <w:rFonts w:ascii="Arial" w:hAnsi="Arial" w:cs="Arial"/>
                <w:sz w:val="22"/>
                <w:szCs w:val="22"/>
              </w:rPr>
            </w:pPr>
            <w:r w:rsidRPr="00F463BC">
              <w:rPr>
                <w:rFonts w:ascii="Arial" w:hAnsi="Arial" w:cs="Arial"/>
                <w:sz w:val="22"/>
                <w:szCs w:val="22"/>
              </w:rPr>
              <w:t>Date later amended to 1 January 2010</w:t>
            </w:r>
          </w:p>
        </w:tc>
      </w:tr>
      <w:tr w:rsidR="004026AD" w:rsidRPr="00FF2B5F" w:rsidTr="001B129E">
        <w:tc>
          <w:tcPr>
            <w:tcW w:w="1526" w:type="dxa"/>
          </w:tcPr>
          <w:p w:rsidR="004026AD" w:rsidRPr="00F463BC" w:rsidRDefault="004026AD" w:rsidP="00527238">
            <w:pPr>
              <w:spacing w:beforeLines="40" w:before="96" w:afterLines="40" w:after="96"/>
              <w:rPr>
                <w:rFonts w:ascii="Arial" w:hAnsi="Arial" w:cs="Arial"/>
                <w:sz w:val="22"/>
                <w:szCs w:val="22"/>
              </w:rPr>
            </w:pPr>
            <w:r w:rsidRPr="00F463BC">
              <w:rPr>
                <w:rFonts w:ascii="Arial" w:hAnsi="Arial" w:cs="Arial"/>
                <w:sz w:val="22"/>
                <w:szCs w:val="22"/>
              </w:rPr>
              <w:t>37 of 2009</w:t>
            </w:r>
          </w:p>
        </w:tc>
        <w:tc>
          <w:tcPr>
            <w:tcW w:w="7654" w:type="dxa"/>
          </w:tcPr>
          <w:p w:rsidR="004026AD" w:rsidRPr="00F463BC" w:rsidRDefault="004026AD"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Non-compliance by the medical schemes industry in respect of the provision and payment of prescribed minimum benefits (</w:t>
            </w:r>
            <w:r w:rsidR="007662FD" w:rsidRPr="00F463BC">
              <w:rPr>
                <w:rFonts w:ascii="Arial" w:hAnsi="Arial" w:cs="Arial"/>
                <w:sz w:val="22"/>
                <w:szCs w:val="22"/>
              </w:rPr>
              <w:t>PMBs</w:t>
            </w:r>
            <w:r w:rsidRPr="00F463BC">
              <w:rPr>
                <w:rFonts w:ascii="Arial" w:hAnsi="Arial" w:cs="Arial"/>
                <w:sz w:val="22"/>
                <w:szCs w:val="22"/>
              </w:rPr>
              <w:t>)</w:t>
            </w:r>
          </w:p>
          <w:p w:rsidR="004026AD" w:rsidRPr="00F463BC" w:rsidRDefault="004026AD">
            <w:pPr>
              <w:pStyle w:val="Bullets"/>
              <w:spacing w:beforeLines="40" w:before="96" w:afterLines="40" w:after="96"/>
              <w:rPr>
                <w:rFonts w:ascii="Arial" w:hAnsi="Arial" w:cs="Arial"/>
                <w:sz w:val="22"/>
                <w:szCs w:val="22"/>
              </w:rPr>
            </w:pPr>
            <w:r w:rsidRPr="00F463BC">
              <w:rPr>
                <w:rFonts w:ascii="Arial" w:hAnsi="Arial" w:cs="Arial"/>
                <w:sz w:val="22"/>
                <w:szCs w:val="22"/>
              </w:rPr>
              <w:t xml:space="preserve">Extension for compliance has been granted in </w:t>
            </w:r>
            <w:r w:rsidR="00917755" w:rsidRPr="00F463BC">
              <w:rPr>
                <w:rFonts w:ascii="Arial" w:hAnsi="Arial" w:cs="Arial"/>
                <w:sz w:val="22"/>
                <w:szCs w:val="22"/>
              </w:rPr>
              <w:t>C</w:t>
            </w:r>
            <w:r w:rsidRPr="00F463BC">
              <w:rPr>
                <w:rFonts w:ascii="Arial" w:hAnsi="Arial" w:cs="Arial"/>
                <w:sz w:val="22"/>
                <w:szCs w:val="22"/>
              </w:rPr>
              <w:t>ircular 7 of 2010</w:t>
            </w:r>
          </w:p>
        </w:tc>
      </w:tr>
      <w:tr w:rsidR="001964D6" w:rsidRPr="00FF2B5F" w:rsidTr="001B129E">
        <w:tc>
          <w:tcPr>
            <w:tcW w:w="1526" w:type="dxa"/>
          </w:tcPr>
          <w:p w:rsidR="001964D6" w:rsidRPr="00F463BC" w:rsidRDefault="00FA2148" w:rsidP="00527238">
            <w:pPr>
              <w:spacing w:beforeLines="40" w:before="96" w:afterLines="40" w:after="96"/>
              <w:rPr>
                <w:rFonts w:ascii="Arial" w:hAnsi="Arial" w:cs="Arial"/>
                <w:sz w:val="22"/>
                <w:szCs w:val="22"/>
              </w:rPr>
            </w:pPr>
            <w:r w:rsidRPr="00F463BC">
              <w:rPr>
                <w:rFonts w:ascii="Arial" w:hAnsi="Arial" w:cs="Arial"/>
                <w:sz w:val="22"/>
                <w:szCs w:val="22"/>
              </w:rPr>
              <w:t>23 of 2009</w:t>
            </w:r>
          </w:p>
        </w:tc>
        <w:tc>
          <w:tcPr>
            <w:tcW w:w="7654" w:type="dxa"/>
          </w:tcPr>
          <w:p w:rsidR="001964D6" w:rsidRPr="00F463BC" w:rsidRDefault="00FA2148"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Annual Financial Statements</w:t>
            </w:r>
          </w:p>
        </w:tc>
      </w:tr>
      <w:tr w:rsidR="0035720B" w:rsidRPr="00FF2B5F" w:rsidTr="001B129E">
        <w:tc>
          <w:tcPr>
            <w:tcW w:w="1526" w:type="dxa"/>
          </w:tcPr>
          <w:p w:rsidR="0035720B" w:rsidRPr="00F463BC" w:rsidRDefault="0035720B" w:rsidP="00527238">
            <w:pPr>
              <w:spacing w:beforeLines="40" w:before="96" w:afterLines="40" w:after="96"/>
              <w:rPr>
                <w:rFonts w:ascii="Arial" w:hAnsi="Arial" w:cs="Arial"/>
                <w:sz w:val="22"/>
                <w:szCs w:val="22"/>
              </w:rPr>
            </w:pPr>
            <w:r w:rsidRPr="00F463BC">
              <w:rPr>
                <w:rFonts w:ascii="Arial" w:hAnsi="Arial" w:cs="Arial"/>
                <w:sz w:val="22"/>
                <w:szCs w:val="22"/>
              </w:rPr>
              <w:t>21 of 2009</w:t>
            </w:r>
          </w:p>
        </w:tc>
        <w:tc>
          <w:tcPr>
            <w:tcW w:w="7654" w:type="dxa"/>
          </w:tcPr>
          <w:p w:rsidR="0035720B" w:rsidRPr="00F463BC" w:rsidRDefault="0035720B"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Issues encountered during the evaluation of medical scheme administrators regarding the auditing of medical schemes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18 of 2009</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 xml:space="preserve">Format of </w:t>
            </w:r>
            <w:r w:rsidR="00DD1DC0" w:rsidRPr="00F463BC">
              <w:rPr>
                <w:rFonts w:ascii="Arial" w:hAnsi="Arial" w:cs="Arial"/>
                <w:sz w:val="22"/>
                <w:szCs w:val="22"/>
              </w:rPr>
              <w:t>S</w:t>
            </w:r>
            <w:r w:rsidRPr="00F463BC">
              <w:rPr>
                <w:rFonts w:ascii="Arial" w:hAnsi="Arial" w:cs="Arial"/>
                <w:sz w:val="22"/>
                <w:szCs w:val="22"/>
              </w:rPr>
              <w:t xml:space="preserve">tatement of </w:t>
            </w:r>
            <w:r w:rsidR="00DD1DC0" w:rsidRPr="00F463BC">
              <w:rPr>
                <w:rFonts w:ascii="Arial" w:hAnsi="Arial" w:cs="Arial"/>
                <w:sz w:val="22"/>
                <w:szCs w:val="22"/>
              </w:rPr>
              <w:t>C</w:t>
            </w:r>
            <w:r w:rsidRPr="00F463BC">
              <w:rPr>
                <w:rFonts w:ascii="Arial" w:hAnsi="Arial" w:cs="Arial"/>
                <w:sz w:val="22"/>
                <w:szCs w:val="22"/>
              </w:rPr>
              <w:t xml:space="preserve">omprehensive </w:t>
            </w:r>
            <w:r w:rsidR="00DD1DC0" w:rsidRPr="00F463BC">
              <w:rPr>
                <w:rFonts w:ascii="Arial" w:hAnsi="Arial" w:cs="Arial"/>
                <w:sz w:val="22"/>
                <w:szCs w:val="22"/>
              </w:rPr>
              <w:t>I</w:t>
            </w:r>
            <w:r w:rsidRPr="00F463BC">
              <w:rPr>
                <w:rFonts w:ascii="Arial" w:hAnsi="Arial" w:cs="Arial"/>
                <w:sz w:val="22"/>
                <w:szCs w:val="22"/>
              </w:rPr>
              <w:t>ncome</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4 of 2008</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 xml:space="preserve">Inclusion of benefit options results in the </w:t>
            </w:r>
            <w:r w:rsidR="00DD1DC0" w:rsidRPr="00F463BC">
              <w:rPr>
                <w:rFonts w:ascii="Arial" w:hAnsi="Arial" w:cs="Arial"/>
                <w:sz w:val="22"/>
                <w:szCs w:val="22"/>
              </w:rPr>
              <w:t>A</w:t>
            </w:r>
            <w:r w:rsidRPr="00F463BC">
              <w:rPr>
                <w:rFonts w:ascii="Arial" w:hAnsi="Arial" w:cs="Arial"/>
                <w:sz w:val="22"/>
                <w:szCs w:val="22"/>
              </w:rPr>
              <w:t xml:space="preserve">nnual </w:t>
            </w:r>
            <w:r w:rsidR="00DD1DC0" w:rsidRPr="00F463BC">
              <w:rPr>
                <w:rFonts w:ascii="Arial" w:hAnsi="Arial" w:cs="Arial"/>
                <w:sz w:val="22"/>
                <w:szCs w:val="22"/>
              </w:rPr>
              <w:t>F</w:t>
            </w:r>
            <w:r w:rsidRPr="00F463BC">
              <w:rPr>
                <w:rFonts w:ascii="Arial" w:hAnsi="Arial" w:cs="Arial"/>
                <w:sz w:val="22"/>
                <w:szCs w:val="22"/>
              </w:rPr>
              <w:t xml:space="preserve">inancial </w:t>
            </w:r>
            <w:r w:rsidR="00DD1DC0" w:rsidRPr="00F463BC">
              <w:rPr>
                <w:rFonts w:ascii="Arial" w:hAnsi="Arial" w:cs="Arial"/>
                <w:sz w:val="22"/>
                <w:szCs w:val="22"/>
              </w:rPr>
              <w:t>S</w:t>
            </w:r>
            <w:r w:rsidRPr="00F463BC">
              <w:rPr>
                <w:rFonts w:ascii="Arial" w:hAnsi="Arial" w:cs="Arial"/>
                <w:sz w:val="22"/>
                <w:szCs w:val="22"/>
              </w:rPr>
              <w:t>tatements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49 of 2007</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Financial reporting by managed care organisations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38 of 2007</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 xml:space="preserve">Summarised </w:t>
            </w:r>
            <w:r w:rsidR="00DD1DC0" w:rsidRPr="00F463BC">
              <w:rPr>
                <w:rFonts w:ascii="Arial" w:hAnsi="Arial" w:cs="Arial"/>
                <w:sz w:val="22"/>
                <w:szCs w:val="22"/>
              </w:rPr>
              <w:t>F</w:t>
            </w:r>
            <w:r w:rsidRPr="00F463BC">
              <w:rPr>
                <w:rFonts w:ascii="Arial" w:hAnsi="Arial" w:cs="Arial"/>
                <w:sz w:val="22"/>
                <w:szCs w:val="22"/>
              </w:rPr>
              <w:t xml:space="preserve">inancial </w:t>
            </w:r>
            <w:r w:rsidR="00DD1DC0" w:rsidRPr="00F463BC">
              <w:rPr>
                <w:rFonts w:ascii="Arial" w:hAnsi="Arial" w:cs="Arial"/>
                <w:sz w:val="22"/>
                <w:szCs w:val="22"/>
              </w:rPr>
              <w:t>S</w:t>
            </w:r>
            <w:r w:rsidRPr="00F463BC">
              <w:rPr>
                <w:rFonts w:ascii="Arial" w:hAnsi="Arial" w:cs="Arial"/>
                <w:sz w:val="22"/>
                <w:szCs w:val="22"/>
              </w:rPr>
              <w:t>tatements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25 of 2007</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Auditor approval applications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41 of 2006</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2006 audited financial statements:</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 xml:space="preserve">Reporting of non-compliance </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Prescription of unclaimed savings balances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11 of 2006</w:t>
            </w:r>
          </w:p>
        </w:tc>
        <w:tc>
          <w:tcPr>
            <w:tcW w:w="7654" w:type="dxa"/>
          </w:tcPr>
          <w:p w:rsidR="001964D6" w:rsidRPr="00F463BC" w:rsidRDefault="001964D6" w:rsidP="00B364BD">
            <w:pPr>
              <w:pStyle w:val="Bullets"/>
              <w:numPr>
                <w:ilvl w:val="0"/>
                <w:numId w:val="0"/>
              </w:numPr>
              <w:spacing w:beforeLines="40" w:before="96" w:afterLines="40" w:after="96"/>
              <w:ind w:left="360" w:hanging="360"/>
              <w:rPr>
                <w:rFonts w:ascii="Arial" w:hAnsi="Arial" w:cs="Arial"/>
                <w:sz w:val="22"/>
                <w:szCs w:val="22"/>
              </w:rPr>
            </w:pPr>
            <w:r w:rsidRPr="00F463BC">
              <w:rPr>
                <w:rFonts w:ascii="Arial" w:hAnsi="Arial" w:cs="Arial"/>
                <w:sz w:val="22"/>
                <w:szCs w:val="22"/>
              </w:rPr>
              <w:t>Issues in audited financial statements:</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Reporting of non-compliance matters</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Fair value of assets for Annexure B</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33 of 2005</w:t>
            </w:r>
          </w:p>
        </w:tc>
        <w:tc>
          <w:tcPr>
            <w:tcW w:w="7654" w:type="dxa"/>
          </w:tcPr>
          <w:p w:rsidR="001964D6" w:rsidRPr="00F463BC" w:rsidRDefault="001964D6" w:rsidP="00B364BD">
            <w:pPr>
              <w:pStyle w:val="Bullets"/>
              <w:numPr>
                <w:ilvl w:val="0"/>
                <w:numId w:val="0"/>
              </w:numPr>
              <w:spacing w:beforeLines="40" w:before="96" w:afterLines="40" w:after="96"/>
              <w:ind w:left="34"/>
              <w:rPr>
                <w:rFonts w:ascii="Arial" w:hAnsi="Arial" w:cs="Arial"/>
                <w:sz w:val="22"/>
                <w:szCs w:val="22"/>
              </w:rPr>
            </w:pPr>
            <w:r w:rsidRPr="00F463BC">
              <w:rPr>
                <w:rFonts w:ascii="Arial" w:hAnsi="Arial" w:cs="Arial"/>
                <w:sz w:val="22"/>
                <w:szCs w:val="22"/>
              </w:rPr>
              <w:t>Pre-funded post retirement funds – notice for removal of pre-funding reserves or funds.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13 of 2001</w:t>
            </w:r>
          </w:p>
        </w:tc>
        <w:tc>
          <w:tcPr>
            <w:tcW w:w="7654" w:type="dxa"/>
          </w:tcPr>
          <w:p w:rsidR="001964D6" w:rsidRPr="00F463BC" w:rsidRDefault="001964D6" w:rsidP="00B364BD">
            <w:pPr>
              <w:pStyle w:val="Bullets"/>
              <w:numPr>
                <w:ilvl w:val="0"/>
                <w:numId w:val="0"/>
              </w:numPr>
              <w:spacing w:beforeLines="40" w:before="96" w:afterLines="40" w:after="96"/>
              <w:ind w:left="34"/>
              <w:rPr>
                <w:rFonts w:ascii="Arial" w:hAnsi="Arial" w:cs="Arial"/>
                <w:sz w:val="22"/>
                <w:szCs w:val="22"/>
              </w:rPr>
            </w:pPr>
            <w:r w:rsidRPr="00F463BC">
              <w:rPr>
                <w:rFonts w:ascii="Arial" w:hAnsi="Arial" w:cs="Arial"/>
                <w:sz w:val="22"/>
                <w:szCs w:val="22"/>
              </w:rPr>
              <w:t>Non-distributable reserves in solvency calculation</w:t>
            </w:r>
          </w:p>
        </w:tc>
      </w:tr>
    </w:tbl>
    <w:p w:rsidR="004D16D5" w:rsidRPr="00F463BC" w:rsidRDefault="004D16D5" w:rsidP="00B82F08">
      <w:pPr>
        <w:pStyle w:val="Heading1"/>
        <w:spacing w:line="271" w:lineRule="auto"/>
        <w:rPr>
          <w:lang w:val="en-GB"/>
        </w:rPr>
        <w:sectPr w:rsidR="004D16D5" w:rsidRPr="00F463BC" w:rsidSect="001B129E">
          <w:headerReference w:type="default" r:id="rId22"/>
          <w:headerReference w:type="first" r:id="rId23"/>
          <w:type w:val="continuous"/>
          <w:pgSz w:w="11909" w:h="16834" w:code="9"/>
          <w:pgMar w:top="1440" w:right="1440" w:bottom="1440" w:left="1440" w:header="720" w:footer="720" w:gutter="0"/>
          <w:cols w:space="720"/>
          <w:noEndnote/>
          <w:docGrid w:linePitch="326"/>
        </w:sectPr>
      </w:pPr>
      <w:bookmarkStart w:id="228" w:name="_Toc231027724"/>
    </w:p>
    <w:p w:rsidR="00BE4C15" w:rsidRDefault="00BE4C15">
      <w:pPr>
        <w:spacing w:before="0" w:after="0"/>
        <w:jc w:val="left"/>
        <w:rPr>
          <w:rFonts w:ascii="Arial" w:hAnsi="Arial" w:cs="Arial"/>
          <w:b/>
          <w:spacing w:val="-2"/>
          <w:sz w:val="28"/>
          <w:szCs w:val="28"/>
          <w:lang w:eastAsia="en-US"/>
        </w:rPr>
      </w:pPr>
      <w:bookmarkStart w:id="229" w:name="_Appendix_3_–"/>
      <w:bookmarkStart w:id="230" w:name="_Toc300572982"/>
      <w:bookmarkStart w:id="231" w:name="_Ref300580810"/>
      <w:bookmarkStart w:id="232" w:name="_Toc304897949"/>
      <w:bookmarkStart w:id="233" w:name="_Toc305083377"/>
      <w:bookmarkEnd w:id="229"/>
      <w:r>
        <w:br w:type="page"/>
      </w:r>
    </w:p>
    <w:p w:rsidR="00105EC7" w:rsidRPr="00F463BC" w:rsidRDefault="00105EC7" w:rsidP="00B82F08">
      <w:pPr>
        <w:pStyle w:val="Heading1"/>
        <w:spacing w:line="271" w:lineRule="auto"/>
      </w:pPr>
      <w:bookmarkStart w:id="234" w:name="_Appendix_5_–_1"/>
      <w:bookmarkStart w:id="235" w:name="_Toc455582239"/>
      <w:bookmarkEnd w:id="234"/>
      <w:r w:rsidRPr="00F463BC">
        <w:lastRenderedPageBreak/>
        <w:t xml:space="preserve">Appendix </w:t>
      </w:r>
      <w:r w:rsidR="00F65104" w:rsidRPr="00F463BC">
        <w:t>5</w:t>
      </w:r>
      <w:r w:rsidRPr="00F463BC">
        <w:t xml:space="preserve"> – </w:t>
      </w:r>
      <w:r w:rsidR="0083692E" w:rsidRPr="00F463BC">
        <w:t xml:space="preserve">Report on the Financial Statements (ISA 700 </w:t>
      </w:r>
      <w:r w:rsidR="00E6669F">
        <w:t xml:space="preserve">(Revised) </w:t>
      </w:r>
      <w:r w:rsidR="0083692E" w:rsidRPr="00F463BC">
        <w:t>Report)</w:t>
      </w:r>
      <w:bookmarkEnd w:id="230"/>
      <w:bookmarkEnd w:id="231"/>
      <w:bookmarkEnd w:id="232"/>
      <w:bookmarkEnd w:id="233"/>
      <w:bookmarkEnd w:id="235"/>
    </w:p>
    <w:p w:rsidR="00E02E58" w:rsidRDefault="00E02E58" w:rsidP="00E02E58">
      <w:pPr>
        <w:spacing w:before="0" w:line="271" w:lineRule="auto"/>
        <w:rPr>
          <w:rFonts w:ascii="Arial" w:hAnsi="Arial" w:cs="Arial"/>
          <w:sz w:val="22"/>
          <w:szCs w:val="22"/>
          <w:lang w:val="en-GB"/>
        </w:rPr>
      </w:pPr>
    </w:p>
    <w:p w:rsidR="00A77924" w:rsidRDefault="00A77924" w:rsidP="009F5834">
      <w:pPr>
        <w:spacing w:before="0" w:line="271"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2016</w:t>
      </w:r>
    </w:p>
    <w:p w:rsidR="00A77924" w:rsidRPr="00A77924" w:rsidRDefault="00A77924" w:rsidP="009F5834">
      <w:pPr>
        <w:spacing w:before="0" w:line="271" w:lineRule="auto"/>
        <w:rPr>
          <w:rFonts w:ascii="Arial" w:hAnsi="Arial" w:cs="Arial"/>
          <w:b/>
          <w:i/>
          <w:color w:val="000000" w:themeColor="text1"/>
          <w:sz w:val="22"/>
          <w:szCs w:val="22"/>
        </w:rPr>
      </w:pPr>
    </w:p>
    <w:tbl>
      <w:tblPr>
        <w:tblStyle w:val="TableGrid"/>
        <w:tblW w:w="0" w:type="auto"/>
        <w:tblLook w:val="04A0" w:firstRow="1" w:lastRow="0" w:firstColumn="1" w:lastColumn="0" w:noHBand="0" w:noVBand="1"/>
      </w:tblPr>
      <w:tblGrid>
        <w:gridCol w:w="9180"/>
      </w:tblGrid>
      <w:tr w:rsidR="00A77924" w:rsidRPr="00F33CEA" w:rsidTr="00C82670">
        <w:tc>
          <w:tcPr>
            <w:tcW w:w="9180" w:type="dxa"/>
          </w:tcPr>
          <w:p w:rsidR="00A77924" w:rsidRPr="00F33CEA" w:rsidRDefault="00A77924" w:rsidP="00C82670">
            <w:pPr>
              <w:spacing w:before="0" w:line="271" w:lineRule="auto"/>
              <w:rPr>
                <w:rFonts w:ascii="Arial" w:hAnsi="Arial" w:cs="Arial"/>
                <w:b/>
                <w:sz w:val="22"/>
                <w:szCs w:val="22"/>
                <w:lang w:val="en-GB"/>
              </w:rPr>
            </w:pPr>
            <w:r w:rsidRPr="00F33CEA">
              <w:rPr>
                <w:rFonts w:ascii="Arial" w:hAnsi="Arial" w:cs="Arial"/>
                <w:b/>
                <w:sz w:val="22"/>
                <w:szCs w:val="22"/>
                <w:lang w:val="en-GB"/>
              </w:rPr>
              <w:t>Circumstances</w:t>
            </w:r>
          </w:p>
          <w:p w:rsidR="00A77924" w:rsidRPr="00F33CEA" w:rsidRDefault="00A77924" w:rsidP="00A77924">
            <w:pPr>
              <w:pStyle w:val="Regularbullets"/>
              <w:rPr>
                <w:rFonts w:ascii="Arial" w:hAnsi="Arial" w:cs="Arial"/>
                <w:bCs/>
                <w:i w:val="0"/>
                <w:sz w:val="22"/>
                <w:szCs w:val="22"/>
              </w:rPr>
            </w:pPr>
            <w:r w:rsidRPr="00F33CEA">
              <w:rPr>
                <w:rFonts w:ascii="Arial" w:hAnsi="Arial" w:cs="Arial"/>
                <w:i w:val="0"/>
                <w:sz w:val="22"/>
                <w:szCs w:val="22"/>
              </w:rPr>
              <w:t>Audit of a complete set of financial statements of a medical scheme prepared in accordance with International Financial Reporting Standards and the requirements of the Medical Schemes Act of South Africa.</w:t>
            </w:r>
          </w:p>
          <w:p w:rsidR="00A77924" w:rsidRPr="00F33CEA" w:rsidRDefault="00A77924" w:rsidP="00A77924">
            <w:pPr>
              <w:pStyle w:val="Regularbullets"/>
              <w:rPr>
                <w:rFonts w:ascii="Arial" w:hAnsi="Arial" w:cs="Arial"/>
                <w:i w:val="0"/>
                <w:sz w:val="22"/>
                <w:szCs w:val="22"/>
              </w:rPr>
            </w:pPr>
            <w:r w:rsidRPr="00F33CEA">
              <w:rPr>
                <w:rFonts w:ascii="Arial" w:hAnsi="Arial" w:cs="Arial"/>
                <w:i w:val="0"/>
                <w:sz w:val="22"/>
                <w:szCs w:val="22"/>
              </w:rPr>
              <w:t>The auditor has concluded an unmodified (i.e., “clean”) opinion is appropriate based on the audit evidence obtained.</w:t>
            </w:r>
          </w:p>
          <w:p w:rsidR="00A77924" w:rsidRPr="00F33CEA" w:rsidRDefault="00A77924" w:rsidP="00A77924">
            <w:pPr>
              <w:pStyle w:val="Regularbullets"/>
              <w:rPr>
                <w:rFonts w:ascii="Arial" w:hAnsi="Arial" w:cs="Arial"/>
                <w:i w:val="0"/>
                <w:sz w:val="22"/>
                <w:szCs w:val="22"/>
              </w:rPr>
            </w:pPr>
            <w:r w:rsidRPr="00F33CEA">
              <w:rPr>
                <w:rFonts w:ascii="Arial" w:hAnsi="Arial" w:cs="Arial"/>
                <w:i w:val="0"/>
                <w:sz w:val="22"/>
                <w:szCs w:val="22"/>
              </w:rPr>
              <w:t>The auditor has obtained all of the other information prior to the date of the auditor’s report and has not identified a material misstatement of the other information.</w:t>
            </w:r>
          </w:p>
          <w:p w:rsidR="00A77924" w:rsidRPr="00F33CEA" w:rsidRDefault="00A77924" w:rsidP="00A77924">
            <w:pPr>
              <w:pStyle w:val="Regularbullets"/>
              <w:rPr>
                <w:rFonts w:ascii="Arial" w:hAnsi="Arial" w:cs="Arial"/>
                <w:i w:val="0"/>
                <w:sz w:val="22"/>
                <w:szCs w:val="22"/>
              </w:rPr>
            </w:pPr>
            <w:r w:rsidRPr="00F33CEA">
              <w:rPr>
                <w:rFonts w:ascii="Arial" w:hAnsi="Arial" w:cs="Arial"/>
                <w:i w:val="0"/>
                <w:sz w:val="22"/>
                <w:szCs w:val="22"/>
              </w:rPr>
              <w:t>Based on the audit evidence obtained, the auditor has concluded that a material uncertainty does not exist related to events or conditions that may cast significant doubt on the entity’s ability to continue as a going concern.</w:t>
            </w:r>
          </w:p>
          <w:p w:rsidR="00A77924" w:rsidRPr="00F33CEA" w:rsidRDefault="00A77924" w:rsidP="00A77924">
            <w:pPr>
              <w:pStyle w:val="Regularbullets"/>
              <w:rPr>
                <w:rFonts w:ascii="Arial" w:hAnsi="Arial" w:cs="Arial"/>
                <w:i w:val="0"/>
                <w:sz w:val="22"/>
                <w:szCs w:val="22"/>
              </w:rPr>
            </w:pPr>
            <w:r w:rsidRPr="00F33CEA">
              <w:rPr>
                <w:rFonts w:ascii="Arial" w:hAnsi="Arial" w:cs="Arial"/>
                <w:i w:val="0"/>
                <w:sz w:val="22"/>
                <w:szCs w:val="22"/>
              </w:rPr>
              <w:t>Key audit</w:t>
            </w:r>
            <w:r>
              <w:rPr>
                <w:rFonts w:ascii="Arial" w:hAnsi="Arial" w:cs="Arial"/>
                <w:i w:val="0"/>
                <w:sz w:val="22"/>
                <w:szCs w:val="22"/>
              </w:rPr>
              <w:t xml:space="preserve"> matters have been communicated, as required by </w:t>
            </w:r>
            <w:r w:rsidRPr="003249D6">
              <w:rPr>
                <w:rFonts w:ascii="Arial" w:hAnsi="Arial" w:cs="Arial"/>
                <w:i w:val="0"/>
                <w:sz w:val="22"/>
                <w:szCs w:val="22"/>
              </w:rPr>
              <w:t xml:space="preserve">Circular 65 of 2015: </w:t>
            </w:r>
            <w:r w:rsidRPr="003249D6">
              <w:rPr>
                <w:rFonts w:ascii="Arial" w:hAnsi="Arial" w:cs="Arial"/>
                <w:sz w:val="22"/>
                <w:szCs w:val="22"/>
              </w:rPr>
              <w:t>Auditor’s Reports: Key Audit Matters</w:t>
            </w:r>
            <w:r>
              <w:rPr>
                <w:rFonts w:ascii="Arial" w:hAnsi="Arial" w:cs="Arial"/>
                <w:sz w:val="22"/>
                <w:szCs w:val="22"/>
              </w:rPr>
              <w:t>,</w:t>
            </w:r>
            <w:r w:rsidRPr="003249D6">
              <w:rPr>
                <w:rFonts w:ascii="Arial" w:hAnsi="Arial" w:cs="Arial"/>
                <w:i w:val="0"/>
                <w:sz w:val="22"/>
                <w:szCs w:val="22"/>
              </w:rPr>
              <w:t xml:space="preserve"> issued by the Council for Medical Schemes on 27 October 2015</w:t>
            </w:r>
          </w:p>
          <w:p w:rsidR="00A77924" w:rsidRPr="00F33CEA" w:rsidRDefault="00A77924" w:rsidP="00A77924">
            <w:pPr>
              <w:pStyle w:val="Regularbullets"/>
              <w:rPr>
                <w:rFonts w:ascii="Arial" w:hAnsi="Arial" w:cs="Arial"/>
                <w:i w:val="0"/>
                <w:sz w:val="22"/>
                <w:szCs w:val="22"/>
              </w:rPr>
            </w:pPr>
            <w:r w:rsidRPr="00F33CEA">
              <w:rPr>
                <w:rFonts w:ascii="Arial" w:hAnsi="Arial" w:cs="Arial"/>
                <w:i w:val="0"/>
                <w:sz w:val="22"/>
                <w:szCs w:val="22"/>
              </w:rPr>
              <w:t>The auditor has reported on compliance/non-compliance with the Medical Schemes Act of South Africa in the Report on Other Legal and Regulatory Requirements section.</w:t>
            </w:r>
          </w:p>
          <w:p w:rsidR="00A77924" w:rsidRPr="00F33CEA" w:rsidRDefault="00A77924" w:rsidP="00A77924">
            <w:pPr>
              <w:pStyle w:val="Regularbullets"/>
              <w:rPr>
                <w:rFonts w:ascii="Arial" w:hAnsi="Arial" w:cs="Arial"/>
                <w:i w:val="0"/>
                <w:sz w:val="22"/>
                <w:szCs w:val="22"/>
              </w:rPr>
            </w:pPr>
            <w:r w:rsidRPr="00F33CEA">
              <w:rPr>
                <w:rFonts w:ascii="Arial" w:hAnsi="Arial" w:cs="Arial"/>
                <w:i w:val="0"/>
                <w:sz w:val="22"/>
                <w:szCs w:val="22"/>
              </w:rPr>
              <w:t>A reportable irregularity has been identified and reported in terms of section 45 of the Auditing Profession Act. The reportable irregularity does not affect the fair presentation of the financial statements and is not considered a key audit matter. The reportable irregularity is reported in the Report on other Legal and Regulatory Requirements section.</w:t>
            </w:r>
          </w:p>
        </w:tc>
      </w:tr>
    </w:tbl>
    <w:p w:rsidR="00A77924" w:rsidRPr="00A05A79" w:rsidRDefault="00A77924" w:rsidP="00A77924">
      <w:pPr>
        <w:pStyle w:val="Regularbullets"/>
        <w:numPr>
          <w:ilvl w:val="0"/>
          <w:numId w:val="0"/>
        </w:numPr>
        <w:spacing w:before="0" w:line="271" w:lineRule="auto"/>
        <w:ind w:left="360"/>
        <w:rPr>
          <w:rFonts w:ascii="Arial" w:hAnsi="Arial" w:cs="Arial"/>
          <w:sz w:val="22"/>
          <w:szCs w:val="22"/>
        </w:rPr>
      </w:pPr>
    </w:p>
    <w:p w:rsidR="00A77924" w:rsidRPr="00B352D7" w:rsidRDefault="00A77924" w:rsidP="00A77924">
      <w:pPr>
        <w:keepNext/>
        <w:spacing w:before="0" w:line="271" w:lineRule="auto"/>
        <w:rPr>
          <w:rFonts w:ascii="Arial" w:hAnsi="Arial" w:cs="Arial"/>
          <w:b/>
          <w:bCs/>
          <w:szCs w:val="22"/>
        </w:rPr>
      </w:pPr>
      <w:r w:rsidRPr="00B352D7">
        <w:rPr>
          <w:rFonts w:ascii="Arial" w:hAnsi="Arial" w:cs="Arial"/>
          <w:b/>
          <w:bCs/>
          <w:szCs w:val="22"/>
        </w:rPr>
        <w:t xml:space="preserve">Independent Auditor’s Report </w:t>
      </w:r>
    </w:p>
    <w:p w:rsidR="00A77924" w:rsidRPr="00B352D7" w:rsidRDefault="00A77924" w:rsidP="00A77924">
      <w:pPr>
        <w:keepNext/>
        <w:spacing w:before="0" w:line="271" w:lineRule="auto"/>
        <w:rPr>
          <w:rFonts w:ascii="Arial" w:hAnsi="Arial" w:cs="Arial"/>
          <w:bCs/>
          <w:i/>
          <w:sz w:val="22"/>
          <w:szCs w:val="22"/>
        </w:rPr>
      </w:pPr>
    </w:p>
    <w:p w:rsidR="00A77924" w:rsidRPr="00B352D7" w:rsidRDefault="00A77924" w:rsidP="00A77924">
      <w:pPr>
        <w:keepNext/>
        <w:spacing w:before="0" w:line="271" w:lineRule="auto"/>
        <w:rPr>
          <w:rFonts w:ascii="Arial" w:hAnsi="Arial" w:cs="Arial"/>
          <w:bCs/>
          <w:i/>
          <w:sz w:val="22"/>
          <w:szCs w:val="22"/>
        </w:rPr>
      </w:pPr>
      <w:r w:rsidRPr="00B352D7">
        <w:rPr>
          <w:rFonts w:ascii="Arial" w:hAnsi="Arial" w:cs="Arial"/>
          <w:bCs/>
          <w:i/>
          <w:sz w:val="22"/>
          <w:szCs w:val="22"/>
        </w:rPr>
        <w:t>To the Members of &lt;name of scheme&gt;</w:t>
      </w:r>
    </w:p>
    <w:p w:rsidR="00A77924" w:rsidRPr="00B352D7" w:rsidRDefault="00A77924" w:rsidP="00A77924">
      <w:pPr>
        <w:keepNext/>
        <w:spacing w:before="0" w:line="271" w:lineRule="auto"/>
        <w:rPr>
          <w:rFonts w:ascii="Arial" w:hAnsi="Arial" w:cs="Arial"/>
          <w:b/>
          <w:bCs/>
          <w:sz w:val="22"/>
          <w:szCs w:val="22"/>
        </w:rPr>
      </w:pPr>
    </w:p>
    <w:p w:rsidR="00A77924" w:rsidRPr="00687BDF" w:rsidRDefault="00A77924" w:rsidP="00A77924">
      <w:pPr>
        <w:keepNext/>
        <w:spacing w:before="0" w:line="271" w:lineRule="auto"/>
        <w:rPr>
          <w:rFonts w:ascii="Arial" w:hAnsi="Arial" w:cs="Arial"/>
          <w:b/>
          <w:sz w:val="22"/>
          <w:szCs w:val="22"/>
        </w:rPr>
      </w:pPr>
      <w:r w:rsidRPr="00B352D7">
        <w:rPr>
          <w:rFonts w:ascii="Arial" w:hAnsi="Arial" w:cs="Arial"/>
          <w:b/>
          <w:sz w:val="22"/>
          <w:szCs w:val="22"/>
        </w:rPr>
        <w:t>Report on the Financial Statements</w:t>
      </w:r>
    </w:p>
    <w:p w:rsidR="00A77924" w:rsidRDefault="00A77924" w:rsidP="00A77924">
      <w:pPr>
        <w:keepNext/>
        <w:spacing w:before="0" w:line="271" w:lineRule="auto"/>
        <w:rPr>
          <w:rFonts w:ascii="Arial" w:hAnsi="Arial" w:cs="Arial"/>
          <w:i/>
          <w:sz w:val="22"/>
          <w:szCs w:val="22"/>
        </w:rPr>
      </w:pPr>
    </w:p>
    <w:p w:rsidR="00A77924" w:rsidRPr="00EC18D9" w:rsidRDefault="00A77924" w:rsidP="00A77924">
      <w:pPr>
        <w:keepNext/>
        <w:spacing w:before="0" w:line="271" w:lineRule="auto"/>
        <w:rPr>
          <w:rFonts w:ascii="Arial" w:hAnsi="Arial" w:cs="Arial"/>
          <w:i/>
          <w:sz w:val="22"/>
          <w:szCs w:val="22"/>
        </w:rPr>
      </w:pPr>
      <w:r w:rsidRPr="00EC18D9">
        <w:rPr>
          <w:rFonts w:ascii="Arial" w:hAnsi="Arial" w:cs="Arial"/>
          <w:i/>
          <w:sz w:val="22"/>
          <w:szCs w:val="22"/>
        </w:rPr>
        <w:t xml:space="preserve">Opinion </w:t>
      </w:r>
    </w:p>
    <w:p w:rsidR="00A77924" w:rsidRPr="005D19B8" w:rsidRDefault="00A77924" w:rsidP="00A77924">
      <w:pPr>
        <w:keepNext/>
        <w:spacing w:before="0" w:line="271" w:lineRule="auto"/>
        <w:rPr>
          <w:rFonts w:ascii="Arial" w:hAnsi="Arial" w:cs="Arial"/>
          <w:sz w:val="22"/>
          <w:szCs w:val="22"/>
        </w:rPr>
      </w:pPr>
      <w:r w:rsidRPr="00B33B3C">
        <w:rPr>
          <w:rFonts w:ascii="Arial" w:hAnsi="Arial" w:cs="Arial"/>
          <w:sz w:val="22"/>
          <w:szCs w:val="22"/>
        </w:rPr>
        <w:t xml:space="preserve">We have audited the financial statements of </w:t>
      </w:r>
      <w:r w:rsidRPr="00B33B3C">
        <w:rPr>
          <w:rFonts w:ascii="Arial" w:hAnsi="Arial" w:cs="Arial"/>
          <w:i/>
          <w:sz w:val="22"/>
          <w:szCs w:val="22"/>
        </w:rPr>
        <w:t>&lt;name of scheme&gt;</w:t>
      </w:r>
      <w:r>
        <w:rPr>
          <w:rFonts w:ascii="Arial" w:hAnsi="Arial" w:cs="Arial"/>
          <w:i/>
          <w:sz w:val="22"/>
          <w:szCs w:val="22"/>
        </w:rPr>
        <w:t xml:space="preserve"> </w:t>
      </w:r>
      <w:r>
        <w:rPr>
          <w:rFonts w:ascii="Arial" w:hAnsi="Arial" w:cs="Arial"/>
          <w:sz w:val="22"/>
          <w:szCs w:val="22"/>
        </w:rPr>
        <w:t>(the Scheme)</w:t>
      </w:r>
      <w:r w:rsidRPr="00970A9C">
        <w:rPr>
          <w:rFonts w:ascii="Arial" w:hAnsi="Arial" w:cs="Arial"/>
          <w:sz w:val="22"/>
          <w:szCs w:val="22"/>
        </w:rPr>
        <w:t xml:space="preserve">, set out on pages </w:t>
      </w:r>
      <w:r w:rsidRPr="004C3C72">
        <w:rPr>
          <w:rFonts w:ascii="Arial" w:hAnsi="Arial" w:cs="Arial"/>
          <w:i/>
          <w:sz w:val="22"/>
          <w:szCs w:val="22"/>
        </w:rPr>
        <w:t>&lt;xx&gt;</w:t>
      </w:r>
      <w:r w:rsidRPr="004C3C72">
        <w:rPr>
          <w:rFonts w:ascii="Arial" w:hAnsi="Arial" w:cs="Arial"/>
          <w:sz w:val="22"/>
          <w:szCs w:val="22"/>
        </w:rPr>
        <w:t xml:space="preserve"> to </w:t>
      </w:r>
      <w:r w:rsidRPr="00A05A79">
        <w:rPr>
          <w:rFonts w:ascii="Arial" w:hAnsi="Arial" w:cs="Arial"/>
          <w:i/>
          <w:sz w:val="22"/>
          <w:szCs w:val="22"/>
        </w:rPr>
        <w:t>&lt;xx&gt;</w:t>
      </w:r>
      <w:r>
        <w:rPr>
          <w:rFonts w:ascii="Arial" w:hAnsi="Arial" w:cs="Arial"/>
          <w:i/>
          <w:sz w:val="22"/>
          <w:szCs w:val="22"/>
        </w:rPr>
        <w:t>,</w:t>
      </w:r>
      <w:r w:rsidRPr="00A05A79">
        <w:rPr>
          <w:rFonts w:ascii="Arial" w:hAnsi="Arial" w:cs="Arial"/>
          <w:sz w:val="22"/>
          <w:szCs w:val="22"/>
        </w:rPr>
        <w:t xml:space="preserve"> which comprise the statement of financial position as at </w:t>
      </w:r>
      <w:r w:rsidRPr="00A05A79">
        <w:rPr>
          <w:rFonts w:ascii="Arial" w:hAnsi="Arial" w:cs="Arial"/>
          <w:i/>
          <w:sz w:val="22"/>
          <w:szCs w:val="22"/>
        </w:rPr>
        <w:t>&lt;</w:t>
      </w:r>
      <w:r w:rsidRPr="00367CD0">
        <w:rPr>
          <w:rFonts w:ascii="Arial" w:hAnsi="Arial" w:cs="Arial"/>
          <w:i/>
          <w:sz w:val="22"/>
          <w:szCs w:val="22"/>
        </w:rPr>
        <w:t xml:space="preserve"> </w:t>
      </w:r>
      <w:r w:rsidRPr="00124A4F">
        <w:rPr>
          <w:rFonts w:ascii="Arial" w:hAnsi="Arial" w:cs="Arial"/>
          <w:i/>
          <w:sz w:val="22"/>
          <w:szCs w:val="22"/>
        </w:rPr>
        <w:t xml:space="preserve">insert date of </w:t>
      </w:r>
      <w:r>
        <w:rPr>
          <w:rFonts w:ascii="Arial" w:hAnsi="Arial" w:cs="Arial"/>
          <w:i/>
          <w:sz w:val="22"/>
          <w:szCs w:val="22"/>
        </w:rPr>
        <w:t>year/</w:t>
      </w:r>
      <w:r w:rsidRPr="00124A4F">
        <w:rPr>
          <w:rFonts w:ascii="Arial" w:hAnsi="Arial" w:cs="Arial"/>
          <w:i/>
          <w:sz w:val="22"/>
          <w:szCs w:val="22"/>
        </w:rPr>
        <w:t>period end</w:t>
      </w:r>
      <w:r w:rsidRPr="00A05A79" w:rsidDel="00367CD0">
        <w:rPr>
          <w:rFonts w:ascii="Arial" w:hAnsi="Arial" w:cs="Arial"/>
          <w:i/>
          <w:sz w:val="22"/>
          <w:szCs w:val="22"/>
        </w:rPr>
        <w:t xml:space="preserve"> </w:t>
      </w:r>
      <w:r w:rsidRPr="00A05A79">
        <w:rPr>
          <w:rFonts w:ascii="Arial" w:hAnsi="Arial" w:cs="Arial"/>
          <w:i/>
          <w:sz w:val="22"/>
          <w:szCs w:val="22"/>
        </w:rPr>
        <w:t>&gt;</w:t>
      </w:r>
      <w:r w:rsidRPr="00A05A79">
        <w:rPr>
          <w:rFonts w:ascii="Arial" w:hAnsi="Arial" w:cs="Arial"/>
          <w:sz w:val="22"/>
          <w:szCs w:val="22"/>
        </w:rPr>
        <w:t xml:space="preserve">, and </w:t>
      </w:r>
      <w:r w:rsidRPr="00A05A79">
        <w:rPr>
          <w:rFonts w:ascii="Arial" w:hAnsi="Arial" w:cs="Arial"/>
          <w:color w:val="000000"/>
          <w:sz w:val="22"/>
          <w:szCs w:val="22"/>
          <w:lang w:eastAsia="en-ZA"/>
        </w:rPr>
        <w:t xml:space="preserve">the statement of profit or loss and other comprehensive income, </w:t>
      </w:r>
      <w:r>
        <w:rPr>
          <w:rFonts w:ascii="Arial" w:hAnsi="Arial" w:cs="Arial"/>
          <w:color w:val="000000"/>
          <w:sz w:val="22"/>
          <w:szCs w:val="22"/>
          <w:lang w:eastAsia="en-ZA"/>
        </w:rPr>
        <w:t xml:space="preserve">the </w:t>
      </w:r>
      <w:r w:rsidRPr="00A05A79">
        <w:rPr>
          <w:rFonts w:ascii="Arial" w:hAnsi="Arial" w:cs="Arial"/>
          <w:color w:val="000000"/>
          <w:sz w:val="22"/>
          <w:szCs w:val="22"/>
          <w:lang w:eastAsia="en-ZA"/>
        </w:rPr>
        <w:lastRenderedPageBreak/>
        <w:t xml:space="preserve">statement of changes in </w:t>
      </w:r>
      <w:r>
        <w:rPr>
          <w:rFonts w:ascii="Arial" w:hAnsi="Arial" w:cs="Arial"/>
          <w:color w:val="000000"/>
          <w:sz w:val="22"/>
          <w:szCs w:val="22"/>
          <w:lang w:eastAsia="en-ZA"/>
        </w:rPr>
        <w:t>members’ funds</w:t>
      </w:r>
      <w:r w:rsidRPr="00A05A79">
        <w:rPr>
          <w:rFonts w:ascii="Arial" w:hAnsi="Arial" w:cs="Arial"/>
          <w:color w:val="000000"/>
          <w:sz w:val="22"/>
          <w:szCs w:val="22"/>
          <w:lang w:eastAsia="en-ZA"/>
        </w:rPr>
        <w:t xml:space="preserve"> and</w:t>
      </w:r>
      <w:r>
        <w:rPr>
          <w:rFonts w:ascii="Arial" w:hAnsi="Arial" w:cs="Arial"/>
          <w:color w:val="000000"/>
          <w:sz w:val="22"/>
          <w:szCs w:val="22"/>
          <w:lang w:eastAsia="en-ZA"/>
        </w:rPr>
        <w:t xml:space="preserve"> the</w:t>
      </w:r>
      <w:r w:rsidRPr="00A05A79">
        <w:rPr>
          <w:rFonts w:ascii="Arial" w:hAnsi="Arial" w:cs="Arial"/>
          <w:color w:val="000000"/>
          <w:sz w:val="22"/>
          <w:szCs w:val="22"/>
          <w:lang w:eastAsia="en-ZA"/>
        </w:rPr>
        <w:t xml:space="preserve"> statement of cash flows for the </w:t>
      </w:r>
      <w:r>
        <w:rPr>
          <w:rFonts w:ascii="Arial" w:hAnsi="Arial" w:cs="Arial"/>
          <w:color w:val="000000"/>
          <w:sz w:val="22"/>
          <w:szCs w:val="22"/>
          <w:lang w:eastAsia="en-ZA"/>
        </w:rPr>
        <w:t>&lt;</w:t>
      </w:r>
      <w:r w:rsidRPr="00D0229D">
        <w:rPr>
          <w:rFonts w:ascii="Arial" w:hAnsi="Arial" w:cs="Arial"/>
          <w:i/>
          <w:color w:val="000000"/>
          <w:sz w:val="22"/>
          <w:szCs w:val="22"/>
          <w:lang w:eastAsia="en-ZA"/>
        </w:rPr>
        <w:t>year/period</w:t>
      </w:r>
      <w:r>
        <w:rPr>
          <w:rFonts w:ascii="Arial" w:hAnsi="Arial" w:cs="Arial"/>
          <w:color w:val="000000"/>
          <w:sz w:val="22"/>
          <w:szCs w:val="22"/>
          <w:lang w:eastAsia="en-ZA"/>
        </w:rPr>
        <w:t>&gt;</w:t>
      </w:r>
      <w:r w:rsidRPr="00A05A79">
        <w:rPr>
          <w:rFonts w:ascii="Arial" w:hAnsi="Arial" w:cs="Arial"/>
          <w:color w:val="000000"/>
          <w:sz w:val="22"/>
          <w:szCs w:val="22"/>
          <w:lang w:eastAsia="en-ZA"/>
        </w:rPr>
        <w:t xml:space="preserve"> then ended, and notes to the financial statements, including a summary of significant accounting policies</w:t>
      </w:r>
      <w:r w:rsidRPr="005D19B8">
        <w:rPr>
          <w:rFonts w:ascii="Arial" w:hAnsi="Arial" w:cs="Arial"/>
          <w:sz w:val="22"/>
          <w:szCs w:val="22"/>
        </w:rPr>
        <w:t>.</w:t>
      </w:r>
    </w:p>
    <w:p w:rsidR="00A77924" w:rsidRPr="00124A4F" w:rsidRDefault="00A77924" w:rsidP="00A77924">
      <w:pPr>
        <w:spacing w:before="0" w:line="271" w:lineRule="auto"/>
        <w:rPr>
          <w:rFonts w:ascii="Arial" w:hAnsi="Arial" w:cs="Arial"/>
          <w:sz w:val="22"/>
          <w:szCs w:val="22"/>
        </w:rPr>
      </w:pPr>
      <w:r w:rsidRPr="005D19B8">
        <w:rPr>
          <w:rFonts w:ascii="Arial" w:hAnsi="Arial" w:cs="Arial"/>
          <w:sz w:val="22"/>
          <w:szCs w:val="22"/>
        </w:rPr>
        <w:t xml:space="preserve">In our opinion, these financial statements present fairly, in all material respects, the financial </w:t>
      </w:r>
      <w:r w:rsidRPr="007866F1">
        <w:rPr>
          <w:rFonts w:ascii="Arial" w:hAnsi="Arial" w:cs="Arial"/>
          <w:sz w:val="22"/>
          <w:szCs w:val="22"/>
        </w:rPr>
        <w:t xml:space="preserve">position of </w:t>
      </w:r>
      <w:r w:rsidRPr="007866F1">
        <w:rPr>
          <w:rFonts w:ascii="Arial" w:hAnsi="Arial" w:cs="Arial"/>
          <w:i/>
          <w:sz w:val="22"/>
          <w:szCs w:val="22"/>
        </w:rPr>
        <w:t>&lt;name of scheme&gt;</w:t>
      </w:r>
      <w:r w:rsidRPr="00124A4F">
        <w:rPr>
          <w:rFonts w:ascii="Arial" w:hAnsi="Arial" w:cs="Arial"/>
          <w:sz w:val="22"/>
          <w:szCs w:val="22"/>
        </w:rPr>
        <w:t xml:space="preserve"> </w:t>
      </w:r>
      <w:r>
        <w:rPr>
          <w:rFonts w:ascii="Arial" w:hAnsi="Arial" w:cs="Arial"/>
          <w:sz w:val="22"/>
          <w:szCs w:val="22"/>
        </w:rPr>
        <w:t xml:space="preserve">as </w:t>
      </w:r>
      <w:r w:rsidRPr="00124A4F">
        <w:rPr>
          <w:rFonts w:ascii="Arial" w:hAnsi="Arial" w:cs="Arial"/>
          <w:sz w:val="22"/>
          <w:szCs w:val="22"/>
        </w:rPr>
        <w:t>at &lt;</w:t>
      </w:r>
      <w:r w:rsidRPr="00124A4F">
        <w:rPr>
          <w:rFonts w:ascii="Arial" w:hAnsi="Arial" w:cs="Arial"/>
          <w:i/>
          <w:sz w:val="22"/>
          <w:szCs w:val="22"/>
        </w:rPr>
        <w:t xml:space="preserve">insert date of </w:t>
      </w:r>
      <w:r>
        <w:rPr>
          <w:rFonts w:ascii="Arial" w:hAnsi="Arial" w:cs="Arial"/>
          <w:i/>
          <w:sz w:val="22"/>
          <w:szCs w:val="22"/>
        </w:rPr>
        <w:t>year/</w:t>
      </w:r>
      <w:r w:rsidRPr="00124A4F">
        <w:rPr>
          <w:rFonts w:ascii="Arial" w:hAnsi="Arial" w:cs="Arial"/>
          <w:i/>
          <w:sz w:val="22"/>
          <w:szCs w:val="22"/>
        </w:rPr>
        <w:t>period end</w:t>
      </w:r>
      <w:r w:rsidRPr="00124A4F">
        <w:rPr>
          <w:rFonts w:ascii="Arial" w:hAnsi="Arial" w:cs="Arial"/>
          <w:sz w:val="22"/>
          <w:szCs w:val="22"/>
        </w:rPr>
        <w:t xml:space="preserve">&gt;, and its financial performance and cash flows for the </w:t>
      </w:r>
      <w:r w:rsidRPr="00124A4F">
        <w:rPr>
          <w:rFonts w:ascii="Arial" w:hAnsi="Arial" w:cs="Arial"/>
          <w:i/>
          <w:sz w:val="22"/>
          <w:szCs w:val="22"/>
        </w:rPr>
        <w:t>&lt;year/period&gt;</w:t>
      </w:r>
      <w:r w:rsidRPr="00124A4F">
        <w:rPr>
          <w:rFonts w:ascii="Arial" w:hAnsi="Arial" w:cs="Arial"/>
          <w:sz w:val="22"/>
          <w:szCs w:val="22"/>
        </w:rPr>
        <w:t xml:space="preserve"> then ended in accordance with International Financial Reporting Standards and the requirements of the Medical Schemes Act of South Africa.</w:t>
      </w:r>
    </w:p>
    <w:p w:rsidR="00A77924" w:rsidRDefault="00A77924" w:rsidP="00A77924">
      <w:pPr>
        <w:keepNext/>
        <w:tabs>
          <w:tab w:val="left" w:pos="8505"/>
        </w:tabs>
        <w:spacing w:before="0" w:line="271" w:lineRule="auto"/>
        <w:rPr>
          <w:rFonts w:ascii="Arial" w:hAnsi="Arial" w:cs="Arial"/>
          <w:i/>
          <w:sz w:val="22"/>
          <w:szCs w:val="22"/>
        </w:rPr>
      </w:pPr>
    </w:p>
    <w:p w:rsidR="00A77924" w:rsidRPr="00124A4F" w:rsidRDefault="00A77924" w:rsidP="00A77924">
      <w:pPr>
        <w:keepNext/>
        <w:tabs>
          <w:tab w:val="left" w:pos="8505"/>
        </w:tabs>
        <w:spacing w:before="0" w:line="271" w:lineRule="auto"/>
        <w:rPr>
          <w:rFonts w:ascii="Arial" w:hAnsi="Arial" w:cs="Arial"/>
          <w:i/>
          <w:sz w:val="22"/>
          <w:szCs w:val="22"/>
        </w:rPr>
      </w:pPr>
      <w:r w:rsidRPr="00124A4F">
        <w:rPr>
          <w:rFonts w:ascii="Arial" w:hAnsi="Arial" w:cs="Arial"/>
          <w:i/>
          <w:sz w:val="22"/>
          <w:szCs w:val="22"/>
        </w:rPr>
        <w:t>Basis for Opinion</w:t>
      </w:r>
    </w:p>
    <w:p w:rsidR="00A77924" w:rsidRPr="00124A4F" w:rsidRDefault="00A77924" w:rsidP="00A77924">
      <w:pPr>
        <w:keepNext/>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124A4F">
        <w:rPr>
          <w:rFonts w:ascii="Arial" w:hAnsi="Arial" w:cs="Arial"/>
          <w:i/>
          <w:iCs/>
          <w:color w:val="000000"/>
          <w:sz w:val="22"/>
          <w:szCs w:val="22"/>
          <w:lang w:eastAsia="en-ZA"/>
        </w:rPr>
        <w:t xml:space="preserve">Auditor’s Responsibilities for the Audit of the Financial Statements </w:t>
      </w:r>
      <w:r w:rsidRPr="00124A4F">
        <w:rPr>
          <w:rFonts w:ascii="Arial" w:hAnsi="Arial" w:cs="Arial"/>
          <w:color w:val="000000"/>
          <w:sz w:val="22"/>
          <w:szCs w:val="22"/>
          <w:lang w:eastAsia="en-ZA"/>
        </w:rPr>
        <w:t xml:space="preserve">section of our report. </w:t>
      </w:r>
      <w:r w:rsidRPr="00124A4F">
        <w:rPr>
          <w:rFonts w:ascii="Arial" w:hAnsi="Arial" w:cs="Arial"/>
          <w:sz w:val="22"/>
          <w:szCs w:val="22"/>
        </w:rPr>
        <w:t xml:space="preserve">We are independent of the </w:t>
      </w:r>
      <w:r>
        <w:rPr>
          <w:rFonts w:ascii="Arial" w:hAnsi="Arial" w:cs="Arial"/>
          <w:sz w:val="22"/>
          <w:szCs w:val="22"/>
        </w:rPr>
        <w:t>Scheme</w:t>
      </w:r>
      <w:r w:rsidRPr="00124A4F">
        <w:rPr>
          <w:rFonts w:ascii="Arial" w:hAnsi="Arial" w:cs="Arial"/>
          <w:sz w:val="22"/>
          <w:szCs w:val="22"/>
        </w:rPr>
        <w:t xml:space="preserve"> in accordance with the Independent Regulatory Board for Auditors </w:t>
      </w:r>
      <w:r w:rsidRPr="00124A4F">
        <w:rPr>
          <w:rFonts w:ascii="Arial" w:hAnsi="Arial" w:cs="Arial"/>
          <w:i/>
          <w:sz w:val="22"/>
          <w:szCs w:val="22"/>
        </w:rPr>
        <w:t>Code of Professional Conduct for Registered Auditors (IRBA Code</w:t>
      </w:r>
      <w:r w:rsidRPr="00124A4F">
        <w:rPr>
          <w:rFonts w:ascii="Arial" w:hAnsi="Arial" w:cs="Arial"/>
          <w:sz w:val="22"/>
          <w:szCs w:val="22"/>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124A4F">
        <w:rPr>
          <w:rFonts w:ascii="Arial" w:hAnsi="Arial" w:cs="Arial"/>
          <w:i/>
          <w:sz w:val="22"/>
          <w:szCs w:val="22"/>
        </w:rPr>
        <w:t>Code of Ethics for Professional Accountants</w:t>
      </w:r>
      <w:r w:rsidRPr="00124A4F">
        <w:rPr>
          <w:rFonts w:ascii="Arial" w:hAnsi="Arial" w:cs="Arial"/>
          <w:sz w:val="22"/>
          <w:szCs w:val="22"/>
        </w:rPr>
        <w:t xml:space="preserve"> (Parts A and B).</w:t>
      </w:r>
      <w:r w:rsidRPr="00124A4F">
        <w:rPr>
          <w:rFonts w:ascii="Arial" w:hAnsi="Arial" w:cs="Arial"/>
          <w:i/>
          <w:iCs/>
          <w:color w:val="000000"/>
          <w:sz w:val="22"/>
          <w:szCs w:val="22"/>
          <w:lang w:eastAsia="en-ZA"/>
        </w:rPr>
        <w:t xml:space="preserve"> </w:t>
      </w:r>
      <w:r w:rsidRPr="00124A4F">
        <w:rPr>
          <w:rFonts w:ascii="Arial" w:hAnsi="Arial" w:cs="Arial"/>
          <w:color w:val="000000"/>
          <w:sz w:val="22"/>
          <w:szCs w:val="22"/>
          <w:lang w:eastAsia="en-ZA"/>
        </w:rPr>
        <w:t xml:space="preserve">We believe that the audit evidence we have obtained is sufficient and appropriate to provide a basis for our opinion. </w:t>
      </w:r>
    </w:p>
    <w:p w:rsidR="00A77924" w:rsidRDefault="00A77924" w:rsidP="00A77924">
      <w:pPr>
        <w:tabs>
          <w:tab w:val="left" w:pos="8505"/>
        </w:tabs>
        <w:spacing w:before="0" w:line="271" w:lineRule="auto"/>
        <w:rPr>
          <w:rFonts w:ascii="Arial" w:hAnsi="Arial" w:cs="Arial"/>
          <w:i/>
          <w:sz w:val="22"/>
          <w:szCs w:val="22"/>
        </w:rPr>
      </w:pPr>
    </w:p>
    <w:p w:rsidR="00A77924" w:rsidRPr="00124A4F" w:rsidRDefault="00A77924" w:rsidP="00A77924">
      <w:pPr>
        <w:tabs>
          <w:tab w:val="left" w:pos="8505"/>
        </w:tabs>
        <w:spacing w:before="0" w:line="271" w:lineRule="auto"/>
        <w:rPr>
          <w:rFonts w:ascii="Arial" w:hAnsi="Arial" w:cs="Arial"/>
          <w:i/>
          <w:sz w:val="22"/>
          <w:szCs w:val="22"/>
        </w:rPr>
      </w:pPr>
      <w:r w:rsidRPr="00124A4F">
        <w:rPr>
          <w:rFonts w:ascii="Arial" w:hAnsi="Arial" w:cs="Arial"/>
          <w:i/>
          <w:sz w:val="22"/>
          <w:szCs w:val="22"/>
        </w:rPr>
        <w:t>Key Audit Matters</w:t>
      </w:r>
    </w:p>
    <w:p w:rsidR="00A77924" w:rsidRPr="00124A4F" w:rsidRDefault="00A77924" w:rsidP="00A77924">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Key audit matters are those matters that, in our professional judgement,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rsidR="00A77924" w:rsidRPr="00124A4F" w:rsidRDefault="00A77924" w:rsidP="00A77924">
      <w:pPr>
        <w:tabs>
          <w:tab w:val="left" w:pos="8505"/>
        </w:tabs>
        <w:spacing w:before="0" w:line="271" w:lineRule="auto"/>
        <w:rPr>
          <w:rFonts w:ascii="Arial" w:hAnsi="Arial" w:cs="Arial"/>
          <w:sz w:val="22"/>
          <w:szCs w:val="22"/>
        </w:rPr>
      </w:pPr>
      <w:r w:rsidRPr="00124A4F">
        <w:rPr>
          <w:rFonts w:ascii="Arial" w:hAnsi="Arial" w:cs="Arial"/>
          <w:color w:val="000000"/>
          <w:sz w:val="22"/>
          <w:szCs w:val="22"/>
          <w:lang w:eastAsia="en-ZA"/>
        </w:rPr>
        <w:t>[</w:t>
      </w:r>
      <w:r w:rsidRPr="00124A4F">
        <w:rPr>
          <w:rFonts w:ascii="Arial" w:hAnsi="Arial" w:cs="Arial"/>
          <w:i/>
          <w:color w:val="000000"/>
          <w:sz w:val="22"/>
          <w:szCs w:val="22"/>
          <w:lang w:eastAsia="en-ZA"/>
        </w:rPr>
        <w:t>Description of each key audit matter in accordance with ISA 701</w:t>
      </w:r>
      <w:r>
        <w:rPr>
          <w:rFonts w:ascii="Arial" w:hAnsi="Arial" w:cs="Arial"/>
          <w:i/>
          <w:color w:val="000000"/>
          <w:sz w:val="22"/>
          <w:szCs w:val="22"/>
          <w:lang w:eastAsia="en-ZA"/>
        </w:rPr>
        <w:t>, Key Audit Matters</w:t>
      </w:r>
      <w:r w:rsidRPr="00124A4F">
        <w:rPr>
          <w:rFonts w:ascii="Arial" w:hAnsi="Arial" w:cs="Arial"/>
          <w:i/>
          <w:color w:val="000000"/>
          <w:sz w:val="22"/>
          <w:szCs w:val="22"/>
          <w:lang w:eastAsia="en-ZA"/>
        </w:rPr>
        <w:t>.</w:t>
      </w:r>
      <w:r w:rsidRPr="00124A4F">
        <w:rPr>
          <w:rFonts w:ascii="Arial" w:hAnsi="Arial" w:cs="Arial"/>
          <w:color w:val="000000"/>
          <w:sz w:val="22"/>
          <w:szCs w:val="22"/>
          <w:lang w:eastAsia="en-ZA"/>
        </w:rPr>
        <w:t xml:space="preserve">] </w:t>
      </w:r>
    </w:p>
    <w:p w:rsidR="006B0733" w:rsidRDefault="006B0733" w:rsidP="00A77924">
      <w:pPr>
        <w:tabs>
          <w:tab w:val="left" w:pos="8505"/>
        </w:tabs>
        <w:spacing w:before="0" w:line="271" w:lineRule="auto"/>
        <w:rPr>
          <w:rFonts w:ascii="Arial" w:hAnsi="Arial" w:cs="Arial"/>
          <w:i/>
          <w:sz w:val="22"/>
          <w:szCs w:val="22"/>
        </w:rPr>
      </w:pPr>
    </w:p>
    <w:p w:rsidR="00A77924" w:rsidRPr="00124A4F" w:rsidRDefault="00A77924" w:rsidP="00A77924">
      <w:pPr>
        <w:tabs>
          <w:tab w:val="left" w:pos="8505"/>
        </w:tabs>
        <w:spacing w:before="0" w:line="271" w:lineRule="auto"/>
        <w:rPr>
          <w:rFonts w:ascii="Arial" w:hAnsi="Arial" w:cs="Arial"/>
          <w:i/>
          <w:sz w:val="22"/>
          <w:szCs w:val="22"/>
        </w:rPr>
      </w:pPr>
      <w:r w:rsidRPr="00124A4F">
        <w:rPr>
          <w:rFonts w:ascii="Arial" w:hAnsi="Arial" w:cs="Arial"/>
          <w:i/>
          <w:sz w:val="22"/>
          <w:szCs w:val="22"/>
        </w:rPr>
        <w:t xml:space="preserve">Other </w:t>
      </w:r>
      <w:r>
        <w:rPr>
          <w:rFonts w:ascii="Arial" w:hAnsi="Arial" w:cs="Arial"/>
          <w:i/>
          <w:sz w:val="22"/>
          <w:szCs w:val="22"/>
        </w:rPr>
        <w:t>I</w:t>
      </w:r>
      <w:r w:rsidRPr="00124A4F">
        <w:rPr>
          <w:rFonts w:ascii="Arial" w:hAnsi="Arial" w:cs="Arial"/>
          <w:i/>
          <w:sz w:val="22"/>
          <w:szCs w:val="22"/>
        </w:rPr>
        <w:t>nformation</w:t>
      </w:r>
    </w:p>
    <w:p w:rsidR="00A77924" w:rsidRPr="00124A4F" w:rsidRDefault="00A77924" w:rsidP="00A77924">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The </w:t>
      </w:r>
      <w:r>
        <w:rPr>
          <w:rFonts w:ascii="Arial" w:hAnsi="Arial" w:cs="Arial"/>
          <w:color w:val="000000"/>
          <w:sz w:val="22"/>
          <w:szCs w:val="22"/>
          <w:lang w:eastAsia="en-ZA"/>
        </w:rPr>
        <w:t>S</w:t>
      </w:r>
      <w:r w:rsidRPr="002503AC">
        <w:rPr>
          <w:rFonts w:ascii="Arial" w:hAnsi="Arial" w:cs="Arial"/>
          <w:color w:val="000000"/>
          <w:sz w:val="22"/>
          <w:szCs w:val="22"/>
          <w:lang w:eastAsia="en-ZA"/>
        </w:rPr>
        <w:t>cheme’</w:t>
      </w:r>
      <w:r w:rsidRPr="00307A50">
        <w:rPr>
          <w:rFonts w:ascii="Arial" w:hAnsi="Arial" w:cs="Arial"/>
          <w:color w:val="000000"/>
          <w:sz w:val="22"/>
          <w:szCs w:val="22"/>
          <w:lang w:eastAsia="en-ZA"/>
        </w:rPr>
        <w:t>s trustees</w:t>
      </w:r>
      <w:r w:rsidRPr="00124A4F">
        <w:rPr>
          <w:rFonts w:ascii="Arial" w:hAnsi="Arial" w:cs="Arial"/>
          <w:color w:val="000000"/>
          <w:sz w:val="22"/>
          <w:szCs w:val="22"/>
          <w:lang w:eastAsia="en-ZA"/>
        </w:rPr>
        <w:t xml:space="preserve"> are responsible for the other information. The other information comprises </w:t>
      </w:r>
      <w:r w:rsidRPr="00927895">
        <w:rPr>
          <w:rFonts w:ascii="Arial" w:hAnsi="Arial" w:cs="Arial"/>
          <w:i/>
          <w:color w:val="000000"/>
          <w:sz w:val="22"/>
          <w:szCs w:val="22"/>
          <w:lang w:eastAsia="en-ZA"/>
        </w:rPr>
        <w:t>&lt;insert description&gt;</w:t>
      </w:r>
      <w:r w:rsidRPr="00124A4F">
        <w:rPr>
          <w:rFonts w:ascii="Arial" w:hAnsi="Arial" w:cs="Arial"/>
          <w:color w:val="000000"/>
          <w:sz w:val="22"/>
          <w:szCs w:val="22"/>
          <w:lang w:eastAsia="en-ZA"/>
        </w:rPr>
        <w:t>. The o</w:t>
      </w:r>
      <w:r w:rsidRPr="00124A4F">
        <w:rPr>
          <w:rFonts w:ascii="Arial" w:hAnsi="Arial" w:cs="Arial"/>
          <w:iCs/>
          <w:color w:val="000000"/>
          <w:sz w:val="22"/>
          <w:szCs w:val="22"/>
          <w:lang w:eastAsia="en-ZA"/>
        </w:rPr>
        <w:t>ther information does not include the financial statements and our auditor’s report thereon</w:t>
      </w:r>
      <w:r w:rsidRPr="00124A4F">
        <w:rPr>
          <w:rFonts w:ascii="Arial" w:hAnsi="Arial" w:cs="Arial"/>
          <w:color w:val="000000"/>
          <w:sz w:val="22"/>
          <w:szCs w:val="22"/>
          <w:lang w:eastAsia="en-ZA"/>
        </w:rPr>
        <w:t xml:space="preserve">. </w:t>
      </w:r>
    </w:p>
    <w:p w:rsidR="00A77924" w:rsidRPr="00124A4F" w:rsidRDefault="00A77924" w:rsidP="00A77924">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rsidR="00A77924" w:rsidRPr="00124A4F" w:rsidRDefault="00A77924" w:rsidP="00A77924">
      <w:pPr>
        <w:tabs>
          <w:tab w:val="left" w:pos="8505"/>
        </w:tabs>
        <w:spacing w:before="0" w:line="271" w:lineRule="auto"/>
        <w:rPr>
          <w:rFonts w:ascii="Arial" w:hAnsi="Arial" w:cs="Arial"/>
          <w:i/>
          <w:sz w:val="22"/>
          <w:szCs w:val="22"/>
        </w:rPr>
      </w:pPr>
      <w:r w:rsidRPr="00124A4F">
        <w:rPr>
          <w:rFonts w:ascii="Arial" w:hAnsi="Arial" w:cs="Arial"/>
          <w:color w:val="000000"/>
          <w:sz w:val="22"/>
          <w:szCs w:val="22"/>
          <w:lang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w:t>
      </w:r>
      <w:r w:rsidRPr="00124A4F">
        <w:rPr>
          <w:rFonts w:ascii="Arial" w:hAnsi="Arial" w:cs="Arial"/>
          <w:color w:val="000000"/>
          <w:sz w:val="22"/>
          <w:szCs w:val="22"/>
          <w:lang w:eastAsia="en-ZA"/>
        </w:rPr>
        <w:lastRenderedPageBreak/>
        <w:t>a material misstatement of this other information, we are required to report that fact. We have nothing to report in this regard.</w:t>
      </w:r>
    </w:p>
    <w:p w:rsidR="00A77924" w:rsidRDefault="00A77924" w:rsidP="00A77924">
      <w:pPr>
        <w:spacing w:before="0" w:line="271" w:lineRule="auto"/>
        <w:rPr>
          <w:rFonts w:ascii="Arial" w:hAnsi="Arial" w:cs="Arial"/>
          <w:i/>
          <w:sz w:val="22"/>
          <w:szCs w:val="22"/>
        </w:rPr>
      </w:pPr>
    </w:p>
    <w:p w:rsidR="00A77924" w:rsidRPr="00687BDF" w:rsidRDefault="00A77924" w:rsidP="00A77924">
      <w:pPr>
        <w:spacing w:before="0" w:line="271" w:lineRule="auto"/>
        <w:rPr>
          <w:rFonts w:ascii="Arial" w:hAnsi="Arial" w:cs="Arial"/>
          <w:i/>
          <w:sz w:val="22"/>
          <w:szCs w:val="22"/>
        </w:rPr>
      </w:pPr>
      <w:r w:rsidRPr="00EC7927">
        <w:rPr>
          <w:rFonts w:ascii="Arial" w:hAnsi="Arial" w:cs="Arial"/>
          <w:i/>
          <w:sz w:val="22"/>
          <w:szCs w:val="22"/>
        </w:rPr>
        <w:t xml:space="preserve">Responsibilities of the </w:t>
      </w:r>
      <w:r>
        <w:rPr>
          <w:rFonts w:ascii="Arial" w:hAnsi="Arial" w:cs="Arial"/>
          <w:i/>
          <w:sz w:val="22"/>
          <w:szCs w:val="22"/>
        </w:rPr>
        <w:t xml:space="preserve">Scheme’s </w:t>
      </w:r>
      <w:r w:rsidRPr="00EC7927">
        <w:rPr>
          <w:rFonts w:ascii="Arial" w:hAnsi="Arial" w:cs="Arial"/>
          <w:i/>
          <w:sz w:val="22"/>
          <w:szCs w:val="22"/>
        </w:rPr>
        <w:t>Trustees</w:t>
      </w:r>
      <w:r w:rsidRPr="00687BDF">
        <w:rPr>
          <w:rFonts w:ascii="Arial" w:hAnsi="Arial" w:cs="Arial"/>
          <w:i/>
          <w:sz w:val="22"/>
          <w:szCs w:val="22"/>
        </w:rPr>
        <w:t xml:space="preserve"> for the Financial Statements </w:t>
      </w:r>
    </w:p>
    <w:p w:rsidR="00A77924" w:rsidRPr="004C3C72" w:rsidRDefault="00A77924" w:rsidP="00A77924">
      <w:pPr>
        <w:spacing w:before="0" w:line="271" w:lineRule="auto"/>
        <w:rPr>
          <w:rFonts w:ascii="Arial" w:hAnsi="Arial" w:cs="Arial"/>
          <w:sz w:val="22"/>
          <w:szCs w:val="22"/>
        </w:rPr>
      </w:pPr>
      <w:r w:rsidRPr="00687BDF">
        <w:rPr>
          <w:rFonts w:ascii="Arial" w:hAnsi="Arial" w:cs="Arial"/>
          <w:sz w:val="22"/>
          <w:szCs w:val="22"/>
        </w:rPr>
        <w:t xml:space="preserve">The </w:t>
      </w:r>
      <w:r>
        <w:rPr>
          <w:rFonts w:ascii="Arial" w:hAnsi="Arial" w:cs="Arial"/>
          <w:sz w:val="22"/>
          <w:szCs w:val="22"/>
        </w:rPr>
        <w:t>S</w:t>
      </w:r>
      <w:r w:rsidRPr="00687BDF">
        <w:rPr>
          <w:rFonts w:ascii="Arial" w:hAnsi="Arial" w:cs="Arial"/>
          <w:sz w:val="22"/>
          <w:szCs w:val="22"/>
        </w:rPr>
        <w:t>cheme’s trustees are responsibl</w:t>
      </w:r>
      <w:r w:rsidRPr="00EC18D9">
        <w:rPr>
          <w:rFonts w:ascii="Arial" w:hAnsi="Arial" w:cs="Arial"/>
          <w:sz w:val="22"/>
          <w:szCs w:val="22"/>
        </w:rPr>
        <w:t>e for the preparation and fair presentation of the</w:t>
      </w:r>
      <w:r w:rsidRPr="00B33B3C">
        <w:rPr>
          <w:rFonts w:ascii="Arial" w:hAnsi="Arial" w:cs="Arial"/>
          <w:sz w:val="22"/>
          <w:szCs w:val="22"/>
        </w:rPr>
        <w:t xml:space="preserve"> financial statements in accordance with International Financial Reporting Standards and the requirements of the Medical Schemes Act of South Africa, and for such internal control as the </w:t>
      </w:r>
      <w:r>
        <w:rPr>
          <w:rFonts w:ascii="Arial" w:hAnsi="Arial" w:cs="Arial"/>
          <w:sz w:val="22"/>
          <w:szCs w:val="22"/>
        </w:rPr>
        <w:t xml:space="preserve">Scheme’s </w:t>
      </w:r>
      <w:r w:rsidRPr="00B33B3C">
        <w:rPr>
          <w:rFonts w:ascii="Arial" w:hAnsi="Arial" w:cs="Arial"/>
          <w:sz w:val="22"/>
          <w:szCs w:val="22"/>
        </w:rPr>
        <w:t>trustees determin</w:t>
      </w:r>
      <w:r w:rsidRPr="00970A9C">
        <w:rPr>
          <w:rFonts w:ascii="Arial" w:hAnsi="Arial" w:cs="Arial"/>
          <w:sz w:val="22"/>
          <w:szCs w:val="22"/>
        </w:rPr>
        <w:t xml:space="preserve">e is necessary to enable the preparation of financial statements that are free from material misstatement, whether due to fraud or error. </w:t>
      </w: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 xml:space="preserve">In preparing the financial statements, the </w:t>
      </w:r>
      <w:r>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going concern and using the going concern basis of accounting unless the </w:t>
      </w:r>
      <w:r>
        <w:rPr>
          <w:rFonts w:ascii="Arial" w:hAnsi="Arial" w:cs="Arial"/>
          <w:sz w:val="22"/>
          <w:szCs w:val="22"/>
        </w:rPr>
        <w:t>Scheme’s trustees</w:t>
      </w:r>
      <w:r w:rsidRPr="00124A4F">
        <w:rPr>
          <w:rFonts w:ascii="Arial" w:hAnsi="Arial" w:cs="Arial"/>
          <w:sz w:val="22"/>
          <w:szCs w:val="22"/>
        </w:rPr>
        <w:t xml:space="preserve"> either intend to liquidate the </w:t>
      </w:r>
      <w:r>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 </w:t>
      </w:r>
    </w:p>
    <w:p w:rsidR="00A77924" w:rsidRDefault="00A77924" w:rsidP="00A77924">
      <w:pPr>
        <w:spacing w:before="0" w:line="271" w:lineRule="auto"/>
        <w:rPr>
          <w:rFonts w:ascii="Arial" w:hAnsi="Arial" w:cs="Arial"/>
          <w:i/>
          <w:sz w:val="22"/>
          <w:szCs w:val="22"/>
        </w:rPr>
      </w:pPr>
    </w:p>
    <w:p w:rsidR="00A77924" w:rsidRPr="002503AC" w:rsidRDefault="00A77924" w:rsidP="00A77924">
      <w:pPr>
        <w:spacing w:before="0" w:line="271" w:lineRule="auto"/>
        <w:rPr>
          <w:rFonts w:ascii="Arial" w:hAnsi="Arial" w:cs="Arial"/>
          <w:i/>
          <w:sz w:val="22"/>
          <w:szCs w:val="22"/>
        </w:rPr>
      </w:pPr>
      <w:r w:rsidRPr="002503AC">
        <w:rPr>
          <w:rFonts w:ascii="Arial" w:hAnsi="Arial" w:cs="Arial"/>
          <w:i/>
          <w:sz w:val="22"/>
          <w:szCs w:val="22"/>
        </w:rPr>
        <w:t>Auditor’s Responsibilities for the Audit of the Financial Statements</w:t>
      </w: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rsidR="00A77924" w:rsidRPr="00124A4F" w:rsidRDefault="00A77924" w:rsidP="00A77924">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As part of an audit in accordance with ISAs, we exercise professional judgement and maintain professional scepticism throughout the audit. We also: </w:t>
      </w:r>
    </w:p>
    <w:p w:rsidR="00A77924" w:rsidRPr="00124A4F" w:rsidRDefault="00A77924" w:rsidP="00A77924">
      <w:pPr>
        <w:pStyle w:val="ListParagraph"/>
        <w:numPr>
          <w:ilvl w:val="0"/>
          <w:numId w:val="339"/>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rsidR="00A77924" w:rsidRPr="00124A4F" w:rsidRDefault="00A77924" w:rsidP="00A77924">
      <w:pPr>
        <w:pStyle w:val="ListParagraph"/>
        <w:numPr>
          <w:ilvl w:val="0"/>
          <w:numId w:val="339"/>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Obtain an understanding of internal control relevant to the audit in order to design audit procedures that are appropriate in the circumstances, but not for the purpose of expressing an opinion on the effectiveness of the </w:t>
      </w:r>
      <w:r>
        <w:rPr>
          <w:rFonts w:ascii="Arial" w:hAnsi="Arial" w:cs="Arial"/>
          <w:color w:val="000000"/>
        </w:rPr>
        <w:t>Scheme’s</w:t>
      </w:r>
      <w:r w:rsidRPr="00124A4F">
        <w:rPr>
          <w:rFonts w:ascii="Arial" w:hAnsi="Arial" w:cs="Arial"/>
          <w:color w:val="000000"/>
        </w:rPr>
        <w:t xml:space="preserve"> internal control. </w:t>
      </w:r>
    </w:p>
    <w:p w:rsidR="00A77924" w:rsidRPr="00124A4F" w:rsidRDefault="00A77924" w:rsidP="00A77924">
      <w:pPr>
        <w:pStyle w:val="ListParagraph"/>
        <w:numPr>
          <w:ilvl w:val="0"/>
          <w:numId w:val="339"/>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Evaluate the appropriateness of accounting policies used and the reasonableness of accounting estimates and related disclosures made by the </w:t>
      </w:r>
      <w:r>
        <w:rPr>
          <w:rFonts w:ascii="Arial" w:hAnsi="Arial" w:cs="Arial"/>
          <w:color w:val="000000"/>
        </w:rPr>
        <w:t>Scheme’s trustees</w:t>
      </w:r>
      <w:r w:rsidRPr="00124A4F">
        <w:rPr>
          <w:rFonts w:ascii="Arial" w:hAnsi="Arial" w:cs="Arial"/>
          <w:color w:val="000000"/>
        </w:rPr>
        <w:t xml:space="preserve">. </w:t>
      </w:r>
    </w:p>
    <w:p w:rsidR="00A77924" w:rsidRPr="00124A4F" w:rsidRDefault="00A77924" w:rsidP="00A77924">
      <w:pPr>
        <w:pStyle w:val="ListParagraph"/>
        <w:numPr>
          <w:ilvl w:val="0"/>
          <w:numId w:val="339"/>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Pr>
          <w:rFonts w:ascii="Arial" w:hAnsi="Arial" w:cs="Arial"/>
          <w:color w:val="000000"/>
        </w:rPr>
        <w:t>Scheme’s trustees’</w:t>
      </w:r>
      <w:r w:rsidRPr="00124A4F">
        <w:rPr>
          <w:rFonts w:ascii="Arial" w:hAnsi="Arial" w:cs="Arial"/>
          <w:color w:val="000000"/>
        </w:rPr>
        <w:t xml:space="preserve"> use of the going concern basis of accounting and based on the audit evidence obtained, whether a material </w:t>
      </w:r>
      <w:r w:rsidRPr="00124A4F">
        <w:rPr>
          <w:rFonts w:ascii="Arial" w:hAnsi="Arial" w:cs="Arial"/>
          <w:color w:val="000000"/>
        </w:rPr>
        <w:lastRenderedPageBreak/>
        <w:t xml:space="preserve">uncertainty exists related to events or conditions that may cast significant doubt on the </w:t>
      </w:r>
      <w:r>
        <w:rPr>
          <w:rFonts w:ascii="Arial" w:hAnsi="Arial" w:cs="Arial"/>
          <w:color w:val="000000"/>
        </w:rPr>
        <w:t>Scheme’s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Pr>
          <w:rFonts w:ascii="Arial" w:hAnsi="Arial" w:cs="Arial"/>
          <w:color w:val="000000"/>
        </w:rPr>
        <w:t>Scheme</w:t>
      </w:r>
      <w:r w:rsidRPr="00124A4F">
        <w:rPr>
          <w:rFonts w:ascii="Arial" w:hAnsi="Arial" w:cs="Arial"/>
          <w:color w:val="000000"/>
        </w:rPr>
        <w:t xml:space="preserve"> to cease to continue as a going concern. </w:t>
      </w:r>
    </w:p>
    <w:p w:rsidR="00A77924" w:rsidRDefault="00A77924" w:rsidP="00A77924">
      <w:pPr>
        <w:pStyle w:val="ListParagraph"/>
        <w:numPr>
          <w:ilvl w:val="0"/>
          <w:numId w:val="339"/>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A77924" w:rsidRPr="00124A4F" w:rsidRDefault="00A77924" w:rsidP="00A77924">
      <w:pPr>
        <w:pStyle w:val="ListParagraph"/>
        <w:tabs>
          <w:tab w:val="left" w:pos="8505"/>
        </w:tabs>
        <w:autoSpaceDE w:val="0"/>
        <w:autoSpaceDN w:val="0"/>
        <w:adjustRightInd w:val="0"/>
        <w:spacing w:after="120" w:line="271" w:lineRule="auto"/>
        <w:ind w:left="426"/>
        <w:contextualSpacing w:val="0"/>
        <w:jc w:val="both"/>
        <w:rPr>
          <w:rFonts w:ascii="Arial" w:hAnsi="Arial" w:cs="Arial"/>
          <w:color w:val="000000"/>
        </w:rPr>
      </w:pPr>
    </w:p>
    <w:p w:rsidR="00A77924" w:rsidRDefault="00A77924" w:rsidP="00A77924">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We communicate with </w:t>
      </w:r>
      <w:r w:rsidRPr="00124A4F">
        <w:rPr>
          <w:rFonts w:ascii="Arial" w:hAnsi="Arial" w:cs="Arial"/>
          <w:sz w:val="22"/>
          <w:szCs w:val="22"/>
          <w:lang w:eastAsia="en-ZA"/>
        </w:rPr>
        <w:t xml:space="preserve">the </w:t>
      </w:r>
      <w:r>
        <w:rPr>
          <w:rFonts w:ascii="Arial" w:hAnsi="Arial" w:cs="Arial"/>
          <w:sz w:val="22"/>
          <w:szCs w:val="22"/>
          <w:lang w:eastAsia="en-ZA"/>
        </w:rPr>
        <w:t>Scheme’s trustees</w:t>
      </w:r>
      <w:r w:rsidRPr="00124A4F">
        <w:rPr>
          <w:rFonts w:ascii="Arial" w:hAnsi="Arial" w:cs="Arial"/>
          <w:color w:val="000000"/>
          <w:sz w:val="22"/>
          <w:szCs w:val="22"/>
          <w:lang w:eastAsia="en-ZA"/>
        </w:rPr>
        <w:t xml:space="preserve"> regarding, among other matters, the planned scope and timing of the audit and significant audit findings, including any significant deficiencies in internal control that we identify during our audit.</w:t>
      </w:r>
      <w:bookmarkStart w:id="236" w:name="_Toc416950608"/>
      <w:bookmarkStart w:id="237" w:name="_Toc416950823"/>
      <w:bookmarkStart w:id="238" w:name="_Toc416951038"/>
      <w:bookmarkStart w:id="239" w:name="_Toc416951253"/>
      <w:bookmarkStart w:id="240" w:name="_Toc416961665"/>
      <w:bookmarkStart w:id="241" w:name="_Toc420045442"/>
      <w:bookmarkEnd w:id="236"/>
      <w:bookmarkEnd w:id="237"/>
      <w:bookmarkEnd w:id="238"/>
      <w:bookmarkEnd w:id="239"/>
      <w:bookmarkEnd w:id="240"/>
      <w:bookmarkEnd w:id="241"/>
    </w:p>
    <w:p w:rsidR="00A77924" w:rsidRPr="00124A4F" w:rsidRDefault="00A77924" w:rsidP="00A77924">
      <w:pPr>
        <w:tabs>
          <w:tab w:val="left" w:pos="8505"/>
        </w:tabs>
        <w:spacing w:before="0" w:line="271" w:lineRule="auto"/>
        <w:rPr>
          <w:rFonts w:ascii="Arial" w:hAnsi="Arial" w:cs="Arial"/>
          <w:color w:val="000000"/>
          <w:sz w:val="22"/>
          <w:szCs w:val="22"/>
          <w:lang w:eastAsia="en-ZA"/>
        </w:rPr>
      </w:pPr>
      <w:r w:rsidRPr="006554C5">
        <w:rPr>
          <w:rFonts w:ascii="Arial" w:hAnsi="Arial" w:cs="Arial"/>
          <w:color w:val="000000"/>
          <w:sz w:val="22"/>
          <w:szCs w:val="22"/>
          <w:lang w:eastAsia="en-ZA"/>
        </w:rPr>
        <w:t xml:space="preserve">From the matters communicated with the </w:t>
      </w:r>
      <w:r>
        <w:rPr>
          <w:rFonts w:ascii="Arial" w:hAnsi="Arial" w:cs="Arial"/>
          <w:color w:val="000000"/>
          <w:sz w:val="22"/>
          <w:szCs w:val="22"/>
          <w:lang w:eastAsia="en-ZA"/>
        </w:rPr>
        <w:t>Scheme’s trustees</w:t>
      </w:r>
      <w:r w:rsidRPr="006554C5">
        <w:rPr>
          <w:rFonts w:ascii="Arial" w:hAnsi="Arial" w:cs="Arial"/>
          <w:color w:val="000000"/>
          <w:sz w:val="22"/>
          <w:szCs w:val="22"/>
          <w:lang w:eastAsia="en-ZA"/>
        </w:rPr>
        <w:t xml:space="preserve">,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rsidR="00A77924" w:rsidRPr="00A05A79" w:rsidRDefault="00A77924" w:rsidP="00A77924">
      <w:pPr>
        <w:spacing w:before="0" w:line="271" w:lineRule="auto"/>
        <w:rPr>
          <w:rFonts w:ascii="Arial" w:hAnsi="Arial" w:cs="Arial"/>
          <w:sz w:val="22"/>
          <w:szCs w:val="22"/>
        </w:rPr>
      </w:pPr>
    </w:p>
    <w:p w:rsidR="00A77924" w:rsidRPr="00EC7927" w:rsidRDefault="00A77924" w:rsidP="00A77924">
      <w:pPr>
        <w:keepNext/>
        <w:spacing w:before="0" w:line="271" w:lineRule="auto"/>
        <w:rPr>
          <w:rFonts w:ascii="Arial" w:hAnsi="Arial" w:cs="Arial"/>
          <w:b/>
          <w:sz w:val="22"/>
          <w:szCs w:val="22"/>
        </w:rPr>
      </w:pPr>
      <w:r w:rsidRPr="00A05A79">
        <w:rPr>
          <w:rFonts w:ascii="Arial" w:hAnsi="Arial" w:cs="Arial"/>
          <w:b/>
          <w:sz w:val="22"/>
          <w:szCs w:val="22"/>
        </w:rPr>
        <w:t>Report on Other Legal and Regulatory Requirements</w:t>
      </w:r>
      <w:r w:rsidRPr="00EC7927">
        <w:rPr>
          <w:rStyle w:val="FootnoteReference"/>
          <w:rFonts w:ascii="Arial" w:hAnsi="Arial" w:cs="Arial"/>
          <w:b/>
          <w:sz w:val="22"/>
          <w:szCs w:val="22"/>
        </w:rPr>
        <w:footnoteReference w:id="62"/>
      </w:r>
    </w:p>
    <w:p w:rsidR="00A77924" w:rsidRDefault="00A77924" w:rsidP="00A77924">
      <w:pPr>
        <w:keepNext/>
        <w:spacing w:before="0" w:line="271" w:lineRule="auto"/>
        <w:rPr>
          <w:rFonts w:ascii="Arial" w:hAnsi="Arial" w:cs="Arial"/>
          <w:i/>
          <w:sz w:val="22"/>
          <w:szCs w:val="22"/>
        </w:rPr>
      </w:pPr>
    </w:p>
    <w:p w:rsidR="00A77924" w:rsidRPr="00EC7927" w:rsidRDefault="00A77924" w:rsidP="00A77924">
      <w:pPr>
        <w:keepNext/>
        <w:spacing w:before="0" w:line="271" w:lineRule="auto"/>
        <w:rPr>
          <w:rFonts w:ascii="Arial" w:hAnsi="Arial" w:cs="Arial"/>
          <w:i/>
          <w:sz w:val="22"/>
          <w:szCs w:val="22"/>
        </w:rPr>
      </w:pPr>
      <w:r w:rsidRPr="00EC7927">
        <w:rPr>
          <w:rFonts w:ascii="Arial" w:hAnsi="Arial" w:cs="Arial"/>
          <w:i/>
          <w:sz w:val="22"/>
          <w:szCs w:val="22"/>
        </w:rPr>
        <w:t>Non-compliance with the Medical Schemes Act of South Africa</w:t>
      </w:r>
      <w:r w:rsidRPr="00EC7927">
        <w:rPr>
          <w:rStyle w:val="FootnoteReference"/>
          <w:rFonts w:ascii="Arial" w:hAnsi="Arial" w:cs="Arial"/>
          <w:sz w:val="22"/>
          <w:szCs w:val="22"/>
        </w:rPr>
        <w:footnoteReference w:id="63"/>
      </w:r>
    </w:p>
    <w:p w:rsidR="00A77924" w:rsidRPr="00970A9C" w:rsidRDefault="00A77924" w:rsidP="00A77924">
      <w:pPr>
        <w:keepNext/>
        <w:spacing w:before="0" w:line="271" w:lineRule="auto"/>
        <w:rPr>
          <w:rFonts w:ascii="Arial" w:hAnsi="Arial" w:cs="Arial"/>
          <w:sz w:val="22"/>
          <w:szCs w:val="22"/>
        </w:rPr>
      </w:pPr>
      <w:r w:rsidRPr="00EC7927">
        <w:rPr>
          <w:rFonts w:ascii="Arial" w:hAnsi="Arial" w:cs="Arial"/>
          <w:sz w:val="22"/>
          <w:szCs w:val="22"/>
        </w:rPr>
        <w:t xml:space="preserve">As required by the </w:t>
      </w:r>
      <w:r w:rsidRPr="00687BDF">
        <w:rPr>
          <w:rFonts w:ascii="Arial" w:hAnsi="Arial" w:cs="Arial"/>
          <w:sz w:val="22"/>
          <w:szCs w:val="22"/>
        </w:rPr>
        <w:t xml:space="preserve">Council for Medical Schemes, we report that there are no material </w:t>
      </w:r>
      <w:r w:rsidRPr="00EC18D9">
        <w:rPr>
          <w:rFonts w:ascii="Arial" w:hAnsi="Arial" w:cs="Arial"/>
          <w:sz w:val="22"/>
          <w:szCs w:val="22"/>
        </w:rPr>
        <w:t>instances of non-compliance with the requirements of the Medical Schemes Act of South Africa</w:t>
      </w:r>
      <w:r w:rsidRPr="00B33B3C">
        <w:rPr>
          <w:rFonts w:ascii="Arial" w:hAnsi="Arial" w:cs="Arial"/>
          <w:sz w:val="22"/>
          <w:szCs w:val="22"/>
        </w:rPr>
        <w:t>, that have come to our attention</w:t>
      </w:r>
      <w:r w:rsidRPr="00970A9C">
        <w:rPr>
          <w:rFonts w:ascii="Arial" w:hAnsi="Arial" w:cs="Arial"/>
          <w:sz w:val="22"/>
          <w:szCs w:val="22"/>
        </w:rPr>
        <w:t xml:space="preserve"> during the course of our audit.</w:t>
      </w:r>
    </w:p>
    <w:p w:rsidR="00A77924" w:rsidRPr="004C3C72" w:rsidRDefault="00A77924" w:rsidP="00A77924">
      <w:pPr>
        <w:spacing w:before="0" w:line="271" w:lineRule="auto"/>
        <w:rPr>
          <w:rFonts w:ascii="Arial" w:hAnsi="Arial" w:cs="Arial"/>
          <w:i/>
          <w:sz w:val="22"/>
          <w:szCs w:val="22"/>
        </w:rPr>
      </w:pPr>
      <w:r w:rsidRPr="004C3C72">
        <w:rPr>
          <w:rFonts w:ascii="Arial" w:hAnsi="Arial" w:cs="Arial"/>
          <w:i/>
          <w:sz w:val="22"/>
          <w:szCs w:val="22"/>
        </w:rPr>
        <w:t>Or</w:t>
      </w:r>
    </w:p>
    <w:p w:rsidR="00A77924" w:rsidRPr="00307A50" w:rsidRDefault="00A77924" w:rsidP="00A77924">
      <w:pPr>
        <w:spacing w:before="0" w:line="271" w:lineRule="auto"/>
        <w:rPr>
          <w:rFonts w:ascii="Arial" w:hAnsi="Arial" w:cs="Arial"/>
          <w:sz w:val="22"/>
          <w:szCs w:val="22"/>
        </w:rPr>
      </w:pPr>
      <w:r w:rsidRPr="00A05A79">
        <w:rPr>
          <w:rFonts w:ascii="Arial" w:hAnsi="Arial" w:cs="Arial"/>
          <w:sz w:val="22"/>
          <w:szCs w:val="22"/>
        </w:rPr>
        <w:t>As required by the Council for Medical Schemes, we report the following material instances of non-compliance with the requirements of the Medical Schemes Act of South Africa as amended</w:t>
      </w:r>
      <w:r w:rsidRPr="002503AC">
        <w:rPr>
          <w:rFonts w:ascii="Arial" w:hAnsi="Arial" w:cs="Arial"/>
          <w:sz w:val="22"/>
          <w:szCs w:val="22"/>
        </w:rPr>
        <w:t xml:space="preserve"> that have come to our attention</w:t>
      </w:r>
      <w:r w:rsidRPr="00307A50">
        <w:rPr>
          <w:rFonts w:ascii="Arial" w:hAnsi="Arial" w:cs="Arial"/>
          <w:sz w:val="22"/>
          <w:szCs w:val="22"/>
        </w:rPr>
        <w:t xml:space="preserve"> during the course of our audit:</w:t>
      </w:r>
    </w:p>
    <w:p w:rsidR="00A77924" w:rsidRPr="00307A50" w:rsidRDefault="00A77924" w:rsidP="00A77924">
      <w:pPr>
        <w:pStyle w:val="ListParagraph"/>
        <w:numPr>
          <w:ilvl w:val="0"/>
          <w:numId w:val="308"/>
        </w:numPr>
        <w:autoSpaceDE w:val="0"/>
        <w:autoSpaceDN w:val="0"/>
        <w:adjustRightInd w:val="0"/>
        <w:spacing w:after="120" w:line="271" w:lineRule="auto"/>
        <w:contextualSpacing w:val="0"/>
        <w:rPr>
          <w:rFonts w:ascii="Arial" w:hAnsi="Arial" w:cs="Arial"/>
        </w:rPr>
      </w:pPr>
      <w:r w:rsidRPr="00307A50">
        <w:rPr>
          <w:rFonts w:ascii="Arial" w:hAnsi="Arial" w:cs="Arial"/>
        </w:rPr>
        <w:t>&lt;</w:t>
      </w:r>
      <w:r w:rsidRPr="00307A50">
        <w:rPr>
          <w:rFonts w:ascii="Arial" w:hAnsi="Arial" w:cs="Arial"/>
          <w:i/>
        </w:rPr>
        <w:t>List instances of non-compliance</w:t>
      </w:r>
      <w:r w:rsidRPr="00307A50">
        <w:rPr>
          <w:rFonts w:ascii="Arial" w:hAnsi="Arial" w:cs="Arial"/>
        </w:rPr>
        <w:t>&gt;.</w:t>
      </w:r>
    </w:p>
    <w:p w:rsidR="00A77924" w:rsidRPr="00307A50" w:rsidRDefault="00A77924" w:rsidP="00A77924">
      <w:pPr>
        <w:pStyle w:val="ListParagraph"/>
        <w:numPr>
          <w:ilvl w:val="0"/>
          <w:numId w:val="308"/>
        </w:numPr>
        <w:autoSpaceDE w:val="0"/>
        <w:autoSpaceDN w:val="0"/>
        <w:adjustRightInd w:val="0"/>
        <w:spacing w:after="120" w:line="271" w:lineRule="auto"/>
        <w:contextualSpacing w:val="0"/>
        <w:rPr>
          <w:rFonts w:ascii="Arial" w:hAnsi="Arial" w:cs="Arial"/>
        </w:rPr>
      </w:pPr>
    </w:p>
    <w:p w:rsidR="00A77924" w:rsidRPr="00307A50" w:rsidRDefault="00A77924" w:rsidP="00A77924">
      <w:pPr>
        <w:spacing w:before="0" w:line="271" w:lineRule="auto"/>
        <w:rPr>
          <w:rFonts w:ascii="Arial" w:hAnsi="Arial" w:cs="Arial"/>
          <w:i/>
          <w:sz w:val="22"/>
          <w:szCs w:val="22"/>
        </w:rPr>
      </w:pPr>
    </w:p>
    <w:p w:rsidR="00A77924" w:rsidRPr="00115F13" w:rsidRDefault="00A77924" w:rsidP="00A77924">
      <w:pPr>
        <w:spacing w:before="0" w:line="271" w:lineRule="auto"/>
        <w:rPr>
          <w:rFonts w:ascii="Arial" w:hAnsi="Arial" w:cs="Arial"/>
          <w:i/>
          <w:sz w:val="22"/>
          <w:szCs w:val="22"/>
        </w:rPr>
      </w:pPr>
      <w:r w:rsidRPr="00115F13">
        <w:rPr>
          <w:rFonts w:ascii="Arial" w:hAnsi="Arial" w:cs="Arial"/>
          <w:i/>
          <w:sz w:val="22"/>
          <w:szCs w:val="22"/>
        </w:rPr>
        <w:t>Reportable Irregularities</w:t>
      </w:r>
      <w:r>
        <w:rPr>
          <w:rStyle w:val="FootnoteReference"/>
          <w:rFonts w:ascii="Arial" w:hAnsi="Arial" w:cs="Arial"/>
          <w:i/>
          <w:sz w:val="22"/>
          <w:szCs w:val="22"/>
        </w:rPr>
        <w:footnoteReference w:id="64"/>
      </w: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 xml:space="preserve">In accordance with our responsibilities in terms of sections </w:t>
      </w:r>
      <w:r w:rsidRPr="00B07155">
        <w:rPr>
          <w:rFonts w:ascii="Arial" w:hAnsi="Arial" w:cs="Arial"/>
          <w:sz w:val="22"/>
          <w:szCs w:val="22"/>
        </w:rPr>
        <w:t>44(2) and 44(3)</w:t>
      </w:r>
      <w:r w:rsidRPr="00124A4F">
        <w:rPr>
          <w:rFonts w:ascii="Arial" w:hAnsi="Arial" w:cs="Arial"/>
          <w:sz w:val="22"/>
          <w:szCs w:val="22"/>
        </w:rPr>
        <w:t xml:space="preserve">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5D19B8">
        <w:rPr>
          <w:rStyle w:val="FootnoteReference"/>
          <w:rFonts w:ascii="Arial" w:hAnsi="Arial" w:cs="Arial"/>
        </w:rPr>
        <w:footnoteReference w:id="65"/>
      </w:r>
      <w:r w:rsidRPr="00124A4F">
        <w:rPr>
          <w:rFonts w:ascii="Arial" w:hAnsi="Arial" w:cs="Arial"/>
          <w:sz w:val="22"/>
          <w:szCs w:val="22"/>
        </w:rPr>
        <w:t>.]</w:t>
      </w:r>
    </w:p>
    <w:p w:rsidR="00A77924" w:rsidRPr="005D19B8" w:rsidRDefault="00A77924" w:rsidP="00A77924">
      <w:pPr>
        <w:spacing w:before="0" w:line="271" w:lineRule="auto"/>
        <w:rPr>
          <w:rFonts w:ascii="Arial" w:hAnsi="Arial" w:cs="Arial"/>
          <w:i/>
          <w:sz w:val="22"/>
          <w:szCs w:val="22"/>
        </w:rPr>
      </w:pP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 if not a sole practitioner: e.g. Director or Partner</w:t>
      </w:r>
      <w:r w:rsidRPr="00124A4F">
        <w:rPr>
          <w:rFonts w:ascii="Arial" w:hAnsi="Arial" w:cs="Arial"/>
          <w:sz w:val="22"/>
          <w:szCs w:val="22"/>
        </w:rPr>
        <w:t>]</w:t>
      </w: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Registered Auditor</w:t>
      </w:r>
    </w:p>
    <w:p w:rsidR="00A77924" w:rsidRPr="00124A4F" w:rsidRDefault="00A77924" w:rsidP="00A77924">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rsidR="00B1010D" w:rsidRPr="00F463BC" w:rsidRDefault="00A77924" w:rsidP="00A77924">
      <w:pPr>
        <w:keepNext/>
        <w:spacing w:before="0" w:line="271" w:lineRule="auto"/>
        <w:rPr>
          <w:rFonts w:ascii="Arial" w:hAnsi="Arial" w:cs="Arial"/>
          <w:sz w:val="22"/>
          <w:szCs w:val="22"/>
          <w:lang w:val="en-GB"/>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rsidR="009B05BA" w:rsidRPr="00F463BC" w:rsidRDefault="009B05BA" w:rsidP="00B82F08">
      <w:pPr>
        <w:spacing w:before="0" w:line="271" w:lineRule="auto"/>
        <w:rPr>
          <w:rFonts w:ascii="Arial" w:hAnsi="Arial" w:cs="Arial"/>
          <w:b/>
          <w:sz w:val="22"/>
          <w:szCs w:val="22"/>
          <w:lang w:val="en-GB"/>
        </w:rPr>
      </w:pPr>
    </w:p>
    <w:p w:rsidR="004D16D5" w:rsidRPr="00F463BC" w:rsidRDefault="004D16D5" w:rsidP="00B82F08">
      <w:pPr>
        <w:pStyle w:val="Heading1"/>
        <w:spacing w:line="271" w:lineRule="auto"/>
        <w:rPr>
          <w:lang w:val="en-GB"/>
        </w:rPr>
        <w:sectPr w:rsidR="004D16D5" w:rsidRPr="00F463BC" w:rsidSect="001B129E">
          <w:headerReference w:type="default" r:id="rId24"/>
          <w:headerReference w:type="first" r:id="rId25"/>
          <w:type w:val="continuous"/>
          <w:pgSz w:w="11909" w:h="16834" w:code="9"/>
          <w:pgMar w:top="1440" w:right="1440" w:bottom="1440" w:left="1440" w:header="720" w:footer="720" w:gutter="0"/>
          <w:cols w:space="720"/>
          <w:noEndnote/>
          <w:docGrid w:linePitch="326"/>
        </w:sectPr>
      </w:pPr>
      <w:bookmarkStart w:id="242" w:name="_Ref275165086"/>
      <w:bookmarkStart w:id="243" w:name="_Ref275176621"/>
      <w:bookmarkStart w:id="244" w:name="_Toc275178287"/>
      <w:bookmarkStart w:id="245" w:name="_Toc275178352"/>
      <w:bookmarkStart w:id="246" w:name="_Toc275178459"/>
      <w:bookmarkStart w:id="247" w:name="_Toc277749814"/>
      <w:bookmarkStart w:id="248" w:name="_Toc277750684"/>
      <w:bookmarkStart w:id="249" w:name="_Toc277750865"/>
      <w:bookmarkStart w:id="250" w:name="_Ref299639817"/>
    </w:p>
    <w:p w:rsidR="003F6F8A" w:rsidRPr="00F463BC" w:rsidRDefault="00BE4C15" w:rsidP="00A77924">
      <w:pPr>
        <w:pStyle w:val="Heading1"/>
        <w:spacing w:line="271" w:lineRule="auto"/>
      </w:pPr>
      <w:bookmarkStart w:id="251" w:name="_Appendix_4_–"/>
      <w:bookmarkStart w:id="252" w:name="_Toc300572983"/>
      <w:bookmarkStart w:id="253" w:name="_Ref300580936"/>
      <w:bookmarkStart w:id="254" w:name="_Toc304897950"/>
      <w:bookmarkStart w:id="255" w:name="_Toc305083378"/>
      <w:bookmarkEnd w:id="251"/>
      <w:r>
        <w:br w:type="page"/>
      </w:r>
      <w:bookmarkStart w:id="256" w:name="_Appendix_6_–_1"/>
      <w:bookmarkStart w:id="257" w:name="_Toc455582240"/>
      <w:bookmarkEnd w:id="256"/>
      <w:r w:rsidR="003F6F8A" w:rsidRPr="00F463BC">
        <w:lastRenderedPageBreak/>
        <w:t xml:space="preserve">Appendix </w:t>
      </w:r>
      <w:bookmarkStart w:id="258" w:name="_Toc275178353"/>
      <w:bookmarkStart w:id="259" w:name="_Toc275178460"/>
      <w:bookmarkStart w:id="260" w:name="_Toc277749815"/>
      <w:bookmarkStart w:id="261" w:name="_Toc277750685"/>
      <w:bookmarkStart w:id="262" w:name="_Toc277750866"/>
      <w:bookmarkEnd w:id="242"/>
      <w:bookmarkEnd w:id="243"/>
      <w:bookmarkEnd w:id="244"/>
      <w:bookmarkEnd w:id="245"/>
      <w:bookmarkEnd w:id="246"/>
      <w:bookmarkEnd w:id="247"/>
      <w:bookmarkEnd w:id="248"/>
      <w:bookmarkEnd w:id="249"/>
      <w:r w:rsidR="00F65104" w:rsidRPr="00F463BC">
        <w:t>6</w:t>
      </w:r>
      <w:r w:rsidR="00CD0A88" w:rsidRPr="00F463BC">
        <w:t xml:space="preserve"> </w:t>
      </w:r>
      <w:r w:rsidR="007662FD" w:rsidRPr="00F463BC">
        <w:t>–</w:t>
      </w:r>
      <w:r w:rsidR="00CD0A88" w:rsidRPr="00F463BC">
        <w:t xml:space="preserve"> </w:t>
      </w:r>
      <w:r w:rsidR="0083692E" w:rsidRPr="00F463BC">
        <w:t>Report on Parts 4 to 10 of the Annual Statutory Return (</w:t>
      </w:r>
      <w:r w:rsidR="00445F16" w:rsidRPr="00F463BC">
        <w:t xml:space="preserve">combined </w:t>
      </w:r>
      <w:r w:rsidR="003F6F8A" w:rsidRPr="00F463BC">
        <w:t xml:space="preserve">ISA 800 </w:t>
      </w:r>
      <w:r w:rsidR="00C82670">
        <w:t xml:space="preserve">(Revised) </w:t>
      </w:r>
      <w:r w:rsidR="00445F16" w:rsidRPr="00F463BC">
        <w:t xml:space="preserve">and ISRE 2410 </w:t>
      </w:r>
      <w:r w:rsidR="0083692E" w:rsidRPr="00F463BC">
        <w:t>R</w:t>
      </w:r>
      <w:r w:rsidR="003F6F8A" w:rsidRPr="00F463BC">
        <w:t>eport</w:t>
      </w:r>
      <w:bookmarkEnd w:id="250"/>
      <w:bookmarkEnd w:id="252"/>
      <w:bookmarkEnd w:id="253"/>
      <w:bookmarkEnd w:id="254"/>
      <w:bookmarkEnd w:id="255"/>
      <w:bookmarkEnd w:id="258"/>
      <w:bookmarkEnd w:id="259"/>
      <w:bookmarkEnd w:id="260"/>
      <w:bookmarkEnd w:id="261"/>
      <w:bookmarkEnd w:id="262"/>
      <w:r w:rsidR="00C82670">
        <w:t>s</w:t>
      </w:r>
      <w:r w:rsidR="0083692E" w:rsidRPr="00F463BC">
        <w:t>)</w:t>
      </w:r>
      <w:bookmarkEnd w:id="257"/>
    </w:p>
    <w:p w:rsidR="00E02E58" w:rsidRDefault="00E02E58" w:rsidP="00E02E58">
      <w:pPr>
        <w:autoSpaceDE w:val="0"/>
        <w:autoSpaceDN w:val="0"/>
        <w:adjustRightInd w:val="0"/>
        <w:spacing w:line="271" w:lineRule="auto"/>
        <w:rPr>
          <w:rFonts w:ascii="Arial" w:hAnsi="Arial" w:cs="Arial"/>
          <w:b/>
          <w:bCs/>
          <w:sz w:val="22"/>
          <w:szCs w:val="22"/>
        </w:rPr>
      </w:pPr>
    </w:p>
    <w:p w:rsidR="00C82670" w:rsidRDefault="00C82670" w:rsidP="00C82670">
      <w:pPr>
        <w:spacing w:before="0" w:line="271"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2016</w:t>
      </w:r>
    </w:p>
    <w:p w:rsidR="00C82670" w:rsidRPr="00F463BC" w:rsidRDefault="00C82670" w:rsidP="00C82670">
      <w:pPr>
        <w:autoSpaceDE w:val="0"/>
        <w:autoSpaceDN w:val="0"/>
        <w:adjustRightInd w:val="0"/>
        <w:spacing w:before="0" w:line="271" w:lineRule="auto"/>
        <w:rPr>
          <w:rFonts w:ascii="Arial" w:hAnsi="Arial" w:cs="Arial"/>
          <w:b/>
          <w:bCs/>
          <w:sz w:val="22"/>
          <w:szCs w:val="22"/>
        </w:rPr>
      </w:pPr>
    </w:p>
    <w:p w:rsidR="00C82670" w:rsidRPr="00CA5B9F" w:rsidRDefault="00C82670" w:rsidP="00C82670">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rPr>
      </w:pPr>
      <w:r>
        <w:rPr>
          <w:rFonts w:ascii="Arial" w:hAnsi="Arial" w:cs="Arial"/>
          <w:b/>
          <w:bCs/>
          <w:sz w:val="22"/>
          <w:szCs w:val="22"/>
        </w:rPr>
        <w:t>Circumstances</w:t>
      </w:r>
    </w:p>
    <w:p w:rsidR="00C82670" w:rsidRPr="00CA5B9F" w:rsidRDefault="00C82670" w:rsidP="00C82670">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u w:val="single"/>
        </w:rPr>
      </w:pPr>
    </w:p>
    <w:p w:rsidR="00C82670" w:rsidRPr="00CA5B9F" w:rsidRDefault="00C82670" w:rsidP="00C82670">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u w:val="single"/>
        </w:rPr>
      </w:pPr>
      <w:r w:rsidRPr="00CA5B9F">
        <w:rPr>
          <w:rFonts w:ascii="Arial" w:hAnsi="Arial" w:cs="Arial"/>
          <w:b/>
          <w:bCs/>
          <w:sz w:val="22"/>
          <w:szCs w:val="22"/>
          <w:u w:val="single"/>
        </w:rPr>
        <w:t>ISA 800 (Revised) report:</w:t>
      </w:r>
    </w:p>
    <w:p w:rsidR="00C82670" w:rsidRPr="00CA5B9F" w:rsidRDefault="00C82670" w:rsidP="00C82670">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Work performed for Parts 4 to 6.1 and 6.3 to 10 of the annual statutory return is regarded as sufficient for an audit opinion to satisfy the requirement for the auditor to report as required by Sections 36(8), 37(3) read in conjunction with 37(2), and 39(3).</w:t>
      </w:r>
    </w:p>
    <w:p w:rsidR="00C82670" w:rsidRPr="00CA5B9F" w:rsidRDefault="00C82670" w:rsidP="00C82670">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The use of the auditor’s report is restricted to the Registrar</w:t>
      </w:r>
      <w:r>
        <w:rPr>
          <w:rFonts w:ascii="Arial" w:hAnsi="Arial" w:cs="Arial"/>
          <w:bCs/>
          <w:sz w:val="22"/>
          <w:szCs w:val="22"/>
        </w:rPr>
        <w:t xml:space="preserve"> of Medical Schemes.</w:t>
      </w:r>
    </w:p>
    <w:p w:rsidR="00C82670" w:rsidRDefault="00C82670" w:rsidP="00C82670">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F33CEA">
        <w:rPr>
          <w:rFonts w:ascii="Arial" w:hAnsi="Arial" w:cs="Arial"/>
          <w:sz w:val="22"/>
          <w:szCs w:val="22"/>
        </w:rPr>
        <w:t>Based on the audit evidence obtained, the auditor has concluded that a material uncertainty does not exist related to events or conditions that may cast significant doubt on the entity’s ability to continue as a going concern</w:t>
      </w:r>
      <w:r>
        <w:rPr>
          <w:rFonts w:ascii="Arial" w:hAnsi="Arial" w:cs="Arial"/>
          <w:sz w:val="22"/>
          <w:szCs w:val="22"/>
        </w:rPr>
        <w:t>.</w:t>
      </w:r>
    </w:p>
    <w:p w:rsidR="00C82670" w:rsidRPr="00CA5B9F" w:rsidRDefault="00C82670" w:rsidP="00C82670">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The auditor has not identified a reportable irregularity in terms of the Auditing Profession Act, 2005.</w:t>
      </w:r>
    </w:p>
    <w:p w:rsidR="00C82670" w:rsidRPr="00CA5B9F" w:rsidRDefault="00C82670" w:rsidP="00C82670">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sz w:val="22"/>
          <w:szCs w:val="22"/>
        </w:rPr>
      </w:pPr>
    </w:p>
    <w:p w:rsidR="00C82670" w:rsidRPr="00CA5B9F" w:rsidRDefault="00C82670" w:rsidP="00C82670">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u w:val="single"/>
        </w:rPr>
      </w:pPr>
      <w:r w:rsidRPr="00CA5B9F">
        <w:rPr>
          <w:rFonts w:ascii="Arial" w:hAnsi="Arial" w:cs="Arial"/>
          <w:b/>
          <w:sz w:val="22"/>
          <w:szCs w:val="22"/>
          <w:u w:val="single"/>
        </w:rPr>
        <w:t>ISRE 2410 report:</w:t>
      </w:r>
    </w:p>
    <w:p w:rsidR="00C82670" w:rsidRPr="00CA5B9F" w:rsidRDefault="00C82670" w:rsidP="00C82670">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ind w:left="1440" w:hanging="1440"/>
        <w:rPr>
          <w:rFonts w:ascii="Arial" w:hAnsi="Arial" w:cs="Arial"/>
          <w:bCs/>
          <w:sz w:val="22"/>
          <w:szCs w:val="22"/>
        </w:rPr>
      </w:pPr>
      <w:r w:rsidRPr="00CA5B9F">
        <w:rPr>
          <w:rFonts w:ascii="Arial" w:hAnsi="Arial" w:cs="Arial"/>
          <w:bCs/>
          <w:sz w:val="22"/>
          <w:szCs w:val="22"/>
        </w:rPr>
        <w:t>The auditor of this engagement is the auditor of the Scheme.</w:t>
      </w:r>
    </w:p>
    <w:p w:rsidR="00C82670" w:rsidRPr="00CA5B9F" w:rsidRDefault="00C82670" w:rsidP="00C82670">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Work performed for Part 6.2 of the annual statutory return is regarded as sufficient for a review conclusion to satisfy the requirement for the auditor to report as required by Sections 36(8), 37(3) read in conjunction with 37(2), and 39(3);</w:t>
      </w:r>
    </w:p>
    <w:p w:rsidR="00C82670" w:rsidRPr="00CA5B9F" w:rsidRDefault="00C82670" w:rsidP="00C82670">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The use of the auditor’s report is restricted to the Registrar</w:t>
      </w:r>
      <w:r>
        <w:rPr>
          <w:rFonts w:ascii="Arial" w:hAnsi="Arial" w:cs="Arial"/>
          <w:bCs/>
          <w:sz w:val="22"/>
          <w:szCs w:val="22"/>
        </w:rPr>
        <w:t xml:space="preserve"> of Medical Schemes</w:t>
      </w:r>
      <w:r w:rsidRPr="00CA5B9F">
        <w:rPr>
          <w:rFonts w:ascii="Arial" w:hAnsi="Arial" w:cs="Arial"/>
          <w:bCs/>
          <w:sz w:val="22"/>
          <w:szCs w:val="22"/>
        </w:rPr>
        <w:t>.</w:t>
      </w:r>
    </w:p>
    <w:p w:rsidR="00C82670" w:rsidRPr="00F463BC" w:rsidRDefault="00C82670" w:rsidP="00C82670">
      <w:pPr>
        <w:autoSpaceDE w:val="0"/>
        <w:autoSpaceDN w:val="0"/>
        <w:adjustRightInd w:val="0"/>
        <w:spacing w:before="0" w:line="271" w:lineRule="auto"/>
        <w:rPr>
          <w:rFonts w:ascii="Arial" w:hAnsi="Arial" w:cs="Arial"/>
          <w:b/>
          <w:bCs/>
          <w:sz w:val="22"/>
          <w:szCs w:val="22"/>
        </w:rPr>
      </w:pPr>
    </w:p>
    <w:p w:rsidR="00C82670" w:rsidRPr="00B743C8" w:rsidRDefault="00C82670" w:rsidP="00C82670">
      <w:pPr>
        <w:keepNext/>
        <w:spacing w:before="0" w:line="271" w:lineRule="auto"/>
        <w:rPr>
          <w:rFonts w:ascii="Arial" w:hAnsi="Arial" w:cs="Arial"/>
          <w:b/>
          <w:bCs/>
        </w:rPr>
      </w:pPr>
      <w:r w:rsidRPr="00B743C8">
        <w:rPr>
          <w:rFonts w:ascii="Arial" w:hAnsi="Arial" w:cs="Arial"/>
          <w:b/>
          <w:bCs/>
        </w:rPr>
        <w:lastRenderedPageBreak/>
        <w:t>Independent Auditor’s Report</w:t>
      </w:r>
      <w:r w:rsidRPr="00B743C8">
        <w:rPr>
          <w:rStyle w:val="FootnoteReference"/>
          <w:rFonts w:ascii="Arial" w:hAnsi="Arial" w:cs="Arial"/>
          <w:b/>
          <w:bCs/>
        </w:rPr>
        <w:footnoteReference w:id="66"/>
      </w:r>
    </w:p>
    <w:p w:rsidR="00C82670" w:rsidRDefault="00C82670" w:rsidP="00C82670">
      <w:pPr>
        <w:keepNext/>
        <w:autoSpaceDE w:val="0"/>
        <w:autoSpaceDN w:val="0"/>
        <w:adjustRightInd w:val="0"/>
        <w:spacing w:before="0" w:line="271" w:lineRule="auto"/>
        <w:rPr>
          <w:rFonts w:ascii="Arial" w:hAnsi="Arial" w:cs="Arial"/>
          <w:b/>
          <w:bCs/>
          <w:highlight w:val="yellow"/>
        </w:rPr>
      </w:pPr>
    </w:p>
    <w:p w:rsidR="00C82670" w:rsidRPr="00834CD5" w:rsidRDefault="00C82670" w:rsidP="00C82670">
      <w:pPr>
        <w:keepNext/>
        <w:spacing w:before="0" w:line="271" w:lineRule="auto"/>
        <w:rPr>
          <w:rFonts w:ascii="Arial" w:hAnsi="Arial" w:cs="Arial"/>
          <w:bCs/>
          <w:i/>
          <w:sz w:val="22"/>
          <w:szCs w:val="22"/>
        </w:rPr>
      </w:pPr>
      <w:r w:rsidRPr="00834CD5">
        <w:rPr>
          <w:rFonts w:ascii="Arial" w:hAnsi="Arial" w:cs="Arial"/>
          <w:bCs/>
          <w:i/>
          <w:sz w:val="22"/>
          <w:szCs w:val="22"/>
        </w:rPr>
        <w:t>To the Board of Trustees of [name of scheme]</w:t>
      </w:r>
    </w:p>
    <w:p w:rsidR="00C82670" w:rsidRDefault="00C82670" w:rsidP="00C82670">
      <w:pPr>
        <w:keepNext/>
        <w:autoSpaceDE w:val="0"/>
        <w:autoSpaceDN w:val="0"/>
        <w:adjustRightInd w:val="0"/>
        <w:spacing w:before="0" w:line="271" w:lineRule="auto"/>
        <w:rPr>
          <w:rFonts w:ascii="Arial" w:hAnsi="Arial" w:cs="Arial"/>
          <w:sz w:val="22"/>
          <w:szCs w:val="22"/>
        </w:rPr>
      </w:pPr>
    </w:p>
    <w:p w:rsidR="00C82670" w:rsidRPr="00CA5B9F" w:rsidRDefault="00C82670" w:rsidP="00C82670">
      <w:pPr>
        <w:keepNext/>
        <w:autoSpaceDE w:val="0"/>
        <w:autoSpaceDN w:val="0"/>
        <w:adjustRightInd w:val="0"/>
        <w:spacing w:before="0" w:line="271" w:lineRule="auto"/>
        <w:rPr>
          <w:rFonts w:ascii="Arial" w:hAnsi="Arial" w:cs="Arial"/>
          <w:b/>
          <w:bCs/>
          <w:sz w:val="22"/>
        </w:rPr>
      </w:pPr>
      <w:r w:rsidRPr="00CA5B9F">
        <w:rPr>
          <w:rFonts w:ascii="Arial" w:hAnsi="Arial" w:cs="Arial"/>
          <w:b/>
          <w:bCs/>
          <w:sz w:val="22"/>
        </w:rPr>
        <w:t>Auditor’s Report on Parts 4 to 6.1 and 6.3 to 10 of the Return</w:t>
      </w:r>
    </w:p>
    <w:p w:rsidR="00C82670" w:rsidRPr="008A519B" w:rsidRDefault="00C82670" w:rsidP="00C82670">
      <w:pPr>
        <w:keepNext/>
        <w:autoSpaceDE w:val="0"/>
        <w:autoSpaceDN w:val="0"/>
        <w:adjustRightInd w:val="0"/>
        <w:spacing w:before="0" w:line="271" w:lineRule="auto"/>
        <w:rPr>
          <w:rFonts w:ascii="Arial" w:hAnsi="Arial" w:cs="Arial"/>
          <w:b/>
          <w:bCs/>
        </w:rPr>
      </w:pPr>
    </w:p>
    <w:p w:rsidR="00C82670" w:rsidRPr="00CA5B9F" w:rsidRDefault="00C82670" w:rsidP="00C82670">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Opinion on Parts 4 to 6.1 and 6.3 to 10 of the Return</w:t>
      </w:r>
    </w:p>
    <w:p w:rsidR="00C82670" w:rsidRPr="00AB6768" w:rsidRDefault="00C82670" w:rsidP="00C82670">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We have audited Parts 4 to 6.1 and 6.3 to 10 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Pr>
          <w:rFonts w:ascii="Arial" w:hAnsi="Arial" w:cs="Arial"/>
          <w:sz w:val="22"/>
          <w:szCs w:val="22"/>
        </w:rPr>
        <w:t xml:space="preserve">set out on pages </w:t>
      </w:r>
      <w:r w:rsidRPr="007160B6">
        <w:rPr>
          <w:rFonts w:ascii="Arial" w:hAnsi="Arial" w:cs="Arial"/>
          <w:i/>
          <w:sz w:val="22"/>
          <w:szCs w:val="22"/>
        </w:rPr>
        <w:t>&lt;xx&gt;</w:t>
      </w:r>
      <w:r>
        <w:rPr>
          <w:rFonts w:ascii="Arial" w:hAnsi="Arial" w:cs="Arial"/>
          <w:sz w:val="22"/>
          <w:szCs w:val="22"/>
        </w:rPr>
        <w:t xml:space="preserve"> to </w:t>
      </w:r>
      <w:r w:rsidRPr="00207BEB">
        <w:rPr>
          <w:rFonts w:ascii="Arial" w:hAnsi="Arial" w:cs="Arial"/>
          <w:i/>
          <w:sz w:val="22"/>
          <w:szCs w:val="22"/>
        </w:rPr>
        <w:t>&lt;xx&gt;</w:t>
      </w:r>
      <w:r>
        <w:rPr>
          <w:rFonts w:ascii="Arial" w:hAnsi="Arial" w:cs="Arial"/>
          <w:sz w:val="22"/>
          <w:szCs w:val="22"/>
        </w:rPr>
        <w:t xml:space="preserve"> 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 xml:space="preserve">&gt;, comprising information from the financial statements, prepared in accordance with International Financial Reporting Standards, and additional historical financial information extracted from the underlying accounting records of the Scheme. </w:t>
      </w:r>
    </w:p>
    <w:p w:rsidR="00C82670" w:rsidRPr="00AB6768" w:rsidRDefault="00C82670" w:rsidP="00C82670">
      <w:pPr>
        <w:autoSpaceDE w:val="0"/>
        <w:autoSpaceDN w:val="0"/>
        <w:adjustRightInd w:val="0"/>
        <w:spacing w:before="0" w:line="271" w:lineRule="auto"/>
        <w:rPr>
          <w:rFonts w:ascii="Arial" w:hAnsi="Arial" w:cs="Arial"/>
          <w:sz w:val="22"/>
          <w:szCs w:val="22"/>
        </w:rPr>
      </w:pPr>
      <w:r w:rsidRPr="00AB6768">
        <w:rPr>
          <w:rFonts w:ascii="Arial" w:hAnsi="Arial" w:cs="Arial"/>
          <w:sz w:val="22"/>
          <w:szCs w:val="22"/>
        </w:rPr>
        <w:t>In our opinion, Parts 4 to 6.1 and 6.3 to 10 of the Return of the Scheme for the year ended &lt;</w:t>
      </w:r>
      <w:r w:rsidRPr="00AB6768">
        <w:rPr>
          <w:rFonts w:ascii="Arial" w:hAnsi="Arial" w:cs="Arial"/>
          <w:i/>
          <w:sz w:val="22"/>
          <w:szCs w:val="22"/>
        </w:rPr>
        <w:t>insert date</w:t>
      </w:r>
      <w:r w:rsidRPr="00AB6768">
        <w:rPr>
          <w:rFonts w:ascii="Arial" w:hAnsi="Arial" w:cs="Arial"/>
          <w:sz w:val="22"/>
          <w:szCs w:val="22"/>
        </w:rPr>
        <w:t xml:space="preserve">&gt; are prepared, in all material respects, in accordance with </w:t>
      </w:r>
      <w:r w:rsidRPr="00F463BC">
        <w:rPr>
          <w:rFonts w:ascii="Arial" w:hAnsi="Arial" w:cs="Arial"/>
          <w:sz w:val="22"/>
          <w:szCs w:val="22"/>
        </w:rPr>
        <w:t>the provisions of the Act, related Regulations, the Guidance Manual for the completion of the Return and the applicable Circulars issued by the Council for Medical Schemes (the Act and related Regulations)</w:t>
      </w:r>
      <w:r w:rsidRPr="00AB6768">
        <w:rPr>
          <w:rFonts w:ascii="Arial" w:hAnsi="Arial" w:cs="Arial"/>
          <w:sz w:val="22"/>
          <w:szCs w:val="22"/>
        </w:rPr>
        <w:t>.</w:t>
      </w:r>
    </w:p>
    <w:p w:rsidR="00C82670" w:rsidRDefault="00C82670" w:rsidP="00C82670">
      <w:pPr>
        <w:keepNext/>
        <w:keepLines/>
        <w:autoSpaceDE w:val="0"/>
        <w:autoSpaceDN w:val="0"/>
        <w:adjustRightInd w:val="0"/>
        <w:spacing w:before="0" w:line="271" w:lineRule="auto"/>
        <w:rPr>
          <w:rFonts w:ascii="Arial" w:hAnsi="Arial" w:cs="Arial"/>
          <w:b/>
          <w:bCs/>
          <w:sz w:val="22"/>
          <w:szCs w:val="22"/>
        </w:rPr>
      </w:pPr>
    </w:p>
    <w:p w:rsidR="00C82670" w:rsidRPr="00CA5B9F" w:rsidRDefault="00C82670" w:rsidP="00C82670">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Basis for Opinion</w:t>
      </w:r>
    </w:p>
    <w:p w:rsidR="00C82670" w:rsidRPr="00AB6768" w:rsidRDefault="00C82670" w:rsidP="00C82670">
      <w:pPr>
        <w:spacing w:before="0" w:line="271" w:lineRule="auto"/>
        <w:rPr>
          <w:rFonts w:ascii="Arial" w:hAnsi="Arial" w:cs="Arial"/>
          <w:color w:val="000000"/>
          <w:sz w:val="22"/>
          <w:szCs w:val="22"/>
          <w:lang w:eastAsia="en-ZA"/>
        </w:rPr>
      </w:pPr>
      <w:r w:rsidRPr="00AB6768">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AB6768">
        <w:rPr>
          <w:rFonts w:ascii="Arial" w:hAnsi="Arial" w:cs="Arial"/>
          <w:i/>
          <w:iCs/>
          <w:color w:val="000000"/>
          <w:sz w:val="22"/>
          <w:szCs w:val="22"/>
          <w:lang w:eastAsia="en-ZA"/>
        </w:rPr>
        <w:t xml:space="preserve">Auditor’s Responsibilities for the Audit of </w:t>
      </w:r>
      <w:r w:rsidRPr="005F30EA">
        <w:rPr>
          <w:rFonts w:ascii="Arial" w:hAnsi="Arial" w:cs="Arial"/>
          <w:i/>
          <w:iCs/>
          <w:color w:val="000000"/>
          <w:sz w:val="22"/>
          <w:szCs w:val="22"/>
          <w:lang w:eastAsia="en-ZA"/>
        </w:rPr>
        <w:t>Parts 4 to 6.1 and 6.3 to 10 of the Return</w:t>
      </w:r>
      <w:r w:rsidRPr="00AB6768" w:rsidDel="003F2B00">
        <w:rPr>
          <w:rFonts w:ascii="Arial" w:hAnsi="Arial" w:cs="Arial"/>
          <w:i/>
          <w:iCs/>
          <w:color w:val="000000"/>
          <w:sz w:val="22"/>
          <w:szCs w:val="22"/>
          <w:lang w:eastAsia="en-ZA"/>
        </w:rPr>
        <w:t xml:space="preserve"> </w:t>
      </w:r>
      <w:r w:rsidRPr="00AB6768">
        <w:rPr>
          <w:rFonts w:ascii="Arial" w:hAnsi="Arial" w:cs="Arial"/>
          <w:color w:val="000000"/>
          <w:sz w:val="22"/>
          <w:szCs w:val="22"/>
          <w:lang w:eastAsia="en-ZA"/>
        </w:rPr>
        <w:t xml:space="preserve">section of our report. </w:t>
      </w:r>
      <w:r w:rsidRPr="00AB6768">
        <w:rPr>
          <w:rFonts w:ascii="Arial" w:hAnsi="Arial" w:cs="Arial"/>
          <w:sz w:val="22"/>
          <w:szCs w:val="22"/>
        </w:rPr>
        <w:t xml:space="preserve">We are independent of the </w:t>
      </w:r>
      <w:r>
        <w:rPr>
          <w:rFonts w:ascii="Arial" w:hAnsi="Arial" w:cs="Arial"/>
          <w:sz w:val="22"/>
          <w:szCs w:val="22"/>
        </w:rPr>
        <w:t>Scheme</w:t>
      </w:r>
      <w:r w:rsidRPr="00AB6768">
        <w:rPr>
          <w:rFonts w:ascii="Arial" w:hAnsi="Arial" w:cs="Arial"/>
          <w:sz w:val="22"/>
          <w:szCs w:val="22"/>
        </w:rPr>
        <w:t xml:space="preserve"> in accordance with the Independent Regulatory Board for Auditors </w:t>
      </w:r>
      <w:r w:rsidRPr="00AB6768">
        <w:rPr>
          <w:rFonts w:ascii="Arial" w:hAnsi="Arial" w:cs="Arial"/>
          <w:i/>
          <w:sz w:val="22"/>
          <w:szCs w:val="22"/>
        </w:rPr>
        <w:t>Code of Professional Conduct for Registered Auditors (IRBA Code)</w:t>
      </w:r>
      <w:r w:rsidRPr="00AB6768">
        <w:rPr>
          <w:rFonts w:ascii="Arial" w:hAnsi="Arial" w:cs="Arial"/>
          <w:sz w:val="22"/>
          <w:szCs w:val="22"/>
        </w:rPr>
        <w:t xml:space="preserve">.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AB6768">
        <w:rPr>
          <w:rFonts w:ascii="Arial" w:hAnsi="Arial" w:cs="Arial"/>
          <w:i/>
          <w:sz w:val="22"/>
          <w:szCs w:val="22"/>
        </w:rPr>
        <w:t>Code of Ethics for Professional Accountants</w:t>
      </w:r>
      <w:r w:rsidRPr="00AB6768">
        <w:rPr>
          <w:rFonts w:ascii="Arial" w:hAnsi="Arial" w:cs="Arial"/>
          <w:sz w:val="22"/>
          <w:szCs w:val="22"/>
        </w:rPr>
        <w:t xml:space="preserve"> (Parts A and B).</w:t>
      </w:r>
      <w:r w:rsidRPr="00AB6768">
        <w:rPr>
          <w:rFonts w:ascii="Arial" w:hAnsi="Arial" w:cs="Arial"/>
          <w:iCs/>
          <w:color w:val="000000"/>
          <w:sz w:val="22"/>
          <w:szCs w:val="22"/>
          <w:lang w:eastAsia="en-ZA"/>
        </w:rPr>
        <w:t xml:space="preserve"> </w:t>
      </w:r>
      <w:r w:rsidRPr="00AB6768">
        <w:rPr>
          <w:rFonts w:ascii="Arial" w:hAnsi="Arial" w:cs="Arial"/>
          <w:color w:val="000000"/>
          <w:sz w:val="22"/>
          <w:szCs w:val="22"/>
          <w:lang w:eastAsia="en-ZA"/>
        </w:rPr>
        <w:t>We believe that the audit evidence we have obtained is sufficient and appropriate to provide a basis for our opinion.</w:t>
      </w:r>
    </w:p>
    <w:p w:rsidR="00C82670" w:rsidRDefault="00C82670" w:rsidP="00C82670">
      <w:pPr>
        <w:autoSpaceDE w:val="0"/>
        <w:autoSpaceDN w:val="0"/>
        <w:adjustRightInd w:val="0"/>
        <w:spacing w:before="0" w:line="271" w:lineRule="auto"/>
        <w:rPr>
          <w:rFonts w:ascii="Arial" w:hAnsi="Arial" w:cs="Arial"/>
          <w:sz w:val="22"/>
          <w:szCs w:val="22"/>
        </w:rPr>
      </w:pPr>
    </w:p>
    <w:p w:rsidR="00C82670" w:rsidRPr="00CA5B9F" w:rsidRDefault="00C82670" w:rsidP="00C82670">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Emphasis of Matter – Basis of Accounting and Restriction on Use</w:t>
      </w:r>
    </w:p>
    <w:p w:rsidR="00C82670" w:rsidRPr="00F463BC" w:rsidRDefault="00C82670" w:rsidP="00C82670">
      <w:pPr>
        <w:spacing w:before="0" w:line="271" w:lineRule="auto"/>
        <w:rPr>
          <w:rFonts w:ascii="Arial" w:hAnsi="Arial" w:cs="Arial"/>
          <w:sz w:val="22"/>
          <w:szCs w:val="22"/>
          <w:lang w:eastAsia="en-ZA"/>
        </w:rPr>
      </w:pPr>
      <w:r>
        <w:rPr>
          <w:rFonts w:ascii="Arial" w:hAnsi="Arial" w:cs="Arial"/>
          <w:sz w:val="22"/>
          <w:szCs w:val="22"/>
          <w:lang w:eastAsia="en-ZA"/>
        </w:rPr>
        <w:t>W</w:t>
      </w:r>
      <w:r w:rsidRPr="00F463BC">
        <w:rPr>
          <w:rFonts w:ascii="Arial" w:hAnsi="Arial" w:cs="Arial"/>
          <w:sz w:val="22"/>
          <w:szCs w:val="22"/>
          <w:lang w:eastAsia="en-ZA"/>
        </w:rPr>
        <w:t xml:space="preserve">e emphasise that Parts </w:t>
      </w:r>
      <w:r w:rsidRPr="00AB6768">
        <w:rPr>
          <w:rFonts w:ascii="Arial" w:hAnsi="Arial" w:cs="Arial"/>
          <w:sz w:val="22"/>
          <w:szCs w:val="22"/>
        </w:rPr>
        <w:t xml:space="preserve">4 to 6.1 and 6.3 to 10 </w:t>
      </w:r>
      <w:r w:rsidRPr="00F463BC">
        <w:rPr>
          <w:rFonts w:ascii="Arial" w:hAnsi="Arial" w:cs="Arial"/>
          <w:sz w:val="22"/>
          <w:szCs w:val="22"/>
          <w:lang w:eastAsia="en-ZA"/>
        </w:rPr>
        <w:t>of the Return are prepared in accordance with the provisions of the Act and related Regulations, which are designed to meet the information needs of the Registrar</w:t>
      </w:r>
      <w:r>
        <w:rPr>
          <w:rFonts w:ascii="Arial" w:hAnsi="Arial" w:cs="Arial"/>
          <w:sz w:val="22"/>
          <w:szCs w:val="22"/>
          <w:lang w:eastAsia="en-ZA"/>
        </w:rPr>
        <w:t xml:space="preserve"> of Medical Schemes (the Registrar)</w:t>
      </w:r>
      <w:r w:rsidRPr="00F463BC">
        <w:rPr>
          <w:rFonts w:ascii="Arial" w:hAnsi="Arial" w:cs="Arial"/>
          <w:sz w:val="22"/>
          <w:szCs w:val="22"/>
          <w:lang w:eastAsia="en-ZA"/>
        </w:rPr>
        <w:t xml:space="preserve">. As a result, parts </w:t>
      </w:r>
      <w:r w:rsidRPr="00AB6768">
        <w:rPr>
          <w:rFonts w:ascii="Arial" w:hAnsi="Arial" w:cs="Arial"/>
          <w:sz w:val="22"/>
          <w:szCs w:val="22"/>
        </w:rPr>
        <w:t xml:space="preserve">4 to 6.1 and 6.3 to 10 </w:t>
      </w:r>
      <w:r w:rsidRPr="00F463BC">
        <w:rPr>
          <w:rFonts w:ascii="Arial" w:hAnsi="Arial" w:cs="Arial"/>
          <w:sz w:val="22"/>
          <w:szCs w:val="22"/>
          <w:lang w:eastAsia="en-ZA"/>
        </w:rPr>
        <w:t xml:space="preserve">of the Return may not be suitable for another purpose. </w:t>
      </w:r>
      <w:r>
        <w:rPr>
          <w:rFonts w:ascii="Arial" w:hAnsi="Arial" w:cs="Arial"/>
          <w:sz w:val="22"/>
          <w:szCs w:val="22"/>
          <w:lang w:eastAsia="en-ZA"/>
        </w:rPr>
        <w:t xml:space="preserve">The purpose of our </w:t>
      </w:r>
      <w:r>
        <w:rPr>
          <w:rFonts w:ascii="Arial" w:hAnsi="Arial" w:cs="Arial"/>
          <w:sz w:val="22"/>
          <w:szCs w:val="22"/>
          <w:lang w:eastAsia="en-ZA"/>
        </w:rPr>
        <w:lastRenderedPageBreak/>
        <w:t xml:space="preserve">report is </w:t>
      </w:r>
      <w:r w:rsidRPr="00F463BC">
        <w:rPr>
          <w:rFonts w:ascii="Arial" w:hAnsi="Arial" w:cs="Arial"/>
          <w:sz w:val="22"/>
          <w:szCs w:val="22"/>
          <w:lang w:eastAsia="en-ZA"/>
        </w:rPr>
        <w:t xml:space="preserve">to report to the Registrar as required by Sections 36(8), 37(3) read in conjunction with Sections 37(2) and 39(3) of the Medical Schemes Act No. 131 of 1998 and is not to be used for any other purpose. Our report is provided solely for the information of the Registrar. </w:t>
      </w:r>
      <w:r>
        <w:rPr>
          <w:rFonts w:ascii="Arial" w:hAnsi="Arial" w:cs="Arial"/>
          <w:sz w:val="22"/>
          <w:szCs w:val="22"/>
          <w:lang w:eastAsia="en-ZA"/>
        </w:rPr>
        <w:t>Our opinion is not modified in respect of this matter.</w:t>
      </w:r>
    </w:p>
    <w:p w:rsidR="00C82670" w:rsidRDefault="00C82670" w:rsidP="00C82670">
      <w:pPr>
        <w:autoSpaceDE w:val="0"/>
        <w:autoSpaceDN w:val="0"/>
        <w:adjustRightInd w:val="0"/>
        <w:spacing w:before="0" w:line="271" w:lineRule="auto"/>
        <w:rPr>
          <w:rFonts w:ascii="Arial" w:hAnsi="Arial" w:cs="Arial"/>
          <w:sz w:val="22"/>
          <w:szCs w:val="22"/>
          <w:lang w:eastAsia="en-ZA"/>
        </w:rPr>
      </w:pPr>
    </w:p>
    <w:p w:rsidR="00C82670" w:rsidRPr="00E37467" w:rsidRDefault="00C82670" w:rsidP="00C82670">
      <w:pPr>
        <w:keepNext/>
        <w:autoSpaceDE w:val="0"/>
        <w:autoSpaceDN w:val="0"/>
        <w:adjustRightInd w:val="0"/>
        <w:spacing w:before="0" w:line="271" w:lineRule="auto"/>
        <w:rPr>
          <w:rFonts w:ascii="Arial" w:hAnsi="Arial" w:cs="Arial"/>
          <w:bCs/>
          <w:i/>
          <w:sz w:val="22"/>
          <w:szCs w:val="22"/>
        </w:rPr>
      </w:pPr>
      <w:r w:rsidRPr="00E37467">
        <w:rPr>
          <w:rFonts w:ascii="Arial" w:hAnsi="Arial" w:cs="Arial"/>
          <w:bCs/>
          <w:i/>
          <w:sz w:val="22"/>
          <w:szCs w:val="22"/>
        </w:rPr>
        <w:t>Other Matter</w:t>
      </w:r>
    </w:p>
    <w:p w:rsidR="00C82670" w:rsidRDefault="00C82670" w:rsidP="00C82670">
      <w:pPr>
        <w:spacing w:before="0" w:line="271" w:lineRule="auto"/>
        <w:rPr>
          <w:rFonts w:ascii="Arial" w:hAnsi="Arial" w:cs="Arial"/>
          <w:sz w:val="22"/>
          <w:szCs w:val="22"/>
          <w:lang w:eastAsia="en-ZA"/>
        </w:rPr>
      </w:pPr>
      <w:r w:rsidRPr="00191A08">
        <w:rPr>
          <w:rFonts w:ascii="Arial" w:hAnsi="Arial" w:cs="Arial"/>
          <w:sz w:val="22"/>
          <w:szCs w:val="22"/>
          <w:lang w:eastAsia="en-ZA"/>
        </w:rPr>
        <w:t>We completed our audit of the annual financial statements of the Scheme for the year ended &lt;</w:t>
      </w:r>
      <w:r w:rsidRPr="00E37467">
        <w:rPr>
          <w:rFonts w:ascii="Arial" w:hAnsi="Arial" w:cs="Arial"/>
          <w:sz w:val="22"/>
          <w:szCs w:val="22"/>
          <w:lang w:eastAsia="en-ZA"/>
        </w:rPr>
        <w:t>insert date</w:t>
      </w:r>
      <w:r w:rsidRPr="00FC6FFE">
        <w:rPr>
          <w:rFonts w:ascii="Arial" w:hAnsi="Arial" w:cs="Arial"/>
          <w:sz w:val="22"/>
          <w:szCs w:val="22"/>
          <w:lang w:eastAsia="en-ZA"/>
        </w:rPr>
        <w:t>&gt; on which we issued an unmodified opinion on &lt;</w:t>
      </w:r>
      <w:r w:rsidRPr="00E37467">
        <w:rPr>
          <w:rFonts w:ascii="Arial" w:hAnsi="Arial" w:cs="Arial"/>
          <w:sz w:val="22"/>
          <w:szCs w:val="22"/>
          <w:lang w:eastAsia="en-ZA"/>
        </w:rPr>
        <w:t>insert date of audit report</w:t>
      </w:r>
      <w:r w:rsidRPr="00FC6FFE">
        <w:rPr>
          <w:rFonts w:ascii="Arial" w:hAnsi="Arial" w:cs="Arial"/>
          <w:sz w:val="22"/>
          <w:szCs w:val="22"/>
          <w:lang w:eastAsia="en-ZA"/>
        </w:rPr>
        <w:t>&gt;. Our audit of the financial statements was conducted in accordance with International Standards on Auditing. In conducting our audit of Parts 4 to 6.1 and 6.3 to 10 of the Return we considered evidence obtained during our audit of the financial statements of the Scheme</w:t>
      </w:r>
      <w:r w:rsidRPr="00191A08">
        <w:rPr>
          <w:rFonts w:ascii="Arial" w:hAnsi="Arial" w:cs="Arial"/>
          <w:sz w:val="22"/>
          <w:szCs w:val="22"/>
          <w:lang w:eastAsia="en-ZA"/>
        </w:rPr>
        <w:t>.</w:t>
      </w:r>
    </w:p>
    <w:p w:rsidR="00C82670" w:rsidRDefault="00C82670" w:rsidP="00C82670">
      <w:pPr>
        <w:autoSpaceDE w:val="0"/>
        <w:autoSpaceDN w:val="0"/>
        <w:adjustRightInd w:val="0"/>
        <w:spacing w:before="0" w:line="271" w:lineRule="auto"/>
        <w:rPr>
          <w:rFonts w:ascii="Arial" w:hAnsi="Arial" w:cs="Arial"/>
          <w:sz w:val="22"/>
          <w:szCs w:val="22"/>
          <w:lang w:eastAsia="en-ZA"/>
        </w:rPr>
      </w:pPr>
    </w:p>
    <w:p w:rsidR="00C82670" w:rsidRPr="00CA5B9F" w:rsidRDefault="00C82670" w:rsidP="00C82670">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Other Information</w:t>
      </w:r>
    </w:p>
    <w:p w:rsidR="00C82670" w:rsidRPr="008A519B" w:rsidRDefault="00C82670" w:rsidP="00C82670">
      <w:pPr>
        <w:spacing w:before="0" w:line="271"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trustees</w:t>
      </w:r>
      <w:r w:rsidRPr="008A519B">
        <w:rPr>
          <w:rFonts w:ascii="Arial" w:hAnsi="Arial" w:cs="Arial"/>
          <w:color w:val="000000"/>
          <w:sz w:val="22"/>
          <w:szCs w:val="22"/>
          <w:lang w:eastAsia="en-ZA"/>
        </w:rPr>
        <w:t xml:space="preserve"> are responsible for the other information. The other information comprises </w:t>
      </w:r>
      <w:r w:rsidRPr="005F30EA">
        <w:rPr>
          <w:rFonts w:ascii="Arial" w:hAnsi="Arial" w:cs="Arial"/>
          <w:i/>
          <w:color w:val="000000"/>
          <w:sz w:val="22"/>
          <w:szCs w:val="22"/>
          <w:lang w:eastAsia="en-ZA"/>
        </w:rPr>
        <w:t>&lt;insert description&gt;</w:t>
      </w:r>
      <w:r w:rsidRPr="008A519B">
        <w:rPr>
          <w:rFonts w:ascii="Arial" w:hAnsi="Arial" w:cs="Arial"/>
          <w:color w:val="000000"/>
          <w:sz w:val="22"/>
          <w:szCs w:val="22"/>
          <w:lang w:eastAsia="en-ZA"/>
        </w:rPr>
        <w:t xml:space="preserve">. The other information does not include the financial statements and our auditor’s report thereon. </w:t>
      </w:r>
    </w:p>
    <w:p w:rsidR="00C82670" w:rsidRPr="008A519B" w:rsidRDefault="00C82670" w:rsidP="00C82670">
      <w:pPr>
        <w:spacing w:before="0" w:line="271"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rsidR="00C82670" w:rsidRPr="008A519B" w:rsidRDefault="00C82670" w:rsidP="00C82670">
      <w:pPr>
        <w:spacing w:before="0" w:line="271"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In connection with our audit of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our responsibility is to read the other information and, in doing so, consider whether the other information is materially inconsistent with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rsidR="00C82670" w:rsidRDefault="00C82670" w:rsidP="00C82670">
      <w:pPr>
        <w:autoSpaceDE w:val="0"/>
        <w:autoSpaceDN w:val="0"/>
        <w:adjustRightInd w:val="0"/>
        <w:spacing w:before="0" w:line="271" w:lineRule="auto"/>
        <w:rPr>
          <w:rFonts w:ascii="Arial" w:hAnsi="Arial" w:cs="Arial"/>
          <w:sz w:val="22"/>
          <w:szCs w:val="22"/>
        </w:rPr>
      </w:pPr>
    </w:p>
    <w:p w:rsidR="00C82670" w:rsidRPr="00CA5B9F" w:rsidRDefault="00C82670" w:rsidP="00C82670">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Responsibilities of the Trustees for Parts 4 to 6.1 and 6.3 to 10 of the Return</w:t>
      </w:r>
    </w:p>
    <w:p w:rsidR="00C82670" w:rsidRPr="00F463BC" w:rsidRDefault="00C82670" w:rsidP="00C82670">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trustees are responsible for the preparation of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 in accordance with the provisions of the Act and related Regulations, and for such internal control as the</w:t>
      </w:r>
      <w:r>
        <w:rPr>
          <w:rFonts w:ascii="Arial" w:hAnsi="Arial" w:cs="Arial"/>
          <w:sz w:val="22"/>
          <w:szCs w:val="22"/>
        </w:rPr>
        <w:t xml:space="preserve"> trustees</w:t>
      </w:r>
      <w:r w:rsidRPr="00F463BC">
        <w:rPr>
          <w:rFonts w:ascii="Arial" w:hAnsi="Arial" w:cs="Arial"/>
          <w:sz w:val="22"/>
          <w:szCs w:val="22"/>
        </w:rPr>
        <w:t xml:space="preserve"> determine is necessary to enable the preparation of Parts</w:t>
      </w:r>
      <w:r>
        <w:rPr>
          <w:rFonts w:ascii="Arial" w:hAnsi="Arial" w:cs="Arial"/>
          <w:sz w:val="22"/>
          <w:szCs w:val="22"/>
        </w:rPr>
        <w:t> </w:t>
      </w:r>
      <w:r w:rsidRPr="00EA42C1">
        <w:rPr>
          <w:rFonts w:ascii="Arial" w:hAnsi="Arial" w:cs="Arial"/>
          <w:bCs/>
          <w:sz w:val="22"/>
          <w:szCs w:val="22"/>
        </w:rPr>
        <w:t xml:space="preserve">4 to 6.1 and 6.3 to 10 </w:t>
      </w:r>
      <w:r w:rsidRPr="00F463BC">
        <w:rPr>
          <w:rFonts w:ascii="Arial" w:hAnsi="Arial" w:cs="Arial"/>
          <w:sz w:val="22"/>
          <w:szCs w:val="22"/>
        </w:rPr>
        <w:t>of the Return that is free from material misstatement, whether due to fraud or error.</w:t>
      </w:r>
    </w:p>
    <w:p w:rsidR="00C82670" w:rsidRDefault="00C82670" w:rsidP="00C82670">
      <w:pPr>
        <w:autoSpaceDE w:val="0"/>
        <w:autoSpaceDN w:val="0"/>
        <w:adjustRightInd w:val="0"/>
        <w:spacing w:before="0" w:line="271" w:lineRule="auto"/>
        <w:rPr>
          <w:rFonts w:ascii="Arial" w:hAnsi="Arial" w:cs="Arial"/>
          <w:sz w:val="22"/>
          <w:szCs w:val="22"/>
        </w:rPr>
      </w:pPr>
      <w:r w:rsidRPr="00124A4F">
        <w:rPr>
          <w:rFonts w:ascii="Arial" w:hAnsi="Arial" w:cs="Arial"/>
          <w:sz w:val="22"/>
          <w:szCs w:val="22"/>
        </w:rPr>
        <w:t xml:space="preserve">In preparing the </w:t>
      </w:r>
      <w:r w:rsidRPr="00E37467">
        <w:rPr>
          <w:rFonts w:ascii="Arial" w:hAnsi="Arial" w:cs="Arial"/>
          <w:bCs/>
          <w:sz w:val="22"/>
          <w:szCs w:val="22"/>
        </w:rPr>
        <w:t>Parts 4 to 6.1 and 6.3 to 10 of the Return</w:t>
      </w:r>
      <w:r w:rsidRPr="00243DE7">
        <w:rPr>
          <w:rFonts w:ascii="Arial" w:hAnsi="Arial" w:cs="Arial"/>
          <w:sz w:val="22"/>
          <w:szCs w:val="22"/>
        </w:rPr>
        <w:t>,</w:t>
      </w:r>
      <w:r w:rsidRPr="00124A4F">
        <w:rPr>
          <w:rFonts w:ascii="Arial" w:hAnsi="Arial" w:cs="Arial"/>
          <w:sz w:val="22"/>
          <w:szCs w:val="22"/>
        </w:rPr>
        <w:t xml:space="preserve"> the </w:t>
      </w:r>
      <w:r>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going concern and using the going concern basis of accounting unless the </w:t>
      </w:r>
      <w:r>
        <w:rPr>
          <w:rFonts w:ascii="Arial" w:hAnsi="Arial" w:cs="Arial"/>
          <w:sz w:val="22"/>
          <w:szCs w:val="22"/>
        </w:rPr>
        <w:t>Scheme’s trustees</w:t>
      </w:r>
      <w:r w:rsidRPr="00124A4F">
        <w:rPr>
          <w:rFonts w:ascii="Arial" w:hAnsi="Arial" w:cs="Arial"/>
          <w:sz w:val="22"/>
          <w:szCs w:val="22"/>
        </w:rPr>
        <w:t xml:space="preserve"> either intend to liquidate the </w:t>
      </w:r>
      <w:r>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w:t>
      </w:r>
      <w:r>
        <w:rPr>
          <w:rFonts w:ascii="Arial" w:hAnsi="Arial" w:cs="Arial"/>
          <w:sz w:val="22"/>
          <w:szCs w:val="22"/>
        </w:rPr>
        <w:t>.</w:t>
      </w:r>
    </w:p>
    <w:p w:rsidR="00C82670" w:rsidRPr="00F463BC" w:rsidRDefault="00C82670" w:rsidP="00C82670">
      <w:pPr>
        <w:autoSpaceDE w:val="0"/>
        <w:autoSpaceDN w:val="0"/>
        <w:adjustRightInd w:val="0"/>
        <w:spacing w:before="0" w:line="271" w:lineRule="auto"/>
        <w:rPr>
          <w:rFonts w:ascii="Arial" w:hAnsi="Arial" w:cs="Arial"/>
          <w:b/>
          <w:bCs/>
          <w:sz w:val="22"/>
          <w:szCs w:val="22"/>
          <w:u w:val="single"/>
        </w:rPr>
      </w:pPr>
    </w:p>
    <w:p w:rsidR="00C82670" w:rsidRPr="00CA5B9F" w:rsidRDefault="00C82670" w:rsidP="00C82670">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lastRenderedPageBreak/>
        <w:t>Auditor’s Responsibilities for Parts 4 to 6.1 and 6.3 to 10 of the Return</w:t>
      </w:r>
    </w:p>
    <w:p w:rsidR="00C82670" w:rsidRPr="008A519B" w:rsidRDefault="00C82670" w:rsidP="00C82670">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Our </w:t>
      </w:r>
      <w:r>
        <w:rPr>
          <w:rFonts w:ascii="Arial" w:hAnsi="Arial" w:cs="Arial"/>
          <w:sz w:val="22"/>
          <w:szCs w:val="22"/>
        </w:rPr>
        <w:t>objectives are t</w:t>
      </w:r>
      <w:r w:rsidRPr="00F463BC">
        <w:rPr>
          <w:rFonts w:ascii="Arial" w:hAnsi="Arial" w:cs="Arial"/>
          <w:sz w:val="22"/>
          <w:szCs w:val="22"/>
        </w:rPr>
        <w:t xml:space="preserve">o </w:t>
      </w:r>
      <w:r>
        <w:rPr>
          <w:rFonts w:ascii="Arial" w:hAnsi="Arial" w:cs="Arial"/>
          <w:sz w:val="22"/>
          <w:szCs w:val="22"/>
        </w:rPr>
        <w:t xml:space="preserve">obtain reasonable assurance that </w:t>
      </w:r>
      <w:r w:rsidRPr="00F463BC">
        <w:rPr>
          <w:rFonts w:ascii="Arial" w:hAnsi="Arial" w:cs="Arial"/>
          <w:sz w:val="22"/>
          <w:szCs w:val="22"/>
        </w:rPr>
        <w:t>Parts 4 to 6.1 and 6.3 to 10 of the Return</w:t>
      </w:r>
      <w:r w:rsidRPr="003B2D68">
        <w:rPr>
          <w:rFonts w:ascii="Arial" w:hAnsi="Arial" w:cs="Arial"/>
          <w:sz w:val="22"/>
          <w:szCs w:val="22"/>
        </w:rPr>
        <w:t xml:space="preserve"> </w:t>
      </w:r>
      <w:r>
        <w:rPr>
          <w:rFonts w:ascii="Arial" w:hAnsi="Arial" w:cs="Arial"/>
          <w:sz w:val="22"/>
          <w:szCs w:val="22"/>
        </w:rPr>
        <w:t xml:space="preserve">are </w:t>
      </w:r>
      <w:r w:rsidRPr="00AB6768">
        <w:rPr>
          <w:rFonts w:ascii="Arial" w:hAnsi="Arial" w:cs="Arial"/>
          <w:sz w:val="22"/>
          <w:szCs w:val="22"/>
        </w:rPr>
        <w:t>prepared, in all material respects, in accordance</w:t>
      </w:r>
      <w:r w:rsidRPr="00F463BC">
        <w:rPr>
          <w:rFonts w:ascii="Arial" w:hAnsi="Arial" w:cs="Arial"/>
          <w:sz w:val="22"/>
          <w:szCs w:val="22"/>
        </w:rPr>
        <w:t xml:space="preserve"> </w:t>
      </w:r>
      <w:r w:rsidRPr="00AB6768">
        <w:rPr>
          <w:rFonts w:ascii="Arial" w:hAnsi="Arial" w:cs="Arial"/>
          <w:sz w:val="22"/>
          <w:szCs w:val="22"/>
        </w:rPr>
        <w:t>with the provisions of the Act and related Regulations</w:t>
      </w:r>
      <w:r w:rsidRPr="00F463BC">
        <w:rPr>
          <w:rFonts w:ascii="Arial" w:hAnsi="Arial" w:cs="Arial"/>
          <w:sz w:val="22"/>
          <w:szCs w:val="22"/>
        </w:rPr>
        <w:t xml:space="preserve">. </w:t>
      </w:r>
      <w:r w:rsidRPr="00EA42C1">
        <w:rPr>
          <w:rFonts w:ascii="Arial" w:hAnsi="Arial" w:cs="Arial"/>
          <w:sz w:val="22"/>
          <w:szCs w:val="22"/>
        </w:rPr>
        <w:t xml:space="preserve">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w:t>
      </w:r>
      <w:r w:rsidRPr="008A519B">
        <w:rPr>
          <w:rFonts w:ascii="Arial" w:hAnsi="Arial" w:cs="Arial"/>
          <w:sz w:val="22"/>
          <w:szCs w:val="22"/>
        </w:rPr>
        <w:t>Parts 4 to 6.1 and 6.3 to 10 of the Return</w:t>
      </w:r>
      <w:r w:rsidRPr="00F463BC">
        <w:rPr>
          <w:rFonts w:ascii="Arial" w:hAnsi="Arial" w:cs="Arial"/>
          <w:sz w:val="22"/>
          <w:szCs w:val="22"/>
        </w:rPr>
        <w:t xml:space="preserve">. </w:t>
      </w:r>
    </w:p>
    <w:p w:rsidR="00C82670" w:rsidRPr="008A519B" w:rsidRDefault="00C82670" w:rsidP="00C82670">
      <w:pPr>
        <w:spacing w:before="0" w:line="271" w:lineRule="auto"/>
        <w:rPr>
          <w:rFonts w:ascii="Arial" w:hAnsi="Arial" w:cs="Arial"/>
          <w:sz w:val="22"/>
          <w:szCs w:val="22"/>
        </w:rPr>
      </w:pPr>
      <w:r w:rsidRPr="008A519B">
        <w:rPr>
          <w:rFonts w:ascii="Arial" w:hAnsi="Arial" w:cs="Arial"/>
          <w:sz w:val="22"/>
          <w:szCs w:val="22"/>
        </w:rPr>
        <w:t>As part of an audit in accordance with ISAs, we exercise professional judgement and maintain professional scepticism throughout the audit. We also:</w:t>
      </w:r>
    </w:p>
    <w:p w:rsidR="00C82670" w:rsidRPr="008A519B" w:rsidRDefault="00C82670" w:rsidP="00C82670">
      <w:pPr>
        <w:pStyle w:val="ListParagraph"/>
        <w:numPr>
          <w:ilvl w:val="0"/>
          <w:numId w:val="339"/>
        </w:numPr>
        <w:tabs>
          <w:tab w:val="left" w:pos="8505"/>
        </w:tabs>
        <w:autoSpaceDE w:val="0"/>
        <w:autoSpaceDN w:val="0"/>
        <w:adjustRightInd w:val="0"/>
        <w:spacing w:after="120" w:line="271" w:lineRule="auto"/>
        <w:ind w:left="426" w:hanging="284"/>
        <w:contextualSpacing w:val="0"/>
        <w:jc w:val="both"/>
        <w:rPr>
          <w:rFonts w:ascii="Arial" w:hAnsi="Arial" w:cs="Arial"/>
          <w:lang w:eastAsia="en-GB"/>
        </w:rPr>
      </w:pPr>
      <w:r w:rsidRPr="008A519B">
        <w:rPr>
          <w:rFonts w:ascii="Arial" w:hAnsi="Arial" w:cs="Arial"/>
          <w:lang w:eastAsia="en-GB"/>
        </w:rPr>
        <w:t xml:space="preserve">Identify and assess the risks of material misstatement of the </w:t>
      </w:r>
      <w:r w:rsidRPr="00EA42C1">
        <w:rPr>
          <w:rFonts w:ascii="Arial" w:hAnsi="Arial" w:cs="Arial"/>
        </w:rPr>
        <w:t>Parts 4 to 6.1 and 6.3 to 10 of the Return</w:t>
      </w:r>
      <w:r>
        <w:rPr>
          <w:rFonts w:ascii="Arial" w:hAnsi="Arial" w:cs="Arial"/>
          <w:lang w:eastAsia="en-GB"/>
        </w:rPr>
        <w:t>, whether due to fraud or error;</w:t>
      </w:r>
      <w:r w:rsidRPr="008A519B">
        <w:rPr>
          <w:rFonts w:ascii="Arial" w:hAnsi="Arial" w:cs="Arial"/>
          <w:lang w:eastAsia="en-GB"/>
        </w:rPr>
        <w:t xml:space="preserve"> design and perform audit proce</w:t>
      </w:r>
      <w:r>
        <w:rPr>
          <w:rFonts w:ascii="Arial" w:hAnsi="Arial" w:cs="Arial"/>
          <w:lang w:eastAsia="en-GB"/>
        </w:rPr>
        <w:t>dures responsive to those risks;</w:t>
      </w:r>
      <w:r w:rsidRPr="008A519B">
        <w:rPr>
          <w:rFonts w:ascii="Arial" w:hAnsi="Arial" w:cs="Arial"/>
          <w:lang w:eastAsia="en-GB"/>
        </w:rPr>
        <w:t xml:space="preserve">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rsidR="00C82670" w:rsidRPr="008A519B" w:rsidRDefault="00C82670" w:rsidP="00C82670">
      <w:pPr>
        <w:pStyle w:val="ListParagraph"/>
        <w:numPr>
          <w:ilvl w:val="0"/>
          <w:numId w:val="339"/>
        </w:numPr>
        <w:tabs>
          <w:tab w:val="left" w:pos="8505"/>
        </w:tabs>
        <w:autoSpaceDE w:val="0"/>
        <w:autoSpaceDN w:val="0"/>
        <w:adjustRightInd w:val="0"/>
        <w:spacing w:after="120" w:line="271" w:lineRule="auto"/>
        <w:ind w:left="426" w:hanging="284"/>
        <w:contextualSpacing w:val="0"/>
        <w:jc w:val="both"/>
        <w:rPr>
          <w:rFonts w:ascii="Arial" w:hAnsi="Arial" w:cs="Arial"/>
          <w:lang w:eastAsia="en-GB"/>
        </w:rPr>
      </w:pPr>
      <w:r w:rsidRPr="008A519B">
        <w:rPr>
          <w:rFonts w:ascii="Arial" w:hAnsi="Arial" w:cs="Arial"/>
          <w:lang w:eastAsia="en-GB"/>
        </w:rPr>
        <w:t xml:space="preserve">Obtain an understanding of internal control relevant to the audit in order to design audit procedures that are appropriate in the circumstances, but not for the purpose of expressing an opinion on the effectiveness of the </w:t>
      </w:r>
      <w:r>
        <w:rPr>
          <w:rFonts w:ascii="Arial" w:hAnsi="Arial" w:cs="Arial"/>
          <w:lang w:eastAsia="en-GB"/>
        </w:rPr>
        <w:t>Scheme’s</w:t>
      </w:r>
      <w:r w:rsidRPr="008A519B">
        <w:rPr>
          <w:rFonts w:ascii="Arial" w:hAnsi="Arial" w:cs="Arial"/>
          <w:lang w:eastAsia="en-GB"/>
        </w:rPr>
        <w:t xml:space="preserve"> internal control. </w:t>
      </w:r>
    </w:p>
    <w:p w:rsidR="00C82670" w:rsidRPr="008A519B" w:rsidRDefault="00C82670" w:rsidP="00C82670">
      <w:pPr>
        <w:pStyle w:val="ListParagraph"/>
        <w:numPr>
          <w:ilvl w:val="0"/>
          <w:numId w:val="339"/>
        </w:numPr>
        <w:tabs>
          <w:tab w:val="left" w:pos="8505"/>
        </w:tabs>
        <w:autoSpaceDE w:val="0"/>
        <w:autoSpaceDN w:val="0"/>
        <w:adjustRightInd w:val="0"/>
        <w:spacing w:after="120" w:line="271" w:lineRule="auto"/>
        <w:ind w:left="426" w:hanging="284"/>
        <w:contextualSpacing w:val="0"/>
        <w:jc w:val="both"/>
        <w:rPr>
          <w:rFonts w:ascii="Arial" w:hAnsi="Arial" w:cs="Arial"/>
          <w:lang w:eastAsia="en-GB"/>
        </w:rPr>
      </w:pPr>
      <w:r w:rsidRPr="008A519B">
        <w:rPr>
          <w:rFonts w:ascii="Arial" w:hAnsi="Arial" w:cs="Arial"/>
          <w:lang w:eastAsia="en-GB"/>
        </w:rPr>
        <w:t xml:space="preserve">Evaluate the appropriateness of accounting policies used and the reasonableness of accounting estimates and related disclosures made by the </w:t>
      </w:r>
      <w:r>
        <w:rPr>
          <w:rFonts w:ascii="Arial" w:hAnsi="Arial" w:cs="Arial"/>
          <w:lang w:eastAsia="en-GB"/>
        </w:rPr>
        <w:t>trustees</w:t>
      </w:r>
      <w:r w:rsidRPr="008A519B">
        <w:rPr>
          <w:rFonts w:ascii="Arial" w:hAnsi="Arial" w:cs="Arial"/>
          <w:lang w:eastAsia="en-GB"/>
        </w:rPr>
        <w:t xml:space="preserve">. </w:t>
      </w:r>
    </w:p>
    <w:p w:rsidR="00C82670" w:rsidRPr="00124A4F" w:rsidRDefault="00C82670" w:rsidP="00C82670">
      <w:pPr>
        <w:pStyle w:val="ListParagraph"/>
        <w:numPr>
          <w:ilvl w:val="0"/>
          <w:numId w:val="339"/>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Pr>
          <w:rFonts w:ascii="Arial" w:hAnsi="Arial" w:cs="Arial"/>
          <w:color w:val="000000"/>
        </w:rPr>
        <w:t>Scheme’s trustees’</w:t>
      </w:r>
      <w:r w:rsidRPr="00124A4F">
        <w:rPr>
          <w:rFonts w:ascii="Arial" w:hAnsi="Arial" w:cs="Arial"/>
          <w:color w:val="000000"/>
        </w:rPr>
        <w:t xml:space="preserve"> use of the going concern basis of accounting and based on the audit evidence obtained, whether a material uncertainty exists related to events or conditions that may cast significant doubt on the </w:t>
      </w:r>
      <w:r>
        <w:rPr>
          <w:rFonts w:ascii="Arial" w:hAnsi="Arial" w:cs="Arial"/>
          <w:color w:val="000000"/>
        </w:rPr>
        <w:t>Scheme’s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Pr>
          <w:rFonts w:ascii="Arial" w:hAnsi="Arial" w:cs="Arial"/>
          <w:color w:val="000000"/>
        </w:rPr>
        <w:t>Scheme</w:t>
      </w:r>
      <w:r w:rsidRPr="00124A4F">
        <w:rPr>
          <w:rFonts w:ascii="Arial" w:hAnsi="Arial" w:cs="Arial"/>
          <w:color w:val="000000"/>
        </w:rPr>
        <w:t xml:space="preserve"> to cease to continue as a going concern. </w:t>
      </w:r>
    </w:p>
    <w:p w:rsidR="00C82670" w:rsidRPr="008A519B" w:rsidRDefault="00C82670" w:rsidP="00C82670">
      <w:pPr>
        <w:spacing w:before="0" w:line="271" w:lineRule="auto"/>
        <w:rPr>
          <w:rFonts w:ascii="Arial" w:hAnsi="Arial" w:cs="Arial"/>
          <w:sz w:val="22"/>
          <w:szCs w:val="22"/>
        </w:rPr>
      </w:pPr>
      <w:r w:rsidRPr="008A519B">
        <w:rPr>
          <w:rFonts w:ascii="Arial" w:hAnsi="Arial" w:cs="Arial"/>
          <w:sz w:val="22"/>
          <w:szCs w:val="22"/>
        </w:rPr>
        <w:t xml:space="preserve">We communicate with the </w:t>
      </w:r>
      <w:r>
        <w:rPr>
          <w:rFonts w:ascii="Arial" w:hAnsi="Arial" w:cs="Arial"/>
          <w:sz w:val="22"/>
          <w:szCs w:val="22"/>
        </w:rPr>
        <w:t>trustees</w:t>
      </w:r>
      <w:r w:rsidRPr="008A519B">
        <w:rPr>
          <w:rFonts w:ascii="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rsidR="00C82670" w:rsidRDefault="00C82670" w:rsidP="00C82670">
      <w:pPr>
        <w:autoSpaceDE w:val="0"/>
        <w:autoSpaceDN w:val="0"/>
        <w:adjustRightInd w:val="0"/>
        <w:spacing w:before="0" w:line="271" w:lineRule="auto"/>
        <w:rPr>
          <w:rFonts w:ascii="Arial" w:hAnsi="Arial" w:cs="Arial"/>
          <w:b/>
          <w:bCs/>
        </w:rPr>
      </w:pPr>
    </w:p>
    <w:p w:rsidR="00C82670" w:rsidRPr="00CA5B9F" w:rsidRDefault="00C82670" w:rsidP="00C82670">
      <w:pPr>
        <w:keepNext/>
        <w:autoSpaceDE w:val="0"/>
        <w:autoSpaceDN w:val="0"/>
        <w:adjustRightInd w:val="0"/>
        <w:spacing w:before="0" w:line="271" w:lineRule="auto"/>
        <w:rPr>
          <w:rFonts w:ascii="Arial" w:hAnsi="Arial" w:cs="Arial"/>
          <w:b/>
          <w:bCs/>
          <w:sz w:val="22"/>
          <w:szCs w:val="22"/>
        </w:rPr>
      </w:pPr>
      <w:r w:rsidRPr="00CA5B9F">
        <w:rPr>
          <w:rFonts w:ascii="Arial" w:hAnsi="Arial" w:cs="Arial"/>
          <w:b/>
          <w:bCs/>
          <w:sz w:val="22"/>
          <w:szCs w:val="22"/>
        </w:rPr>
        <w:t>Review Report on Part 6.2 of the Return</w:t>
      </w:r>
    </w:p>
    <w:p w:rsidR="00C82670" w:rsidRDefault="00C82670" w:rsidP="00C82670">
      <w:pPr>
        <w:keepNext/>
        <w:autoSpaceDE w:val="0"/>
        <w:autoSpaceDN w:val="0"/>
        <w:adjustRightInd w:val="0"/>
        <w:spacing w:before="0" w:line="271" w:lineRule="auto"/>
        <w:rPr>
          <w:rFonts w:ascii="Arial" w:hAnsi="Arial" w:cs="Arial"/>
          <w:sz w:val="22"/>
          <w:szCs w:val="22"/>
        </w:rPr>
      </w:pPr>
    </w:p>
    <w:p w:rsidR="00C82670" w:rsidRDefault="00C82670" w:rsidP="00C82670">
      <w:pPr>
        <w:keepNext/>
        <w:autoSpaceDE w:val="0"/>
        <w:autoSpaceDN w:val="0"/>
        <w:adjustRightInd w:val="0"/>
        <w:spacing w:before="0" w:line="271" w:lineRule="auto"/>
        <w:rPr>
          <w:rFonts w:ascii="Arial" w:hAnsi="Arial" w:cs="Arial"/>
          <w:b/>
          <w:bCs/>
          <w:sz w:val="22"/>
          <w:szCs w:val="22"/>
        </w:rPr>
      </w:pPr>
      <w:r w:rsidRPr="00F463BC">
        <w:rPr>
          <w:rFonts w:ascii="Arial" w:hAnsi="Arial" w:cs="Arial"/>
          <w:sz w:val="22"/>
          <w:szCs w:val="22"/>
        </w:rPr>
        <w:t xml:space="preserve">We have </w:t>
      </w:r>
      <w:r>
        <w:rPr>
          <w:rFonts w:ascii="Arial" w:hAnsi="Arial" w:cs="Arial"/>
          <w:sz w:val="22"/>
          <w:szCs w:val="22"/>
        </w:rPr>
        <w:t>reviewed</w:t>
      </w:r>
      <w:r w:rsidRPr="00F463BC">
        <w:rPr>
          <w:rFonts w:ascii="Arial" w:hAnsi="Arial" w:cs="Arial"/>
          <w:sz w:val="22"/>
          <w:szCs w:val="22"/>
        </w:rPr>
        <w:t xml:space="preserve"> Part</w:t>
      </w:r>
      <w:r>
        <w:rPr>
          <w:rFonts w:ascii="Arial" w:hAnsi="Arial" w:cs="Arial"/>
          <w:sz w:val="22"/>
          <w:szCs w:val="22"/>
        </w:rPr>
        <w:t xml:space="preserve"> 6.2 </w:t>
      </w:r>
      <w:r w:rsidRPr="00F463BC">
        <w:rPr>
          <w:rFonts w:ascii="Arial" w:hAnsi="Arial" w:cs="Arial"/>
          <w:sz w:val="22"/>
          <w:szCs w:val="22"/>
        </w:rPr>
        <w:t>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Pr>
          <w:rFonts w:ascii="Arial" w:hAnsi="Arial" w:cs="Arial"/>
          <w:sz w:val="22"/>
          <w:szCs w:val="22"/>
        </w:rPr>
        <w:t xml:space="preserve">set out on pages </w:t>
      </w:r>
      <w:r w:rsidRPr="007A52FE">
        <w:rPr>
          <w:rFonts w:ascii="Arial" w:hAnsi="Arial" w:cs="Arial"/>
          <w:i/>
          <w:sz w:val="22"/>
          <w:szCs w:val="22"/>
        </w:rPr>
        <w:t>&lt;xx&gt;</w:t>
      </w:r>
      <w:r>
        <w:rPr>
          <w:rFonts w:ascii="Arial" w:hAnsi="Arial" w:cs="Arial"/>
          <w:sz w:val="22"/>
          <w:szCs w:val="22"/>
        </w:rPr>
        <w:t xml:space="preserve"> to </w:t>
      </w:r>
      <w:r w:rsidRPr="00207BEB">
        <w:rPr>
          <w:rFonts w:ascii="Arial" w:hAnsi="Arial" w:cs="Arial"/>
          <w:i/>
          <w:sz w:val="22"/>
          <w:szCs w:val="22"/>
        </w:rPr>
        <w:t>&lt;xx&gt;</w:t>
      </w:r>
      <w:r>
        <w:rPr>
          <w:rFonts w:ascii="Arial" w:hAnsi="Arial" w:cs="Arial"/>
          <w:sz w:val="22"/>
          <w:szCs w:val="22"/>
        </w:rPr>
        <w:t xml:space="preserve"> 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 xml:space="preserve">&gt;, comprising </w:t>
      </w:r>
      <w:r w:rsidRPr="00AB6768">
        <w:rPr>
          <w:rFonts w:ascii="Arial" w:hAnsi="Arial" w:cs="Arial"/>
          <w:sz w:val="22"/>
          <w:szCs w:val="22"/>
        </w:rPr>
        <w:lastRenderedPageBreak/>
        <w:t>information from the financial statements, prepared in accordance with International Financial Reporting Standards, and additional historical financial information extracted from the underlying accounting records of the Scheme</w:t>
      </w:r>
      <w:r>
        <w:rPr>
          <w:rFonts w:ascii="Arial" w:hAnsi="Arial" w:cs="Arial"/>
          <w:sz w:val="22"/>
          <w:szCs w:val="22"/>
        </w:rPr>
        <w:t>.</w:t>
      </w:r>
    </w:p>
    <w:p w:rsidR="00C82670" w:rsidRDefault="00C82670" w:rsidP="00C82670">
      <w:pPr>
        <w:autoSpaceDE w:val="0"/>
        <w:autoSpaceDN w:val="0"/>
        <w:adjustRightInd w:val="0"/>
        <w:spacing w:before="0" w:line="271" w:lineRule="auto"/>
        <w:rPr>
          <w:rFonts w:ascii="Arial" w:hAnsi="Arial" w:cs="Arial"/>
          <w:b/>
          <w:bCs/>
          <w:sz w:val="22"/>
          <w:szCs w:val="22"/>
        </w:rPr>
      </w:pPr>
    </w:p>
    <w:p w:rsidR="00C82670" w:rsidRPr="00CA5B9F" w:rsidRDefault="00C82670" w:rsidP="00C82670">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Responsibilities of the Trustees for Part 6.2 of the Return</w:t>
      </w:r>
    </w:p>
    <w:p w:rsidR="00C82670" w:rsidRPr="00F463BC" w:rsidRDefault="00C82670" w:rsidP="00C82670">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trustees are responsible for the preparation of </w:t>
      </w:r>
      <w:r>
        <w:rPr>
          <w:rFonts w:ascii="Arial" w:hAnsi="Arial" w:cs="Arial"/>
          <w:sz w:val="22"/>
          <w:szCs w:val="22"/>
        </w:rPr>
        <w:t>Part 6.2</w:t>
      </w:r>
      <w:r w:rsidRPr="00EA42C1">
        <w:rPr>
          <w:rFonts w:ascii="Arial" w:hAnsi="Arial" w:cs="Arial"/>
          <w:bCs/>
          <w:sz w:val="22"/>
          <w:szCs w:val="22"/>
        </w:rPr>
        <w:t xml:space="preserve">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 in accordance with the provisions of the Act, related Regulations, the Guidance Manual for the completion of the Return and the applicable Circulars issued by the Council for Medical Schemes (the Act and related Regulations), and for such internal control as the</w:t>
      </w:r>
      <w:r>
        <w:rPr>
          <w:rFonts w:ascii="Arial" w:hAnsi="Arial" w:cs="Arial"/>
          <w:sz w:val="22"/>
          <w:szCs w:val="22"/>
        </w:rPr>
        <w:t xml:space="preserve"> trustees</w:t>
      </w:r>
      <w:r w:rsidRPr="00F463BC">
        <w:rPr>
          <w:rFonts w:ascii="Arial" w:hAnsi="Arial" w:cs="Arial"/>
          <w:sz w:val="22"/>
          <w:szCs w:val="22"/>
        </w:rPr>
        <w:t xml:space="preserve"> determine is necessary to </w:t>
      </w:r>
      <w:r>
        <w:rPr>
          <w:rFonts w:ascii="Arial" w:hAnsi="Arial" w:cs="Arial"/>
          <w:sz w:val="22"/>
          <w:szCs w:val="22"/>
        </w:rPr>
        <w:t xml:space="preserve">enable the preparation of Part 6.2 </w:t>
      </w:r>
      <w:r w:rsidRPr="00F463BC">
        <w:rPr>
          <w:rFonts w:ascii="Arial" w:hAnsi="Arial" w:cs="Arial"/>
          <w:sz w:val="22"/>
          <w:szCs w:val="22"/>
        </w:rPr>
        <w:t>of the Return that is free from material misstatement, whether due to fraud or error.</w:t>
      </w:r>
    </w:p>
    <w:p w:rsidR="00C82670" w:rsidRDefault="00C82670" w:rsidP="00C82670">
      <w:pPr>
        <w:keepNext/>
        <w:autoSpaceDE w:val="0"/>
        <w:autoSpaceDN w:val="0"/>
        <w:adjustRightInd w:val="0"/>
        <w:spacing w:before="0" w:line="271" w:lineRule="auto"/>
        <w:rPr>
          <w:rFonts w:ascii="Arial" w:hAnsi="Arial" w:cs="Arial"/>
          <w:b/>
          <w:bCs/>
          <w:sz w:val="22"/>
          <w:szCs w:val="22"/>
        </w:rPr>
      </w:pPr>
    </w:p>
    <w:p w:rsidR="00C82670" w:rsidRPr="00CA5B9F" w:rsidRDefault="00C82670" w:rsidP="00C82670">
      <w:pPr>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Auditor’s Responsibility for Part 6.2 of the Return</w:t>
      </w:r>
    </w:p>
    <w:p w:rsidR="00C82670" w:rsidRPr="00F463BC" w:rsidRDefault="00C82670" w:rsidP="00C82670">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Our responsibility in terms of Section 36(8), 37(3) read in conjunction with 37(2) and 39(3) of the Act is to express a conclusion on Part 6.2 of the Return based on the review.</w:t>
      </w:r>
      <w:r>
        <w:rPr>
          <w:rFonts w:ascii="Arial" w:hAnsi="Arial" w:cs="Arial"/>
          <w:sz w:val="22"/>
          <w:szCs w:val="22"/>
        </w:rPr>
        <w:t xml:space="preserve"> </w:t>
      </w:r>
      <w:r w:rsidRPr="00F463BC">
        <w:rPr>
          <w:rFonts w:ascii="Arial" w:hAnsi="Arial" w:cs="Arial"/>
          <w:sz w:val="22"/>
          <w:szCs w:val="22"/>
        </w:rPr>
        <w:t>We conducted our review in accordance with International Standard on Review Engagements (ISRE) 2410</w:t>
      </w:r>
      <w:r w:rsidRPr="00F463BC">
        <w:rPr>
          <w:rFonts w:ascii="Arial" w:hAnsi="Arial" w:cs="Arial"/>
          <w:i/>
          <w:sz w:val="22"/>
          <w:szCs w:val="22"/>
        </w:rPr>
        <w:t>,</w:t>
      </w:r>
      <w:r w:rsidRPr="00F463BC">
        <w:rPr>
          <w:rFonts w:ascii="Arial" w:hAnsi="Arial" w:cs="Arial"/>
          <w:sz w:val="22"/>
          <w:szCs w:val="22"/>
        </w:rPr>
        <w:t xml:space="preserve"> which applies to a review of historical financial information performed by the independent auditor of the entity</w:t>
      </w:r>
      <w:r w:rsidRPr="00F463BC">
        <w:rPr>
          <w:rFonts w:ascii="Arial" w:hAnsi="Arial" w:cs="Arial"/>
          <w:i/>
          <w:sz w:val="22"/>
          <w:szCs w:val="22"/>
        </w:rPr>
        <w:t>.</w:t>
      </w:r>
      <w:r w:rsidRPr="00F463BC">
        <w:rPr>
          <w:rFonts w:ascii="Arial" w:hAnsi="Arial" w:cs="Arial"/>
          <w:sz w:val="22"/>
          <w:szCs w:val="22"/>
        </w:rPr>
        <w:t xml:space="preserve"> ISRE 2410 requires us to conclude whether anything has come to our attention that causes us to believe that Part 6.2 of the Return is not prepared in all material respects in accordance with the provisions of the Act and related Regulations. This standard also requires us to comply with relevant ethical requirements. </w:t>
      </w:r>
    </w:p>
    <w:p w:rsidR="00C82670" w:rsidRDefault="00C82670" w:rsidP="00C82670">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A review of Part 6.2 of the Return in accordance with ISRE 2410 is a limited assurance engagement. We perform procedures, primarily consisting of making inquiries of </w:t>
      </w:r>
      <w:r>
        <w:rPr>
          <w:rFonts w:ascii="Arial" w:hAnsi="Arial" w:cs="Arial"/>
          <w:sz w:val="22"/>
          <w:szCs w:val="22"/>
        </w:rPr>
        <w:t>the trustees</w:t>
      </w:r>
      <w:r w:rsidRPr="00F463BC">
        <w:rPr>
          <w:rFonts w:ascii="Arial" w:hAnsi="Arial" w:cs="Arial"/>
          <w:sz w:val="22"/>
          <w:szCs w:val="22"/>
        </w:rPr>
        <w:t xml:space="preserve"> and others within the entity, as appropriate, and</w:t>
      </w:r>
      <w:r>
        <w:rPr>
          <w:rFonts w:ascii="Arial" w:hAnsi="Arial" w:cs="Arial"/>
          <w:sz w:val="22"/>
          <w:szCs w:val="22"/>
        </w:rPr>
        <w:t xml:space="preserve"> applying analytical procedures;</w:t>
      </w:r>
      <w:r w:rsidRPr="00F463BC">
        <w:rPr>
          <w:rFonts w:ascii="Arial" w:hAnsi="Arial" w:cs="Arial"/>
          <w:sz w:val="22"/>
          <w:szCs w:val="22"/>
        </w:rPr>
        <w:t xml:space="preserve"> and evaluate the evidence obtained. </w:t>
      </w:r>
    </w:p>
    <w:p w:rsidR="00C82670" w:rsidRPr="00F463BC" w:rsidRDefault="00C82670" w:rsidP="00C82670">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procedures performed in a review are substantially less than and differ in nature from those performed in an audit conducted in accordance with International Standards on Auditing. Accordingly, we do not express an audit opinion on Part 6.2 of the Return. </w:t>
      </w:r>
    </w:p>
    <w:p w:rsidR="00C82670" w:rsidRDefault="00C82670" w:rsidP="00C82670">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sz w:val="22"/>
          <w:szCs w:val="22"/>
        </w:rPr>
        <w:t>insert date</w:t>
      </w:r>
      <w:r w:rsidRPr="00F463BC">
        <w:rPr>
          <w:rFonts w:ascii="Arial" w:hAnsi="Arial" w:cs="Arial"/>
          <w:sz w:val="22"/>
          <w:szCs w:val="22"/>
        </w:rPr>
        <w:t xml:space="preserve">&gt; on which we issued an </w:t>
      </w:r>
      <w:r w:rsidRPr="00944A95">
        <w:rPr>
          <w:rFonts w:ascii="Arial" w:hAnsi="Arial" w:cs="Arial"/>
          <w:sz w:val="22"/>
          <w:szCs w:val="22"/>
        </w:rPr>
        <w:t>unmodified</w:t>
      </w:r>
      <w:r w:rsidRPr="00F463BC">
        <w:rPr>
          <w:rFonts w:ascii="Arial" w:hAnsi="Arial" w:cs="Arial"/>
          <w:sz w:val="22"/>
          <w:szCs w:val="22"/>
        </w:rPr>
        <w:t xml:space="preserve"> opinion on &lt;</w:t>
      </w:r>
      <w:r w:rsidRPr="00F463BC">
        <w:rPr>
          <w:rFonts w:ascii="Arial" w:hAnsi="Arial" w:cs="Arial"/>
          <w:i/>
          <w:sz w:val="22"/>
          <w:szCs w:val="22"/>
        </w:rPr>
        <w:t>insert date of audit report</w:t>
      </w:r>
      <w:r w:rsidRPr="00F463BC">
        <w:rPr>
          <w:rFonts w:ascii="Arial" w:hAnsi="Arial" w:cs="Arial"/>
          <w:sz w:val="22"/>
          <w:szCs w:val="22"/>
        </w:rPr>
        <w:t>&gt;. Our audit of the financial statements was conducted in accordance with International Standards on Auditing.</w:t>
      </w:r>
      <w:r>
        <w:rPr>
          <w:rFonts w:ascii="Arial" w:hAnsi="Arial" w:cs="Arial"/>
          <w:sz w:val="22"/>
          <w:szCs w:val="22"/>
        </w:rPr>
        <w:t xml:space="preserve"> </w:t>
      </w:r>
      <w:r w:rsidRPr="00F463BC">
        <w:rPr>
          <w:rFonts w:ascii="Arial" w:hAnsi="Arial" w:cs="Arial"/>
          <w:sz w:val="22"/>
          <w:szCs w:val="22"/>
        </w:rPr>
        <w:t xml:space="preserve">In conducting our </w:t>
      </w:r>
      <w:r>
        <w:rPr>
          <w:rFonts w:ascii="Arial" w:hAnsi="Arial" w:cs="Arial"/>
          <w:sz w:val="22"/>
          <w:szCs w:val="22"/>
        </w:rPr>
        <w:t xml:space="preserve">review of Part 6.2 </w:t>
      </w:r>
      <w:r w:rsidRPr="00F463BC">
        <w:rPr>
          <w:rFonts w:ascii="Arial" w:hAnsi="Arial" w:cs="Arial"/>
          <w:sz w:val="22"/>
          <w:szCs w:val="22"/>
        </w:rPr>
        <w:t>of the Return we considered evidence obtained during our audit of the financial statements of the Scheme</w:t>
      </w:r>
      <w:r>
        <w:rPr>
          <w:rFonts w:ascii="Arial" w:hAnsi="Arial" w:cs="Arial"/>
          <w:sz w:val="22"/>
          <w:szCs w:val="22"/>
        </w:rPr>
        <w:t>.</w:t>
      </w:r>
    </w:p>
    <w:p w:rsidR="00E6669F" w:rsidRDefault="00E6669F" w:rsidP="00C82670">
      <w:pPr>
        <w:keepNext/>
        <w:autoSpaceDE w:val="0"/>
        <w:autoSpaceDN w:val="0"/>
        <w:adjustRightInd w:val="0"/>
        <w:spacing w:before="0" w:line="271" w:lineRule="auto"/>
        <w:rPr>
          <w:rFonts w:ascii="Arial" w:hAnsi="Arial" w:cs="Arial"/>
          <w:i/>
          <w:sz w:val="22"/>
          <w:szCs w:val="22"/>
        </w:rPr>
      </w:pPr>
    </w:p>
    <w:p w:rsidR="00C82670" w:rsidRPr="00CA5B9F" w:rsidRDefault="00C82670" w:rsidP="00C82670">
      <w:pPr>
        <w:keepNext/>
        <w:autoSpaceDE w:val="0"/>
        <w:autoSpaceDN w:val="0"/>
        <w:adjustRightInd w:val="0"/>
        <w:spacing w:before="0" w:line="271" w:lineRule="auto"/>
        <w:rPr>
          <w:rFonts w:ascii="Arial" w:hAnsi="Arial" w:cs="Arial"/>
          <w:i/>
          <w:sz w:val="22"/>
          <w:szCs w:val="22"/>
        </w:rPr>
      </w:pPr>
      <w:r w:rsidRPr="00CA5B9F">
        <w:rPr>
          <w:rFonts w:ascii="Arial" w:hAnsi="Arial" w:cs="Arial"/>
          <w:i/>
          <w:sz w:val="22"/>
          <w:szCs w:val="22"/>
        </w:rPr>
        <w:t xml:space="preserve">Conclusion on Part 6.2 of the Return </w:t>
      </w:r>
    </w:p>
    <w:p w:rsidR="00C82670" w:rsidRPr="00F463BC" w:rsidRDefault="00C82670" w:rsidP="00C82670">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Based on our review, nothing has come to our attention that causes us to believe that Part 6.2 of the Return of the Scheme for the year ended &lt;</w:t>
      </w:r>
      <w:r w:rsidRPr="00F463BC">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 xml:space="preserve"> </w:t>
      </w:r>
      <w:r w:rsidRPr="00F463BC">
        <w:rPr>
          <w:rFonts w:ascii="Arial" w:hAnsi="Arial" w:cs="Arial"/>
          <w:sz w:val="22"/>
          <w:szCs w:val="22"/>
        </w:rPr>
        <w:t>is not prepared, in all material respects, in accordance with the provisions of the Act and related Regulations.</w:t>
      </w:r>
    </w:p>
    <w:p w:rsidR="00C82670" w:rsidRPr="00F463BC" w:rsidRDefault="00C82670" w:rsidP="00C82670">
      <w:pPr>
        <w:autoSpaceDE w:val="0"/>
        <w:autoSpaceDN w:val="0"/>
        <w:adjustRightInd w:val="0"/>
        <w:spacing w:before="0" w:line="271" w:lineRule="auto"/>
        <w:rPr>
          <w:rFonts w:ascii="Arial" w:hAnsi="Arial" w:cs="Arial"/>
          <w:b/>
          <w:bCs/>
          <w:color w:val="000000"/>
          <w:sz w:val="22"/>
          <w:szCs w:val="22"/>
          <w:lang w:eastAsia="en-ZA"/>
        </w:rPr>
      </w:pPr>
    </w:p>
    <w:p w:rsidR="00C82670" w:rsidRPr="00CA5B9F" w:rsidRDefault="00C82670" w:rsidP="00C82670">
      <w:pPr>
        <w:keepNext/>
        <w:autoSpaceDE w:val="0"/>
        <w:autoSpaceDN w:val="0"/>
        <w:adjustRightInd w:val="0"/>
        <w:spacing w:before="0" w:line="271" w:lineRule="auto"/>
        <w:rPr>
          <w:rFonts w:ascii="Arial" w:hAnsi="Arial" w:cs="Arial"/>
          <w:i/>
          <w:sz w:val="22"/>
          <w:szCs w:val="22"/>
        </w:rPr>
      </w:pPr>
      <w:r w:rsidRPr="00CA5B9F">
        <w:rPr>
          <w:rFonts w:ascii="Arial" w:hAnsi="Arial" w:cs="Arial"/>
          <w:i/>
          <w:sz w:val="22"/>
          <w:szCs w:val="22"/>
        </w:rPr>
        <w:t>Basis of Accounting and Restriction on Use</w:t>
      </w:r>
    </w:p>
    <w:p w:rsidR="00C82670" w:rsidRPr="00F463BC" w:rsidRDefault="00C82670" w:rsidP="00C82670">
      <w:pPr>
        <w:spacing w:before="0" w:line="271" w:lineRule="auto"/>
        <w:rPr>
          <w:rFonts w:ascii="Arial" w:hAnsi="Arial" w:cs="Arial"/>
          <w:sz w:val="22"/>
          <w:szCs w:val="22"/>
          <w:lang w:eastAsia="en-ZA"/>
        </w:rPr>
      </w:pPr>
      <w:r w:rsidRPr="00F463BC">
        <w:rPr>
          <w:rFonts w:ascii="Arial" w:hAnsi="Arial" w:cs="Arial"/>
          <w:sz w:val="22"/>
          <w:szCs w:val="22"/>
          <w:lang w:eastAsia="en-ZA"/>
        </w:rPr>
        <w:t>Without modifying our opinion or our conclusion, we emphasise that Part</w:t>
      </w:r>
      <w:r>
        <w:rPr>
          <w:rFonts w:ascii="Arial" w:hAnsi="Arial" w:cs="Arial"/>
          <w:sz w:val="22"/>
          <w:szCs w:val="22"/>
          <w:lang w:eastAsia="en-ZA"/>
        </w:rPr>
        <w:t xml:space="preserve"> 6.2</w:t>
      </w:r>
      <w:r w:rsidRPr="00F463BC">
        <w:rPr>
          <w:rFonts w:ascii="Arial" w:hAnsi="Arial" w:cs="Arial"/>
          <w:sz w:val="22"/>
          <w:szCs w:val="22"/>
          <w:lang w:eastAsia="en-ZA"/>
        </w:rPr>
        <w:t xml:space="preserve"> of the Return </w:t>
      </w:r>
      <w:r>
        <w:rPr>
          <w:rFonts w:ascii="Arial" w:hAnsi="Arial" w:cs="Arial"/>
          <w:sz w:val="22"/>
          <w:szCs w:val="22"/>
          <w:lang w:eastAsia="en-ZA"/>
        </w:rPr>
        <w:t>is</w:t>
      </w:r>
      <w:r w:rsidRPr="00F463BC">
        <w:rPr>
          <w:rFonts w:ascii="Arial" w:hAnsi="Arial" w:cs="Arial"/>
          <w:sz w:val="22"/>
          <w:szCs w:val="22"/>
          <w:lang w:eastAsia="en-ZA"/>
        </w:rPr>
        <w:t xml:space="preserve"> prepared in accordance with the provisions of the Act and related Regulations, which are designed to meet the information needs of the Registrar. As a result, part</w:t>
      </w:r>
      <w:r>
        <w:rPr>
          <w:rFonts w:ascii="Arial" w:hAnsi="Arial" w:cs="Arial"/>
          <w:sz w:val="22"/>
          <w:szCs w:val="22"/>
          <w:lang w:eastAsia="en-ZA"/>
        </w:rPr>
        <w:t xml:space="preserve"> 2 </w:t>
      </w:r>
      <w:r w:rsidRPr="00F463BC">
        <w:rPr>
          <w:rFonts w:ascii="Arial" w:hAnsi="Arial" w:cs="Arial"/>
          <w:sz w:val="22"/>
          <w:szCs w:val="22"/>
          <w:lang w:eastAsia="en-ZA"/>
        </w:rPr>
        <w:t xml:space="preserve">of the Return may not be suitable for another purpose. </w:t>
      </w:r>
      <w:r>
        <w:rPr>
          <w:rFonts w:ascii="Arial" w:hAnsi="Arial" w:cs="Arial"/>
          <w:sz w:val="22"/>
          <w:szCs w:val="22"/>
          <w:lang w:eastAsia="en-ZA"/>
        </w:rPr>
        <w:t xml:space="preserve">The purpose of our report is </w:t>
      </w:r>
      <w:r w:rsidRPr="00F463BC">
        <w:rPr>
          <w:rFonts w:ascii="Arial" w:hAnsi="Arial" w:cs="Arial"/>
          <w:sz w:val="22"/>
          <w:szCs w:val="22"/>
          <w:lang w:eastAsia="en-ZA"/>
        </w:rPr>
        <w:t xml:space="preserve">to report to the Registrar as required by Sections 36(8), 37(3) read in conjunction with Sections 37(2) and 39(3) of the Medical Schemes Act No. 131 of 1998 and is not to be used for any other purpose. Our report is provided solely for the information of the Registrar. </w:t>
      </w:r>
    </w:p>
    <w:p w:rsidR="00C82670" w:rsidRPr="00F463BC" w:rsidRDefault="00C82670" w:rsidP="00C82670">
      <w:pPr>
        <w:spacing w:before="0" w:line="271" w:lineRule="auto"/>
        <w:rPr>
          <w:rFonts w:ascii="Arial" w:hAnsi="Arial" w:cs="Arial"/>
          <w:sz w:val="22"/>
          <w:szCs w:val="22"/>
          <w:lang w:eastAsia="en-ZA"/>
        </w:rPr>
      </w:pPr>
    </w:p>
    <w:p w:rsidR="00C82670" w:rsidRPr="00F463BC" w:rsidRDefault="00C82670" w:rsidP="00C82670">
      <w:pPr>
        <w:keepNext/>
        <w:autoSpaceDE w:val="0"/>
        <w:autoSpaceDN w:val="0"/>
        <w:adjustRightInd w:val="0"/>
        <w:spacing w:before="0" w:line="271" w:lineRule="auto"/>
        <w:rPr>
          <w:rFonts w:ascii="Arial" w:hAnsi="Arial" w:cs="Arial"/>
          <w:sz w:val="22"/>
          <w:szCs w:val="22"/>
        </w:rPr>
      </w:pPr>
    </w:p>
    <w:p w:rsidR="00C82670" w:rsidRDefault="00C82670" w:rsidP="00C82670">
      <w:pPr>
        <w:keepNext/>
        <w:spacing w:before="0" w:line="271" w:lineRule="auto"/>
        <w:rPr>
          <w:rFonts w:ascii="Arial" w:hAnsi="Arial" w:cs="Arial"/>
          <w:sz w:val="22"/>
          <w:szCs w:val="22"/>
        </w:rPr>
      </w:pPr>
    </w:p>
    <w:p w:rsidR="00C82670" w:rsidRPr="00124A4F" w:rsidRDefault="00C82670" w:rsidP="00C82670">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rsidR="00C82670" w:rsidRPr="00124A4F" w:rsidRDefault="00C82670" w:rsidP="00C82670">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rsidR="00C82670" w:rsidRPr="00124A4F" w:rsidRDefault="00C82670" w:rsidP="00C82670">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 if not a sole practitioner: e.g. Director or Partner</w:t>
      </w:r>
      <w:r w:rsidRPr="00124A4F">
        <w:rPr>
          <w:rFonts w:ascii="Arial" w:hAnsi="Arial" w:cs="Arial"/>
          <w:sz w:val="22"/>
          <w:szCs w:val="22"/>
        </w:rPr>
        <w:t>]</w:t>
      </w:r>
    </w:p>
    <w:p w:rsidR="00C82670" w:rsidRPr="00124A4F" w:rsidRDefault="00C82670" w:rsidP="00C82670">
      <w:pPr>
        <w:spacing w:before="0" w:line="271" w:lineRule="auto"/>
        <w:rPr>
          <w:rFonts w:ascii="Arial" w:hAnsi="Arial" w:cs="Arial"/>
          <w:sz w:val="22"/>
          <w:szCs w:val="22"/>
        </w:rPr>
      </w:pPr>
      <w:r w:rsidRPr="00124A4F">
        <w:rPr>
          <w:rFonts w:ascii="Arial" w:hAnsi="Arial" w:cs="Arial"/>
          <w:sz w:val="22"/>
          <w:szCs w:val="22"/>
        </w:rPr>
        <w:t>Registered Auditor</w:t>
      </w:r>
    </w:p>
    <w:p w:rsidR="00C82670" w:rsidRPr="00124A4F" w:rsidRDefault="00C82670" w:rsidP="00C82670">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rsidR="00C82670" w:rsidRPr="00124A4F" w:rsidRDefault="00C82670" w:rsidP="00C82670">
      <w:pPr>
        <w:keepNext/>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rsidR="00C82670" w:rsidRDefault="00C82670" w:rsidP="00C82670">
      <w:pPr>
        <w:pStyle w:val="Heading1"/>
        <w:spacing w:line="271" w:lineRule="auto"/>
      </w:pPr>
    </w:p>
    <w:p w:rsidR="00006613" w:rsidRPr="00F463BC" w:rsidRDefault="00006613" w:rsidP="00006613">
      <w:pPr>
        <w:keepNext/>
        <w:spacing w:before="0"/>
        <w:rPr>
          <w:rFonts w:ascii="Arial" w:hAnsi="Arial" w:cs="Arial"/>
          <w:sz w:val="22"/>
          <w:szCs w:val="22"/>
        </w:rPr>
      </w:pPr>
    </w:p>
    <w:p w:rsidR="004D16D5" w:rsidRPr="001B129E" w:rsidRDefault="004D16D5" w:rsidP="001B129E">
      <w:pPr>
        <w:pStyle w:val="ac-01"/>
        <w:ind w:right="702"/>
        <w:rPr>
          <w:rFonts w:ascii="Arial" w:hAnsi="Arial" w:cs="Arial"/>
          <w:sz w:val="22"/>
          <w:szCs w:val="22"/>
        </w:rPr>
        <w:sectPr w:rsidR="004D16D5" w:rsidRPr="001B129E" w:rsidSect="001B129E">
          <w:headerReference w:type="default" r:id="rId26"/>
          <w:headerReference w:type="first" r:id="rId27"/>
          <w:type w:val="continuous"/>
          <w:pgSz w:w="11909" w:h="16834" w:code="9"/>
          <w:pgMar w:top="1440" w:right="1440" w:bottom="1440" w:left="1440" w:header="720" w:footer="720" w:gutter="0"/>
          <w:cols w:space="720"/>
          <w:noEndnote/>
          <w:docGrid w:linePitch="326"/>
        </w:sectPr>
      </w:pPr>
      <w:bookmarkStart w:id="263" w:name="_Ref275165109"/>
      <w:bookmarkStart w:id="264" w:name="_Ref275165224"/>
      <w:bookmarkStart w:id="265" w:name="_Toc275178289"/>
      <w:bookmarkStart w:id="266" w:name="_Toc275178356"/>
      <w:bookmarkStart w:id="267" w:name="_Toc275178463"/>
      <w:bookmarkStart w:id="268" w:name="_Toc277749817"/>
      <w:bookmarkStart w:id="269" w:name="_Toc277750688"/>
      <w:bookmarkStart w:id="270" w:name="_Toc277750869"/>
      <w:bookmarkStart w:id="271" w:name="_Ref299639925"/>
    </w:p>
    <w:p w:rsidR="003660E4" w:rsidRDefault="003660E4">
      <w:pPr>
        <w:spacing w:before="0" w:after="0"/>
        <w:jc w:val="left"/>
        <w:rPr>
          <w:rFonts w:ascii="Arial" w:hAnsi="Arial" w:cs="Arial"/>
          <w:b/>
          <w:spacing w:val="-2"/>
          <w:sz w:val="28"/>
          <w:szCs w:val="28"/>
          <w:lang w:eastAsia="en-US"/>
        </w:rPr>
      </w:pPr>
      <w:bookmarkStart w:id="272" w:name="_Appendix_5_–"/>
      <w:bookmarkStart w:id="273" w:name="_Toc300572984"/>
      <w:bookmarkStart w:id="274" w:name="_Ref300580867"/>
      <w:bookmarkStart w:id="275" w:name="_Ref300580960"/>
      <w:bookmarkStart w:id="276" w:name="_Toc304897951"/>
      <w:bookmarkStart w:id="277" w:name="_Toc305083379"/>
      <w:bookmarkEnd w:id="272"/>
      <w:r>
        <w:br w:type="page"/>
      </w:r>
    </w:p>
    <w:p w:rsidR="003F6F8A" w:rsidRPr="00F463BC" w:rsidRDefault="003F6F8A" w:rsidP="001B129E">
      <w:pPr>
        <w:pStyle w:val="Heading1"/>
        <w:spacing w:line="271" w:lineRule="auto"/>
      </w:pPr>
      <w:bookmarkStart w:id="278" w:name="_Toc455582241"/>
      <w:r w:rsidRPr="00F463BC">
        <w:lastRenderedPageBreak/>
        <w:t xml:space="preserve">Appendix </w:t>
      </w:r>
      <w:bookmarkEnd w:id="263"/>
      <w:bookmarkEnd w:id="264"/>
      <w:bookmarkEnd w:id="265"/>
      <w:bookmarkEnd w:id="266"/>
      <w:bookmarkEnd w:id="267"/>
      <w:bookmarkEnd w:id="268"/>
      <w:bookmarkEnd w:id="269"/>
      <w:bookmarkEnd w:id="270"/>
      <w:r w:rsidR="00F65104" w:rsidRPr="00F463BC">
        <w:t>7</w:t>
      </w:r>
      <w:r w:rsidRPr="00F463BC">
        <w:t xml:space="preserve"> </w:t>
      </w:r>
      <w:bookmarkStart w:id="279" w:name="_Toc275178357"/>
      <w:bookmarkStart w:id="280" w:name="_Toc275178464"/>
      <w:bookmarkStart w:id="281" w:name="_Toc277749818"/>
      <w:bookmarkStart w:id="282" w:name="_Toc277750689"/>
      <w:bookmarkStart w:id="283" w:name="_Toc277750870"/>
      <w:r w:rsidR="00741DA4" w:rsidRPr="00F463BC">
        <w:t>–</w:t>
      </w:r>
      <w:r w:rsidR="0083692E" w:rsidRPr="00F463BC">
        <w:t xml:space="preserve"> Assurance Report on Compliance with Sections 36(5) and 36(8) of the Act</w:t>
      </w:r>
      <w:r w:rsidR="005C0510" w:rsidRPr="00F463BC">
        <w:t xml:space="preserve"> </w:t>
      </w:r>
      <w:r w:rsidR="0083692E" w:rsidRPr="00F463BC">
        <w:t>(</w:t>
      </w:r>
      <w:r w:rsidRPr="00F463BC">
        <w:t>ISAE 3000</w:t>
      </w:r>
      <w:r w:rsidR="0083692E" w:rsidRPr="00F463BC">
        <w:t xml:space="preserve"> </w:t>
      </w:r>
      <w:r w:rsidR="00D656C2">
        <w:t xml:space="preserve">(Revised) </w:t>
      </w:r>
      <w:r w:rsidR="0083692E" w:rsidRPr="00F463BC">
        <w:t>Report)</w:t>
      </w:r>
      <w:bookmarkEnd w:id="271"/>
      <w:bookmarkEnd w:id="273"/>
      <w:bookmarkEnd w:id="274"/>
      <w:bookmarkEnd w:id="275"/>
      <w:bookmarkEnd w:id="276"/>
      <w:bookmarkEnd w:id="277"/>
      <w:bookmarkEnd w:id="279"/>
      <w:bookmarkEnd w:id="280"/>
      <w:bookmarkEnd w:id="281"/>
      <w:bookmarkEnd w:id="282"/>
      <w:bookmarkEnd w:id="283"/>
      <w:bookmarkEnd w:id="278"/>
    </w:p>
    <w:p w:rsidR="00E02E58" w:rsidRDefault="00E02E58" w:rsidP="00E02E58">
      <w:pPr>
        <w:autoSpaceDE w:val="0"/>
        <w:autoSpaceDN w:val="0"/>
        <w:adjustRightInd w:val="0"/>
        <w:spacing w:line="271" w:lineRule="auto"/>
        <w:rPr>
          <w:rFonts w:ascii="Arial" w:hAnsi="Arial" w:cs="Arial"/>
          <w:b/>
          <w:bCs/>
          <w:sz w:val="22"/>
          <w:szCs w:val="22"/>
        </w:rPr>
      </w:pPr>
    </w:p>
    <w:p w:rsidR="003351B5" w:rsidRPr="004D5DA2" w:rsidRDefault="003351B5" w:rsidP="003351B5">
      <w:p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
          <w:bCs/>
          <w:sz w:val="22"/>
          <w:szCs w:val="22"/>
        </w:rPr>
      </w:pPr>
      <w:r>
        <w:rPr>
          <w:rFonts w:ascii="Arial" w:hAnsi="Arial" w:cs="Arial"/>
          <w:b/>
          <w:bCs/>
          <w:sz w:val="22"/>
          <w:szCs w:val="22"/>
        </w:rPr>
        <w:t>Circumstances</w:t>
      </w:r>
    </w:p>
    <w:p w:rsidR="003351B5" w:rsidRPr="004D5DA2" w:rsidRDefault="003351B5" w:rsidP="003351B5">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sz w:val="22"/>
          <w:szCs w:val="22"/>
        </w:rPr>
      </w:pPr>
      <w:r w:rsidRPr="004D5DA2">
        <w:rPr>
          <w:rFonts w:ascii="Arial" w:hAnsi="Arial" w:cs="Arial"/>
          <w:bCs/>
          <w:sz w:val="22"/>
          <w:szCs w:val="22"/>
        </w:rPr>
        <w:t xml:space="preserve">Limited assurance engagement conducted in terms of ISAE 3000 (Revised). </w:t>
      </w:r>
    </w:p>
    <w:p w:rsidR="003351B5" w:rsidRPr="004D5DA2" w:rsidRDefault="003351B5" w:rsidP="003351B5">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sz w:val="22"/>
          <w:szCs w:val="22"/>
        </w:rPr>
      </w:pPr>
      <w:r w:rsidRPr="004D5DA2">
        <w:rPr>
          <w:rFonts w:ascii="Arial" w:hAnsi="Arial" w:cs="Arial"/>
          <w:bCs/>
          <w:sz w:val="22"/>
          <w:szCs w:val="22"/>
        </w:rPr>
        <w:t>Materiality is set as one, as any non-compliance is required to be reported to the Council. Therefore, all instances of non-compliance are regarded as material and therefore all are listed. Any instance of non-compliance will therefore result in a qualified conclusion.</w:t>
      </w:r>
    </w:p>
    <w:p w:rsidR="003351B5" w:rsidRPr="004D5DA2" w:rsidRDefault="003351B5" w:rsidP="003351B5">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sz w:val="22"/>
          <w:szCs w:val="22"/>
        </w:rPr>
      </w:pPr>
      <w:r w:rsidRPr="004D5DA2">
        <w:rPr>
          <w:rFonts w:ascii="Arial" w:hAnsi="Arial" w:cs="Arial"/>
          <w:bCs/>
          <w:sz w:val="22"/>
          <w:szCs w:val="22"/>
        </w:rPr>
        <w:t>Both an unmodified (i.e. “clean”) conclusion (appropriate based on the evidence obtained) and a qualified conclusion are illustrated.</w:t>
      </w:r>
    </w:p>
    <w:p w:rsidR="003351B5" w:rsidRPr="00F463BC" w:rsidRDefault="003351B5" w:rsidP="003351B5">
      <w:pPr>
        <w:autoSpaceDE w:val="0"/>
        <w:autoSpaceDN w:val="0"/>
        <w:adjustRightInd w:val="0"/>
        <w:spacing w:before="0" w:line="271" w:lineRule="auto"/>
        <w:rPr>
          <w:rFonts w:ascii="Arial" w:hAnsi="Arial" w:cs="Arial"/>
          <w:b/>
          <w:bCs/>
          <w:sz w:val="22"/>
          <w:szCs w:val="22"/>
        </w:rPr>
      </w:pPr>
    </w:p>
    <w:p w:rsidR="003351B5" w:rsidRPr="00EB69C1" w:rsidRDefault="003351B5" w:rsidP="003351B5">
      <w:pPr>
        <w:autoSpaceDE w:val="0"/>
        <w:autoSpaceDN w:val="0"/>
        <w:adjustRightInd w:val="0"/>
        <w:spacing w:before="0" w:line="271" w:lineRule="auto"/>
        <w:rPr>
          <w:rFonts w:ascii="Arial" w:hAnsi="Arial" w:cs="Arial"/>
          <w:b/>
          <w:bCs/>
        </w:rPr>
      </w:pPr>
      <w:r>
        <w:rPr>
          <w:rFonts w:ascii="Arial" w:hAnsi="Arial" w:cs="Arial"/>
          <w:b/>
          <w:bCs/>
        </w:rPr>
        <w:t>Independent Auditor’s Limited Assurance R</w:t>
      </w:r>
      <w:r w:rsidRPr="00EB69C1">
        <w:rPr>
          <w:rFonts w:ascii="Arial" w:hAnsi="Arial" w:cs="Arial"/>
          <w:b/>
          <w:bCs/>
        </w:rPr>
        <w:t xml:space="preserve">eport </w:t>
      </w:r>
      <w:r>
        <w:rPr>
          <w:rFonts w:ascii="Arial" w:hAnsi="Arial" w:cs="Arial"/>
          <w:b/>
        </w:rPr>
        <w:t>in Accordance with the R</w:t>
      </w:r>
      <w:r w:rsidRPr="00EB69C1">
        <w:rPr>
          <w:rFonts w:ascii="Arial" w:hAnsi="Arial" w:cs="Arial"/>
          <w:b/>
        </w:rPr>
        <w:t xml:space="preserve">equirements of </w:t>
      </w:r>
      <w:r w:rsidRPr="00EB69C1">
        <w:rPr>
          <w:rFonts w:ascii="Arial" w:hAnsi="Arial" w:cs="Arial"/>
          <w:b/>
          <w:bCs/>
        </w:rPr>
        <w:t>Sections 36(5) and 36(8) of the Medical Schemes Act No. 131 of 1998</w:t>
      </w:r>
      <w:r w:rsidRPr="00EB69C1">
        <w:rPr>
          <w:rStyle w:val="FootnoteReference"/>
          <w:rFonts w:ascii="Arial" w:hAnsi="Arial" w:cs="Arial"/>
          <w:b/>
          <w:bCs/>
        </w:rPr>
        <w:footnoteReference w:id="67"/>
      </w:r>
    </w:p>
    <w:p w:rsidR="003351B5" w:rsidRPr="00EB69C1" w:rsidRDefault="003351B5" w:rsidP="003351B5">
      <w:pPr>
        <w:autoSpaceDE w:val="0"/>
        <w:autoSpaceDN w:val="0"/>
        <w:adjustRightInd w:val="0"/>
        <w:spacing w:before="0" w:line="271" w:lineRule="auto"/>
        <w:rPr>
          <w:rFonts w:ascii="Arial" w:hAnsi="Arial" w:cs="Arial"/>
          <w:bCs/>
          <w:i/>
          <w:sz w:val="22"/>
        </w:rPr>
      </w:pPr>
      <w:r w:rsidRPr="00EB69C1">
        <w:rPr>
          <w:rFonts w:ascii="Arial" w:hAnsi="Arial" w:cs="Arial"/>
          <w:bCs/>
          <w:i/>
          <w:sz w:val="22"/>
        </w:rPr>
        <w:t>To the Board of Trustees of [name of scheme]</w:t>
      </w:r>
    </w:p>
    <w:p w:rsidR="003351B5" w:rsidRPr="00F463BC" w:rsidRDefault="003351B5" w:rsidP="003351B5">
      <w:pPr>
        <w:autoSpaceDE w:val="0"/>
        <w:autoSpaceDN w:val="0"/>
        <w:adjustRightInd w:val="0"/>
        <w:spacing w:before="0" w:line="271" w:lineRule="auto"/>
        <w:rPr>
          <w:rFonts w:ascii="Arial" w:hAnsi="Arial" w:cs="Arial"/>
          <w:b/>
          <w:bCs/>
          <w:sz w:val="22"/>
          <w:szCs w:val="22"/>
        </w:rPr>
      </w:pPr>
    </w:p>
    <w:p w:rsidR="003351B5" w:rsidRPr="00F463BC" w:rsidRDefault="003351B5" w:rsidP="003351B5">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We have undertaken our engagement in accordance with the requirements of Sections 36(5) and 36(8) of the Medical Schemes Act </w:t>
      </w:r>
      <w:r>
        <w:rPr>
          <w:rFonts w:ascii="Arial" w:hAnsi="Arial" w:cs="Arial"/>
          <w:sz w:val="22"/>
          <w:szCs w:val="22"/>
        </w:rPr>
        <w:t>of South Africa</w:t>
      </w:r>
      <w:r w:rsidRPr="00F463BC">
        <w:rPr>
          <w:rFonts w:ascii="Arial" w:hAnsi="Arial" w:cs="Arial"/>
          <w:sz w:val="22"/>
          <w:szCs w:val="22"/>
        </w:rPr>
        <w:t xml:space="preserve"> (the Act) in order to </w:t>
      </w:r>
      <w:r w:rsidRPr="008548E5">
        <w:rPr>
          <w:rFonts w:ascii="Arial" w:hAnsi="Arial" w:cs="Arial"/>
          <w:sz w:val="22"/>
          <w:szCs w:val="22"/>
        </w:rPr>
        <w:t>provide the Registrar</w:t>
      </w:r>
      <w:r w:rsidRPr="008548E5">
        <w:rPr>
          <w:rFonts w:ascii="Arial" w:hAnsi="Arial" w:cs="Arial"/>
          <w:b/>
          <w:bCs/>
          <w:sz w:val="22"/>
          <w:szCs w:val="22"/>
        </w:rPr>
        <w:t xml:space="preserve"> </w:t>
      </w:r>
      <w:r w:rsidRPr="008548E5">
        <w:rPr>
          <w:rFonts w:ascii="Arial" w:hAnsi="Arial" w:cs="Arial"/>
          <w:bCs/>
          <w:sz w:val="22"/>
          <w:szCs w:val="22"/>
        </w:rPr>
        <w:t>of Medical Schemes</w:t>
      </w:r>
      <w:r w:rsidRPr="008548E5">
        <w:rPr>
          <w:rFonts w:ascii="Arial" w:hAnsi="Arial" w:cs="Arial"/>
          <w:sz w:val="22"/>
          <w:szCs w:val="22"/>
        </w:rPr>
        <w:t xml:space="preserve"> (the Registrar) </w:t>
      </w:r>
      <w:r>
        <w:rPr>
          <w:rFonts w:ascii="Arial" w:hAnsi="Arial" w:cs="Arial"/>
          <w:sz w:val="22"/>
          <w:szCs w:val="22"/>
        </w:rPr>
        <w:t xml:space="preserve">with </w:t>
      </w:r>
      <w:r w:rsidRPr="00E65C2E">
        <w:rPr>
          <w:rFonts w:ascii="Arial" w:hAnsi="Arial" w:cs="Arial"/>
          <w:sz w:val="22"/>
          <w:szCs w:val="22"/>
        </w:rPr>
        <w:t>limited assurance regarding compliance by &lt;</w:t>
      </w:r>
      <w:r>
        <w:rPr>
          <w:rFonts w:ascii="Arial" w:hAnsi="Arial" w:cs="Arial"/>
          <w:i/>
          <w:sz w:val="22"/>
          <w:szCs w:val="22"/>
        </w:rPr>
        <w:t>n</w:t>
      </w:r>
      <w:r w:rsidRPr="00E65C2E">
        <w:rPr>
          <w:rFonts w:ascii="Arial" w:hAnsi="Arial" w:cs="Arial"/>
          <w:i/>
          <w:sz w:val="22"/>
          <w:szCs w:val="22"/>
        </w:rPr>
        <w:t xml:space="preserve">ame of </w:t>
      </w:r>
      <w:r>
        <w:rPr>
          <w:rFonts w:ascii="Arial" w:hAnsi="Arial" w:cs="Arial"/>
          <w:i/>
          <w:sz w:val="22"/>
          <w:szCs w:val="22"/>
        </w:rPr>
        <w:t>s</w:t>
      </w:r>
      <w:r w:rsidRPr="00E65C2E">
        <w:rPr>
          <w:rFonts w:ascii="Arial" w:hAnsi="Arial" w:cs="Arial"/>
          <w:i/>
          <w:sz w:val="22"/>
          <w:szCs w:val="22"/>
        </w:rPr>
        <w:t>cheme</w:t>
      </w:r>
      <w:r w:rsidRPr="00E65C2E">
        <w:rPr>
          <w:rFonts w:ascii="Arial" w:hAnsi="Arial" w:cs="Arial"/>
          <w:sz w:val="22"/>
          <w:szCs w:val="22"/>
        </w:rPr>
        <w:t>&gt; (the Scheme) with the Sections of the Act</w:t>
      </w:r>
      <w:r w:rsidRPr="00F463BC">
        <w:rPr>
          <w:rFonts w:ascii="Arial" w:hAnsi="Arial" w:cs="Arial"/>
          <w:sz w:val="22"/>
          <w:szCs w:val="22"/>
        </w:rPr>
        <w:t xml:space="preserve"> and related Regulations specified below (the specified Sections of the Act and related Regulations) for the year ended &lt;</w:t>
      </w:r>
      <w:r w:rsidRPr="00944A95">
        <w:rPr>
          <w:rFonts w:ascii="Arial" w:hAnsi="Arial" w:cs="Arial"/>
          <w:i/>
          <w:sz w:val="22"/>
          <w:szCs w:val="22"/>
        </w:rPr>
        <w:t>insert date</w:t>
      </w:r>
      <w:r w:rsidRPr="00F463BC">
        <w:rPr>
          <w:rFonts w:ascii="Arial" w:hAnsi="Arial" w:cs="Arial"/>
          <w:sz w:val="22"/>
          <w:szCs w:val="22"/>
        </w:rPr>
        <w:t>&gt;:</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24(5) and/or Regulation 2 (1)(j); and/or sections 33(3) and 44(9)(b) as applicable, relating to the furnishing of financial guarantees;</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26(1)(c) relating to the establishment of a bank account under the scheme’s direct control;</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Sections 26(4) relating to the restriction of payments made from the scheme’s bank account; and 26(5) relating to the prohibition on any dividend, rebate or bonus payment by a Scheme; </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 26(7) relating to the period within which all subscriptions or contributions are to be paid directly to the Scheme; </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26(11) relating to the prohibition on a registered medical Scheme from carrying on any other business;</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lastRenderedPageBreak/>
        <w:t>Section 37(4)(d) relating to disclosures in the annual financial statements in respect of benefit options offered, read together with section 33 relating to approval and withdrawal of benefit options;</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35(4), 35(5), 35(7) and 35(8) relating to assets and investments held by the Scheme, as well as Regulation 30 relating to limitations on assets held, read together with Annexure B of the Regulations which specifies the limitations on percentages of different categories of assets that may be held;</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35(6) relating to prohibition on encumbrances of Scheme assets without the prior approval of the Medical Council;</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36(10) and 36(11) relating to the appointment of an audit committee and the composition of the majority of its members;</w:t>
      </w:r>
    </w:p>
    <w:p w:rsidR="003351B5" w:rsidRPr="00C13D72" w:rsidRDefault="003351B5" w:rsidP="003351B5">
      <w:pPr>
        <w:numPr>
          <w:ilvl w:val="0"/>
          <w:numId w:val="224"/>
        </w:numPr>
        <w:autoSpaceDE w:val="0"/>
        <w:autoSpaceDN w:val="0"/>
        <w:adjustRightInd w:val="0"/>
        <w:spacing w:before="0" w:line="271" w:lineRule="auto"/>
        <w:rPr>
          <w:rFonts w:ascii="Arial" w:hAnsi="Arial" w:cs="Arial"/>
          <w:sz w:val="22"/>
          <w:szCs w:val="22"/>
        </w:rPr>
      </w:pPr>
      <w:r w:rsidRPr="00C13D72">
        <w:rPr>
          <w:rFonts w:ascii="Arial" w:hAnsi="Arial" w:cs="Arial"/>
          <w:sz w:val="22"/>
          <w:szCs w:val="22"/>
        </w:rPr>
        <w:t>Section 57(4)(f) regarding the duties of the Trustees to take out and maintain an appropriate level of professional indemnity and fidelity insurance</w:t>
      </w:r>
      <w:r w:rsidRPr="00C13D72">
        <w:rPr>
          <w:rStyle w:val="FootnoteReference"/>
          <w:rFonts w:ascii="Arial" w:hAnsi="Arial" w:cs="Arial"/>
          <w:sz w:val="22"/>
          <w:szCs w:val="22"/>
        </w:rPr>
        <w:footnoteReference w:id="68"/>
      </w:r>
      <w:r w:rsidRPr="00C13D72">
        <w:rPr>
          <w:rFonts w:ascii="Arial" w:hAnsi="Arial" w:cs="Arial"/>
          <w:sz w:val="22"/>
          <w:szCs w:val="22"/>
        </w:rPr>
        <w:t>;</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59(2) relating to the payment within 30 days of a benefit to be paid to a member or supplier of service, read together with Regulations 6(1), 6(2), 6(3) and 6(4) relating to the manner of payment of benefits;</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 9A relating to a prohibition on any provision in the rules of a Scheme that permits an accumulation of unexpended benefits by a beneficiary from one year to the next, other than as provided for in personal medical savings accounts;</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30(1)(e) relating to Scheme Rules allocating a personal medical savings account to a member within the limit and in the manner prescribed from time to time for payment of any relevant health service;</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Regulations 10(1), 10(4), 10(5) and 10(6) relating to personal medical savings accounts;</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4(1), 4(2), 4(4) and 4(5) of the Financial Institutions (Protection of Funds) Act 28 of 2001 relating to the investment of personal medical savings account monies and the separation thereof from scheme assets, read together with Section 2(c) of the Protection of Funds Act relating to the allocation of investment income earned in respect of these monies;</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Regulations 15 relating to the provision of managed health care; 18 relating to provisions to be included in administration agreements; and 19 relating to requirements of the parties on termination of an administration agreement;</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lastRenderedPageBreak/>
        <w:t xml:space="preserve">Section 65 relating to broker services and commission, read together with Regulations 28(1), 28(2), 28(5) relating to compensation of brokers by a Scheme and </w:t>
      </w:r>
      <w:r>
        <w:rPr>
          <w:rFonts w:ascii="Arial" w:hAnsi="Arial" w:cs="Arial"/>
          <w:sz w:val="22"/>
          <w:szCs w:val="22"/>
        </w:rPr>
        <w:t xml:space="preserve">Regulation </w:t>
      </w:r>
      <w:r w:rsidRPr="00F463BC">
        <w:rPr>
          <w:rFonts w:ascii="Arial" w:hAnsi="Arial" w:cs="Arial"/>
          <w:sz w:val="22"/>
          <w:szCs w:val="22"/>
        </w:rPr>
        <w:t>28B relating to requirements for accreditation of brokers by the Medical Council; and</w:t>
      </w:r>
    </w:p>
    <w:p w:rsidR="003351B5" w:rsidRPr="00F463BC" w:rsidRDefault="003351B5" w:rsidP="003351B5">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 29 relating to the minimum accumulated funds to be maintained by a Scheme.</w:t>
      </w:r>
    </w:p>
    <w:p w:rsidR="003351B5" w:rsidRPr="00F463BC" w:rsidRDefault="003351B5" w:rsidP="003351B5">
      <w:pPr>
        <w:autoSpaceDE w:val="0"/>
        <w:autoSpaceDN w:val="0"/>
        <w:adjustRightInd w:val="0"/>
        <w:spacing w:before="0" w:line="271" w:lineRule="auto"/>
        <w:rPr>
          <w:rFonts w:ascii="Arial" w:hAnsi="Arial" w:cs="Arial"/>
          <w:b/>
          <w:bCs/>
          <w:sz w:val="22"/>
          <w:szCs w:val="22"/>
        </w:rPr>
      </w:pPr>
    </w:p>
    <w:p w:rsidR="003351B5" w:rsidRPr="00E93B2B" w:rsidRDefault="003351B5" w:rsidP="003351B5">
      <w:pPr>
        <w:keepNext/>
        <w:autoSpaceDE w:val="0"/>
        <w:autoSpaceDN w:val="0"/>
        <w:adjustRightInd w:val="0"/>
        <w:spacing w:before="0" w:line="271" w:lineRule="auto"/>
        <w:rPr>
          <w:rFonts w:ascii="Arial" w:hAnsi="Arial" w:cs="Arial"/>
          <w:bCs/>
          <w:i/>
          <w:sz w:val="22"/>
          <w:szCs w:val="22"/>
        </w:rPr>
      </w:pPr>
      <w:r w:rsidRPr="00E93B2B">
        <w:rPr>
          <w:rFonts w:ascii="Arial" w:hAnsi="Arial" w:cs="Arial"/>
          <w:bCs/>
          <w:i/>
          <w:sz w:val="22"/>
          <w:szCs w:val="22"/>
        </w:rPr>
        <w:t>Trustees’ Responsibility</w:t>
      </w:r>
    </w:p>
    <w:p w:rsidR="003351B5" w:rsidRPr="00F463BC" w:rsidRDefault="003351B5" w:rsidP="003351B5">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trustees are responsible for compliance by the Scheme with the specified Sections of the Act and related Regulations and for such internal control as they determine is necessary to ensure compliance with the specified Sections </w:t>
      </w:r>
      <w:r>
        <w:rPr>
          <w:rFonts w:ascii="Arial" w:hAnsi="Arial" w:cs="Arial"/>
          <w:sz w:val="22"/>
          <w:szCs w:val="22"/>
        </w:rPr>
        <w:t xml:space="preserve">of the Act </w:t>
      </w:r>
      <w:r w:rsidRPr="00F463BC">
        <w:rPr>
          <w:rFonts w:ascii="Arial" w:hAnsi="Arial" w:cs="Arial"/>
          <w:sz w:val="22"/>
          <w:szCs w:val="22"/>
        </w:rPr>
        <w:t xml:space="preserve">and </w:t>
      </w:r>
      <w:r>
        <w:rPr>
          <w:rFonts w:ascii="Arial" w:hAnsi="Arial" w:cs="Arial"/>
          <w:sz w:val="22"/>
          <w:szCs w:val="22"/>
        </w:rPr>
        <w:t xml:space="preserve">related </w:t>
      </w:r>
      <w:r w:rsidRPr="00F463BC">
        <w:rPr>
          <w:rFonts w:ascii="Arial" w:hAnsi="Arial" w:cs="Arial"/>
          <w:sz w:val="22"/>
          <w:szCs w:val="22"/>
        </w:rPr>
        <w:t>Regulations.</w:t>
      </w:r>
    </w:p>
    <w:p w:rsidR="003351B5" w:rsidRPr="00F463BC" w:rsidRDefault="003351B5" w:rsidP="003351B5">
      <w:pPr>
        <w:keepNext/>
        <w:autoSpaceDE w:val="0"/>
        <w:autoSpaceDN w:val="0"/>
        <w:adjustRightInd w:val="0"/>
        <w:spacing w:before="0" w:line="271" w:lineRule="auto"/>
        <w:rPr>
          <w:rFonts w:ascii="Arial" w:hAnsi="Arial" w:cs="Arial"/>
          <w:sz w:val="22"/>
          <w:szCs w:val="22"/>
        </w:rPr>
      </w:pPr>
    </w:p>
    <w:p w:rsidR="003351B5" w:rsidRPr="00E93B2B" w:rsidRDefault="003351B5" w:rsidP="003351B5">
      <w:pPr>
        <w:keepNext/>
        <w:keepLines/>
        <w:autoSpaceDE w:val="0"/>
        <w:autoSpaceDN w:val="0"/>
        <w:adjustRightInd w:val="0"/>
        <w:spacing w:before="0" w:line="271" w:lineRule="auto"/>
        <w:rPr>
          <w:rFonts w:ascii="Arial" w:hAnsi="Arial" w:cs="Arial"/>
          <w:bCs/>
          <w:i/>
          <w:sz w:val="22"/>
          <w:szCs w:val="22"/>
        </w:rPr>
      </w:pPr>
      <w:r w:rsidRPr="00CE366E">
        <w:rPr>
          <w:rFonts w:ascii="Arial" w:hAnsi="Arial" w:cs="Arial"/>
          <w:bCs/>
          <w:i/>
          <w:sz w:val="22"/>
          <w:szCs w:val="22"/>
        </w:rPr>
        <w:t>Auditor’s Independence and Quality Control</w:t>
      </w:r>
      <w:r w:rsidRPr="00E93B2B">
        <w:rPr>
          <w:rFonts w:ascii="Arial" w:hAnsi="Arial" w:cs="Arial"/>
          <w:bCs/>
          <w:i/>
          <w:sz w:val="22"/>
          <w:szCs w:val="22"/>
        </w:rPr>
        <w:t xml:space="preserve"> </w:t>
      </w:r>
    </w:p>
    <w:p w:rsidR="003351B5" w:rsidRPr="00076E15" w:rsidRDefault="003351B5" w:rsidP="003351B5">
      <w:pPr>
        <w:autoSpaceDE w:val="0"/>
        <w:autoSpaceDN w:val="0"/>
        <w:adjustRightInd w:val="0"/>
        <w:spacing w:before="0" w:line="271" w:lineRule="auto"/>
        <w:rPr>
          <w:rFonts w:ascii="Arial" w:hAnsi="Arial" w:cs="Arial"/>
          <w:sz w:val="22"/>
          <w:szCs w:val="22"/>
        </w:rPr>
      </w:pPr>
      <w:r w:rsidRPr="00076E15">
        <w:rPr>
          <w:rFonts w:ascii="Arial" w:hAnsi="Arial" w:cs="Arial"/>
          <w:sz w:val="22"/>
          <w:szCs w:val="22"/>
        </w:rPr>
        <w:t xml:space="preserve">We have complied with the </w:t>
      </w:r>
      <w:r w:rsidRPr="0090668E">
        <w:rPr>
          <w:rFonts w:ascii="Arial" w:hAnsi="Arial" w:cs="Arial"/>
          <w:sz w:val="22"/>
          <w:szCs w:val="22"/>
        </w:rPr>
        <w:t xml:space="preserve">independence and other ethical requirements of the </w:t>
      </w:r>
      <w:r w:rsidRPr="00D40F4F">
        <w:rPr>
          <w:rFonts w:ascii="Arial" w:hAnsi="Arial" w:cs="Arial"/>
          <w:i/>
          <w:sz w:val="22"/>
          <w:szCs w:val="22"/>
        </w:rPr>
        <w:t>Code of Professional Conduct for Registered Auditors</w:t>
      </w:r>
      <w:r w:rsidRPr="00076E15">
        <w:rPr>
          <w:rFonts w:ascii="Arial" w:hAnsi="Arial" w:cs="Arial"/>
          <w:sz w:val="22"/>
          <w:szCs w:val="22"/>
        </w:rPr>
        <w:t xml:space="preserve"> issued by the Independent Regulatory Board for Auditors (the IRBA</w:t>
      </w:r>
      <w:r>
        <w:rPr>
          <w:rFonts w:ascii="Arial" w:hAnsi="Arial" w:cs="Arial"/>
          <w:sz w:val="22"/>
          <w:szCs w:val="22"/>
        </w:rPr>
        <w:t xml:space="preserve"> Code</w:t>
      </w:r>
      <w:r w:rsidRPr="00076E15">
        <w:rPr>
          <w:rFonts w:ascii="Arial" w:hAnsi="Arial" w:cs="Arial"/>
          <w:sz w:val="22"/>
          <w:szCs w:val="22"/>
        </w:rPr>
        <w:t xml:space="preserve">), </w:t>
      </w:r>
      <w:r w:rsidRPr="00AD02FA">
        <w:rPr>
          <w:rFonts w:ascii="Arial" w:hAnsi="Arial" w:cs="Arial"/>
          <w:sz w:val="22"/>
          <w:szCs w:val="22"/>
        </w:rPr>
        <w:t>which is founded on fundamental principles of integrity, objectivity, professional competence and due care, confidentiality and professional behaviour</w:t>
      </w:r>
      <w:r>
        <w:rPr>
          <w:rFonts w:ascii="Arial" w:hAnsi="Arial" w:cs="Arial"/>
          <w:sz w:val="22"/>
          <w:szCs w:val="22"/>
        </w:rPr>
        <w:t xml:space="preserve">. The IRBA Code </w:t>
      </w:r>
      <w:r w:rsidRPr="0090668E">
        <w:rPr>
          <w:rFonts w:ascii="Arial" w:hAnsi="Arial" w:cs="Arial"/>
          <w:sz w:val="22"/>
          <w:szCs w:val="22"/>
        </w:rPr>
        <w:t xml:space="preserve">is consistent with the </w:t>
      </w:r>
      <w:r w:rsidRPr="00AD02FA">
        <w:rPr>
          <w:rFonts w:ascii="Arial" w:hAnsi="Arial" w:cs="Arial"/>
          <w:sz w:val="22"/>
          <w:szCs w:val="22"/>
        </w:rPr>
        <w:t xml:space="preserve">International Ethics Standards Board for Accountants </w:t>
      </w:r>
      <w:r w:rsidRPr="00D40F4F">
        <w:rPr>
          <w:rFonts w:ascii="Arial" w:hAnsi="Arial" w:cs="Arial"/>
          <w:i/>
          <w:sz w:val="22"/>
          <w:szCs w:val="22"/>
        </w:rPr>
        <w:t>Code of Ethics for Professional Accountants (Parts A and B)</w:t>
      </w:r>
      <w:r w:rsidRPr="00AD02FA">
        <w:rPr>
          <w:rFonts w:ascii="Arial" w:hAnsi="Arial" w:cs="Arial"/>
          <w:sz w:val="22"/>
          <w:szCs w:val="22"/>
        </w:rPr>
        <w:t>.</w:t>
      </w:r>
    </w:p>
    <w:p w:rsidR="003351B5" w:rsidRPr="00076E15" w:rsidRDefault="003351B5" w:rsidP="003351B5">
      <w:pPr>
        <w:autoSpaceDE w:val="0"/>
        <w:autoSpaceDN w:val="0"/>
        <w:adjustRightInd w:val="0"/>
        <w:spacing w:before="0" w:line="271" w:lineRule="auto"/>
        <w:rPr>
          <w:rFonts w:ascii="Arial" w:hAnsi="Arial" w:cs="Arial"/>
          <w:sz w:val="22"/>
          <w:szCs w:val="22"/>
        </w:rPr>
      </w:pPr>
      <w:r w:rsidRPr="00D40F4F">
        <w:rPr>
          <w:rFonts w:ascii="Arial" w:hAnsi="Arial" w:cs="Arial"/>
          <w:i/>
          <w:sz w:val="22"/>
          <w:szCs w:val="22"/>
        </w:rPr>
        <w:t>[Name of firm] / [The firm]</w:t>
      </w:r>
      <w:r w:rsidRPr="0090668E">
        <w:rPr>
          <w:rFonts w:ascii="Arial" w:hAnsi="Arial" w:cs="Arial"/>
          <w:sz w:val="22"/>
          <w:szCs w:val="22"/>
        </w:rPr>
        <w:t xml:space="preserve"> applies International Standard on Quality Control 1 </w:t>
      </w:r>
      <w:r>
        <w:rPr>
          <w:rFonts w:ascii="Arial" w:hAnsi="Arial" w:cs="Arial"/>
          <w:sz w:val="22"/>
          <w:szCs w:val="22"/>
        </w:rPr>
        <w:t>(</w:t>
      </w:r>
      <w:r w:rsidRPr="00D40F4F">
        <w:rPr>
          <w:rFonts w:ascii="Arial" w:hAnsi="Arial" w:cs="Arial"/>
          <w:sz w:val="22"/>
          <w:szCs w:val="22"/>
        </w:rPr>
        <w:t xml:space="preserve">ISQC 1), </w:t>
      </w:r>
      <w:r w:rsidRPr="00D40F4F">
        <w:rPr>
          <w:rFonts w:ascii="Arial" w:hAnsi="Arial" w:cs="Arial"/>
          <w:i/>
          <w:sz w:val="22"/>
          <w:szCs w:val="22"/>
        </w:rPr>
        <w:t>Quality Control for Firms that Perform Audits and Reviews of Financial Statements, and Other Assurance and Related Services Engagements</w:t>
      </w:r>
      <w:r w:rsidRPr="00D40F4F">
        <w:rPr>
          <w:rFonts w:ascii="Arial" w:hAnsi="Arial" w:cs="Arial"/>
          <w:sz w:val="22"/>
          <w:szCs w:val="22"/>
        </w:rPr>
        <w:t xml:space="preserve">, </w:t>
      </w:r>
      <w:r w:rsidRPr="0090668E">
        <w:rPr>
          <w:rFonts w:ascii="Arial" w:hAnsi="Arial" w:cs="Arial"/>
          <w:sz w:val="22"/>
          <w:szCs w:val="22"/>
        </w:rPr>
        <w:t xml:space="preserve">and accordingly </w:t>
      </w:r>
      <w:r w:rsidRPr="00076E15">
        <w:rPr>
          <w:rFonts w:ascii="Arial" w:hAnsi="Arial" w:cs="Arial"/>
          <w:sz w:val="22"/>
          <w:szCs w:val="22"/>
        </w:rPr>
        <w:t xml:space="preserve">maintains a comprehensive system of quality control including documented policies and procedures regarding compliance with ethical requirements, professional standards and applicable legal and regulatory requirements. </w:t>
      </w:r>
    </w:p>
    <w:p w:rsidR="003351B5" w:rsidRPr="00F463BC" w:rsidRDefault="003351B5" w:rsidP="003351B5">
      <w:pPr>
        <w:autoSpaceDE w:val="0"/>
        <w:autoSpaceDN w:val="0"/>
        <w:adjustRightInd w:val="0"/>
        <w:spacing w:before="0" w:line="271" w:lineRule="auto"/>
        <w:rPr>
          <w:rFonts w:ascii="Arial" w:hAnsi="Arial" w:cs="Arial"/>
          <w:sz w:val="22"/>
          <w:szCs w:val="22"/>
        </w:rPr>
      </w:pPr>
    </w:p>
    <w:p w:rsidR="003351B5" w:rsidRPr="002D3AD5" w:rsidRDefault="003351B5" w:rsidP="002D3AD5">
      <w:pPr>
        <w:keepNext/>
        <w:keepLines/>
        <w:autoSpaceDE w:val="0"/>
        <w:autoSpaceDN w:val="0"/>
        <w:adjustRightInd w:val="0"/>
        <w:spacing w:before="0" w:line="271" w:lineRule="auto"/>
        <w:rPr>
          <w:rFonts w:ascii="Arial" w:hAnsi="Arial" w:cs="Arial"/>
          <w:bCs/>
          <w:i/>
          <w:sz w:val="22"/>
          <w:szCs w:val="22"/>
        </w:rPr>
      </w:pPr>
      <w:r w:rsidRPr="002D3AD5">
        <w:rPr>
          <w:rFonts w:ascii="Arial" w:hAnsi="Arial" w:cs="Arial"/>
          <w:bCs/>
          <w:i/>
          <w:sz w:val="22"/>
          <w:szCs w:val="22"/>
        </w:rPr>
        <w:t>Auditor’s Responsibility</w:t>
      </w:r>
    </w:p>
    <w:p w:rsidR="003351B5" w:rsidRPr="002D3AD5" w:rsidRDefault="003351B5" w:rsidP="002D3AD5">
      <w:pPr>
        <w:autoSpaceDE w:val="0"/>
        <w:autoSpaceDN w:val="0"/>
        <w:adjustRightInd w:val="0"/>
        <w:spacing w:before="0" w:line="271" w:lineRule="auto"/>
        <w:rPr>
          <w:rFonts w:ascii="Arial" w:hAnsi="Arial" w:cs="Arial"/>
          <w:sz w:val="22"/>
          <w:szCs w:val="22"/>
        </w:rPr>
      </w:pPr>
      <w:r w:rsidRPr="002D3AD5">
        <w:rPr>
          <w:rFonts w:ascii="Arial" w:hAnsi="Arial" w:cs="Arial"/>
          <w:sz w:val="22"/>
          <w:szCs w:val="22"/>
        </w:rPr>
        <w:t>Our responsibility, in accordance with Sections 36(5)(b) and 36(8)(b) of the Act, is to express a limited assurance conclusion whether, based on our work performed, anything has come to our attention that causes us to believe that the Scheme has not complied with the specified Sections of the Act and related Regulations.</w:t>
      </w:r>
    </w:p>
    <w:p w:rsidR="003351B5" w:rsidRDefault="003351B5" w:rsidP="003351B5">
      <w:pPr>
        <w:keepNext/>
        <w:keepLines/>
        <w:autoSpaceDE w:val="0"/>
        <w:autoSpaceDN w:val="0"/>
        <w:adjustRightInd w:val="0"/>
        <w:spacing w:before="0" w:line="271" w:lineRule="auto"/>
        <w:rPr>
          <w:rFonts w:ascii="Arial" w:hAnsi="Arial" w:cs="Arial"/>
          <w:sz w:val="22"/>
          <w:szCs w:val="22"/>
        </w:rPr>
      </w:pPr>
      <w:r w:rsidRPr="00E65C2E">
        <w:rPr>
          <w:rFonts w:ascii="Arial" w:hAnsi="Arial" w:cs="Arial"/>
          <w:sz w:val="22"/>
          <w:szCs w:val="22"/>
        </w:rPr>
        <w:t>We conducted our engagement in accordance with the International Standard on Assurance Engagements</w:t>
      </w:r>
      <w:r w:rsidRPr="00F463BC">
        <w:rPr>
          <w:rFonts w:ascii="Arial" w:hAnsi="Arial" w:cs="Arial"/>
          <w:sz w:val="22"/>
          <w:szCs w:val="22"/>
        </w:rPr>
        <w:t xml:space="preserve"> (ISAE) 3000 (Revised), </w:t>
      </w:r>
      <w:r w:rsidRPr="00F463BC">
        <w:rPr>
          <w:rFonts w:ascii="Arial" w:hAnsi="Arial" w:cs="Arial"/>
          <w:i/>
          <w:iCs/>
          <w:sz w:val="22"/>
          <w:szCs w:val="22"/>
        </w:rPr>
        <w:t>Assurance Engagements Other Than Audits or Reviews of Historic Financial Information</w:t>
      </w:r>
      <w:r>
        <w:rPr>
          <w:rFonts w:ascii="Arial" w:hAnsi="Arial" w:cs="Arial"/>
          <w:sz w:val="22"/>
          <w:szCs w:val="22"/>
        </w:rPr>
        <w:t xml:space="preserve">, </w:t>
      </w:r>
      <w:r w:rsidRPr="001C38BD">
        <w:rPr>
          <w:rFonts w:ascii="Arial" w:hAnsi="Arial" w:cs="Arial"/>
          <w:sz w:val="22"/>
          <w:szCs w:val="22"/>
        </w:rPr>
        <w:t>issued by the International Auditing and Assurance Standards Board</w:t>
      </w:r>
      <w:r>
        <w:rPr>
          <w:rFonts w:ascii="Arial" w:hAnsi="Arial" w:cs="Arial"/>
          <w:sz w:val="22"/>
          <w:szCs w:val="22"/>
        </w:rPr>
        <w:t>.</w:t>
      </w:r>
      <w:r w:rsidRPr="00F463BC">
        <w:rPr>
          <w:rFonts w:ascii="Arial" w:hAnsi="Arial" w:cs="Arial"/>
          <w:sz w:val="22"/>
          <w:szCs w:val="22"/>
        </w:rPr>
        <w:t xml:space="preserve"> That standard requires </w:t>
      </w:r>
      <w:r>
        <w:rPr>
          <w:rFonts w:ascii="Arial" w:hAnsi="Arial" w:cs="Arial"/>
          <w:sz w:val="22"/>
          <w:szCs w:val="22"/>
        </w:rPr>
        <w:t xml:space="preserve">that we </w:t>
      </w:r>
      <w:r w:rsidRPr="00F463BC">
        <w:rPr>
          <w:rFonts w:ascii="Arial" w:hAnsi="Arial" w:cs="Arial"/>
          <w:sz w:val="22"/>
          <w:szCs w:val="22"/>
        </w:rPr>
        <w:t xml:space="preserve">plan and perform </w:t>
      </w:r>
      <w:r>
        <w:rPr>
          <w:rFonts w:ascii="Arial" w:hAnsi="Arial" w:cs="Arial"/>
          <w:sz w:val="22"/>
          <w:szCs w:val="22"/>
        </w:rPr>
        <w:t>this</w:t>
      </w:r>
      <w:r w:rsidRPr="00F463BC">
        <w:rPr>
          <w:rFonts w:ascii="Arial" w:hAnsi="Arial" w:cs="Arial"/>
          <w:sz w:val="22"/>
          <w:szCs w:val="22"/>
        </w:rPr>
        <w:t xml:space="preserve"> engagement to obtain limited assurance on whether the Scheme has </w:t>
      </w:r>
      <w:r w:rsidRPr="006264DA">
        <w:rPr>
          <w:rFonts w:ascii="Arial" w:hAnsi="Arial" w:cs="Arial"/>
          <w:sz w:val="22"/>
          <w:szCs w:val="22"/>
        </w:rPr>
        <w:t>complied with the specified</w:t>
      </w:r>
      <w:r w:rsidRPr="00F463BC">
        <w:rPr>
          <w:rFonts w:ascii="Arial" w:hAnsi="Arial" w:cs="Arial"/>
          <w:sz w:val="22"/>
          <w:szCs w:val="22"/>
        </w:rPr>
        <w:t xml:space="preserve"> Sections of the Act and related Regulations.</w:t>
      </w:r>
    </w:p>
    <w:p w:rsidR="003351B5" w:rsidRPr="00034953" w:rsidRDefault="003351B5" w:rsidP="003351B5">
      <w:pPr>
        <w:spacing w:before="0" w:line="271" w:lineRule="auto"/>
        <w:rPr>
          <w:rFonts w:ascii="Arial" w:hAnsi="Arial" w:cs="Arial"/>
          <w:sz w:val="22"/>
          <w:szCs w:val="22"/>
        </w:rPr>
      </w:pPr>
      <w:r w:rsidRPr="00034953">
        <w:rPr>
          <w:rFonts w:ascii="Arial" w:hAnsi="Arial" w:cs="Arial"/>
          <w:sz w:val="22"/>
          <w:szCs w:val="22"/>
        </w:rPr>
        <w:t>A limited assurance engagement is substantially less in scope than a reasonable assurance engagement in relation to both risk assessme</w:t>
      </w:r>
      <w:r w:rsidRPr="00160E52">
        <w:rPr>
          <w:rFonts w:ascii="Arial" w:hAnsi="Arial" w:cs="Arial"/>
          <w:sz w:val="22"/>
          <w:szCs w:val="22"/>
        </w:rPr>
        <w:t>nt procedures, including an understanding of internal control, and the procedures performed in response to the assessed risks</w:t>
      </w:r>
      <w:r w:rsidRPr="008548E5">
        <w:rPr>
          <w:rFonts w:ascii="Arial" w:hAnsi="Arial" w:cs="Arial"/>
          <w:sz w:val="22"/>
          <w:szCs w:val="22"/>
        </w:rPr>
        <w:t>.</w:t>
      </w:r>
      <w:r w:rsidRPr="008548E5">
        <w:rPr>
          <w:rFonts w:ascii="Arial" w:hAnsi="Arial" w:cs="Arial"/>
          <w:b/>
          <w:sz w:val="22"/>
          <w:szCs w:val="22"/>
          <w:vertAlign w:val="superscript"/>
        </w:rPr>
        <w:t xml:space="preserve"> </w:t>
      </w:r>
      <w:r w:rsidRPr="008548E5">
        <w:rPr>
          <w:rFonts w:ascii="Arial" w:hAnsi="Arial" w:cs="Arial"/>
          <w:sz w:val="22"/>
          <w:szCs w:val="22"/>
        </w:rPr>
        <w:t xml:space="preserve">The </w:t>
      </w:r>
      <w:r w:rsidRPr="008548E5">
        <w:rPr>
          <w:rFonts w:ascii="Arial" w:hAnsi="Arial" w:cs="Arial"/>
          <w:sz w:val="22"/>
          <w:szCs w:val="22"/>
        </w:rPr>
        <w:lastRenderedPageBreak/>
        <w:t>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rsidR="003351B5" w:rsidRPr="00F463BC" w:rsidRDefault="003351B5" w:rsidP="003351B5">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iCs/>
          <w:sz w:val="22"/>
          <w:szCs w:val="22"/>
        </w:rPr>
        <w:t>insert date</w:t>
      </w:r>
      <w:r w:rsidRPr="00F463BC">
        <w:rPr>
          <w:rFonts w:ascii="Arial" w:hAnsi="Arial" w:cs="Arial"/>
          <w:sz w:val="22"/>
          <w:szCs w:val="22"/>
        </w:rPr>
        <w:t>&gt;, prepared in accordance with International Financial Reporting Standards (IFRS)</w:t>
      </w:r>
      <w:r>
        <w:rPr>
          <w:rFonts w:ascii="Arial" w:hAnsi="Arial" w:cs="Arial"/>
          <w:sz w:val="22"/>
          <w:szCs w:val="22"/>
        </w:rPr>
        <w:t xml:space="preserve"> </w:t>
      </w:r>
      <w:r w:rsidRPr="00AE7684">
        <w:rPr>
          <w:rFonts w:ascii="Arial" w:hAnsi="Arial" w:cs="Arial"/>
          <w:sz w:val="22"/>
          <w:szCs w:val="22"/>
        </w:rPr>
        <w:t>and the requirements of the Medical Schemes Act of South Africa</w:t>
      </w:r>
      <w:r w:rsidRPr="00F463BC">
        <w:rPr>
          <w:rFonts w:ascii="Arial" w:hAnsi="Arial" w:cs="Arial"/>
          <w:sz w:val="22"/>
          <w:szCs w:val="22"/>
        </w:rPr>
        <w:t>, on which we issued an &lt;</w:t>
      </w:r>
      <w:r w:rsidRPr="00F463BC">
        <w:rPr>
          <w:rFonts w:ascii="Arial" w:hAnsi="Arial" w:cs="Arial"/>
          <w:i/>
          <w:iCs/>
          <w:sz w:val="22"/>
          <w:szCs w:val="22"/>
        </w:rPr>
        <w:t>unmodified/modified</w:t>
      </w:r>
      <w:r w:rsidRPr="00F463BC">
        <w:rPr>
          <w:rFonts w:ascii="Arial" w:hAnsi="Arial" w:cs="Arial"/>
          <w:sz w:val="22"/>
          <w:szCs w:val="22"/>
        </w:rPr>
        <w:t>&gt;</w:t>
      </w:r>
      <w:r w:rsidRPr="00F463BC">
        <w:rPr>
          <w:rStyle w:val="FootnoteReference"/>
          <w:rFonts w:ascii="Arial" w:hAnsi="Arial" w:cs="Arial"/>
          <w:sz w:val="22"/>
          <w:szCs w:val="22"/>
        </w:rPr>
        <w:footnoteReference w:id="69"/>
      </w:r>
      <w:r w:rsidRPr="00F463BC">
        <w:rPr>
          <w:rFonts w:ascii="Arial" w:hAnsi="Arial" w:cs="Arial"/>
          <w:sz w:val="22"/>
          <w:szCs w:val="22"/>
        </w:rPr>
        <w:t xml:space="preserve"> opinion on &lt;</w:t>
      </w:r>
      <w:r w:rsidRPr="00F463BC">
        <w:rPr>
          <w:rFonts w:ascii="Arial" w:hAnsi="Arial" w:cs="Arial"/>
          <w:i/>
          <w:iCs/>
          <w:sz w:val="22"/>
          <w:szCs w:val="22"/>
        </w:rPr>
        <w:t>insert date of audit report</w:t>
      </w:r>
      <w:r w:rsidRPr="00F463BC">
        <w:rPr>
          <w:rFonts w:ascii="Arial" w:hAnsi="Arial" w:cs="Arial"/>
          <w:sz w:val="22"/>
          <w:szCs w:val="22"/>
        </w:rPr>
        <w:t xml:space="preserve">&gt;. Our audit was performed in accordance with </w:t>
      </w:r>
      <w:r w:rsidRPr="00AE7684">
        <w:rPr>
          <w:rFonts w:ascii="Arial" w:hAnsi="Arial" w:cs="Arial"/>
          <w:sz w:val="22"/>
          <w:szCs w:val="22"/>
        </w:rPr>
        <w:t>International Standards on Auditing</w:t>
      </w:r>
      <w:r w:rsidRPr="00F463BC">
        <w:rPr>
          <w:rFonts w:ascii="Arial" w:hAnsi="Arial" w:cs="Arial"/>
          <w:sz w:val="22"/>
          <w:szCs w:val="22"/>
        </w:rPr>
        <w:t>. Where appropriate, we have drawn on evidence obtained regarding instances of non-compliance with the specified Sections of the Act and related Regulations</w:t>
      </w:r>
      <w:r w:rsidRPr="00F463BC" w:rsidDel="00F94BBB">
        <w:rPr>
          <w:rFonts w:ascii="Arial" w:hAnsi="Arial" w:cs="Arial"/>
          <w:sz w:val="22"/>
          <w:szCs w:val="22"/>
        </w:rPr>
        <w:t xml:space="preserve"> </w:t>
      </w:r>
      <w:r w:rsidRPr="00F463BC">
        <w:rPr>
          <w:rFonts w:ascii="Arial" w:hAnsi="Arial" w:cs="Arial"/>
          <w:sz w:val="22"/>
          <w:szCs w:val="22"/>
        </w:rPr>
        <w:t>identified during the course of our audit that might materially affect the annual financial statements, and have performed such additional procedures as we considered necessary which included:</w:t>
      </w:r>
    </w:p>
    <w:p w:rsidR="003351B5" w:rsidRPr="00F463BC" w:rsidRDefault="003351B5" w:rsidP="003351B5">
      <w:pPr>
        <w:numPr>
          <w:ilvl w:val="0"/>
          <w:numId w:val="22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Making inquiries of the Scheme’s management primarily responsible for financial and accounting matters and regulatory compliance;</w:t>
      </w:r>
    </w:p>
    <w:p w:rsidR="003351B5" w:rsidRDefault="003351B5" w:rsidP="003351B5">
      <w:pPr>
        <w:numPr>
          <w:ilvl w:val="0"/>
          <w:numId w:val="22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Re-performance of calculations</w:t>
      </w:r>
      <w:r>
        <w:rPr>
          <w:rFonts w:ascii="Arial" w:hAnsi="Arial" w:cs="Arial"/>
          <w:sz w:val="22"/>
          <w:szCs w:val="22"/>
        </w:rPr>
        <w:t>;</w:t>
      </w:r>
    </w:p>
    <w:p w:rsidR="003351B5" w:rsidRPr="00F463BC" w:rsidRDefault="003351B5" w:rsidP="003351B5">
      <w:pPr>
        <w:numPr>
          <w:ilvl w:val="0"/>
          <w:numId w:val="223"/>
        </w:numPr>
        <w:autoSpaceDE w:val="0"/>
        <w:autoSpaceDN w:val="0"/>
        <w:adjustRightInd w:val="0"/>
        <w:spacing w:before="0" w:line="271" w:lineRule="auto"/>
        <w:rPr>
          <w:rFonts w:ascii="Arial" w:hAnsi="Arial" w:cs="Arial"/>
          <w:sz w:val="22"/>
          <w:szCs w:val="22"/>
        </w:rPr>
      </w:pPr>
      <w:r>
        <w:rPr>
          <w:rFonts w:ascii="Arial" w:hAnsi="Arial" w:cs="Arial"/>
          <w:sz w:val="22"/>
          <w:szCs w:val="22"/>
        </w:rPr>
        <w:t>Performance of s</w:t>
      </w:r>
      <w:r w:rsidRPr="00F463BC">
        <w:rPr>
          <w:rFonts w:ascii="Arial" w:hAnsi="Arial" w:cs="Arial"/>
          <w:sz w:val="22"/>
          <w:szCs w:val="22"/>
        </w:rPr>
        <w:t xml:space="preserve">ubstantive analytical review procedures; and </w:t>
      </w:r>
    </w:p>
    <w:p w:rsidR="003351B5" w:rsidRPr="00F463BC" w:rsidRDefault="003351B5" w:rsidP="003351B5">
      <w:pPr>
        <w:numPr>
          <w:ilvl w:val="0"/>
          <w:numId w:val="22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Inspection of supporting documentation considered necessary to assess compliance with the </w:t>
      </w:r>
      <w:r>
        <w:rPr>
          <w:rFonts w:ascii="Arial" w:hAnsi="Arial" w:cs="Arial"/>
          <w:sz w:val="22"/>
          <w:szCs w:val="22"/>
        </w:rPr>
        <w:t xml:space="preserve">specified </w:t>
      </w:r>
      <w:r w:rsidRPr="00F463BC">
        <w:rPr>
          <w:rFonts w:ascii="Arial" w:hAnsi="Arial" w:cs="Arial"/>
          <w:sz w:val="22"/>
          <w:szCs w:val="22"/>
        </w:rPr>
        <w:t>Sections of the Act and related Regulations</w:t>
      </w:r>
      <w:r>
        <w:rPr>
          <w:rFonts w:ascii="Arial" w:hAnsi="Arial" w:cs="Arial"/>
          <w:sz w:val="22"/>
          <w:szCs w:val="22"/>
        </w:rPr>
        <w:t>.</w:t>
      </w:r>
    </w:p>
    <w:p w:rsidR="003351B5" w:rsidRPr="00F463BC" w:rsidRDefault="003351B5" w:rsidP="003351B5">
      <w:pPr>
        <w:autoSpaceDE w:val="0"/>
        <w:autoSpaceDN w:val="0"/>
        <w:adjustRightInd w:val="0"/>
        <w:spacing w:before="0" w:line="271" w:lineRule="auto"/>
        <w:rPr>
          <w:rFonts w:ascii="Arial" w:hAnsi="Arial" w:cs="Arial"/>
          <w:sz w:val="22"/>
          <w:szCs w:val="22"/>
        </w:rPr>
      </w:pPr>
      <w:r w:rsidRPr="00E65C2E">
        <w:rPr>
          <w:rFonts w:ascii="Arial" w:hAnsi="Arial" w:cs="Arial"/>
          <w:sz w:val="22"/>
          <w:szCs w:val="22"/>
        </w:rPr>
        <w:t>The procedures performed in a limited assurance engagement vary in nature from, and are less in extent than for, a reasonable assurance engagement</w:t>
      </w:r>
      <w:r>
        <w:rPr>
          <w:rFonts w:ascii="Arial" w:hAnsi="Arial" w:cs="Arial"/>
          <w:sz w:val="22"/>
          <w:szCs w:val="22"/>
        </w:rPr>
        <w:t>.</w:t>
      </w:r>
      <w:r w:rsidRPr="00AE7684">
        <w:rPr>
          <w:rFonts w:ascii="Arial" w:hAnsi="Arial" w:cs="Arial"/>
          <w:sz w:val="22"/>
          <w:szCs w:val="22"/>
        </w:rPr>
        <w:t xml:space="preserve"> </w:t>
      </w:r>
      <w:r>
        <w:rPr>
          <w:rFonts w:ascii="Arial" w:hAnsi="Arial" w:cs="Arial"/>
          <w:sz w:val="22"/>
          <w:szCs w:val="22"/>
        </w:rPr>
        <w:t xml:space="preserve">Consequently, </w:t>
      </w:r>
      <w:r w:rsidRPr="00AE7684">
        <w:rPr>
          <w:rFonts w:ascii="Arial" w:hAnsi="Arial" w:cs="Arial"/>
          <w:sz w:val="22"/>
          <w:szCs w:val="22"/>
        </w:rPr>
        <w:t xml:space="preserve">the level of assurance obtained in a limited assurance engagement is substantially lower than the assurance that would have been obtained had </w:t>
      </w:r>
      <w:r>
        <w:rPr>
          <w:rFonts w:ascii="Arial" w:hAnsi="Arial" w:cs="Arial"/>
          <w:sz w:val="22"/>
          <w:szCs w:val="22"/>
        </w:rPr>
        <w:t xml:space="preserve">we performed a </w:t>
      </w:r>
      <w:r w:rsidRPr="00AE7684">
        <w:rPr>
          <w:rFonts w:ascii="Arial" w:hAnsi="Arial" w:cs="Arial"/>
          <w:sz w:val="22"/>
          <w:szCs w:val="22"/>
        </w:rPr>
        <w:t>reasonable assurance engagement</w:t>
      </w:r>
      <w:r w:rsidRPr="00E65C2E">
        <w:rPr>
          <w:rFonts w:ascii="Arial" w:hAnsi="Arial" w:cs="Arial"/>
          <w:sz w:val="22"/>
          <w:szCs w:val="22"/>
        </w:rPr>
        <w:t xml:space="preserve">. Accordingly, we do not express a reasonable assurance opinion </w:t>
      </w:r>
      <w:r>
        <w:rPr>
          <w:rFonts w:ascii="Arial" w:hAnsi="Arial" w:cs="Arial"/>
          <w:sz w:val="22"/>
          <w:szCs w:val="22"/>
        </w:rPr>
        <w:t>regarding</w:t>
      </w:r>
      <w:r w:rsidRPr="00E65C2E">
        <w:rPr>
          <w:rFonts w:ascii="Arial" w:hAnsi="Arial" w:cs="Arial"/>
          <w:sz w:val="22"/>
          <w:szCs w:val="22"/>
        </w:rPr>
        <w:t xml:space="preserve"> whether the Scheme has complied with the specified Sections of the Act and related Regulations.</w:t>
      </w:r>
    </w:p>
    <w:p w:rsidR="003351B5" w:rsidRPr="00AE7684" w:rsidRDefault="003351B5" w:rsidP="003351B5">
      <w:pPr>
        <w:autoSpaceDE w:val="0"/>
        <w:autoSpaceDN w:val="0"/>
        <w:adjustRightInd w:val="0"/>
        <w:spacing w:before="0" w:line="271" w:lineRule="auto"/>
        <w:rPr>
          <w:sz w:val="22"/>
          <w:szCs w:val="22"/>
        </w:rPr>
      </w:pPr>
    </w:p>
    <w:p w:rsidR="003351B5" w:rsidRPr="00E93B2B" w:rsidRDefault="003351B5" w:rsidP="002D3AD5">
      <w:pPr>
        <w:keepNext/>
        <w:autoSpaceDE w:val="0"/>
        <w:autoSpaceDN w:val="0"/>
        <w:adjustRightInd w:val="0"/>
        <w:spacing w:before="0" w:line="271" w:lineRule="auto"/>
        <w:rPr>
          <w:rFonts w:ascii="Arial" w:hAnsi="Arial" w:cs="Arial"/>
          <w:i/>
          <w:sz w:val="22"/>
          <w:szCs w:val="22"/>
        </w:rPr>
      </w:pPr>
      <w:r w:rsidRPr="00E93B2B">
        <w:rPr>
          <w:rFonts w:ascii="Arial" w:hAnsi="Arial" w:cs="Arial"/>
          <w:i/>
          <w:sz w:val="22"/>
          <w:szCs w:val="22"/>
        </w:rPr>
        <w:t>Basis for Qualified Limited Assurance Conclusion</w:t>
      </w:r>
    </w:p>
    <w:p w:rsidR="003351B5" w:rsidRPr="00944A95" w:rsidRDefault="003351B5" w:rsidP="002D3AD5">
      <w:pPr>
        <w:keepNext/>
        <w:autoSpaceDE w:val="0"/>
        <w:autoSpaceDN w:val="0"/>
        <w:adjustRightInd w:val="0"/>
        <w:spacing w:before="0" w:line="271" w:lineRule="auto"/>
        <w:rPr>
          <w:rFonts w:ascii="Arial" w:hAnsi="Arial" w:cs="Arial"/>
          <w:i/>
          <w:sz w:val="22"/>
          <w:szCs w:val="22"/>
        </w:rPr>
      </w:pPr>
      <w:r w:rsidRPr="00944A95">
        <w:rPr>
          <w:rFonts w:ascii="Arial" w:hAnsi="Arial" w:cs="Arial"/>
          <w:i/>
          <w:sz w:val="22"/>
          <w:szCs w:val="22"/>
        </w:rPr>
        <w:t xml:space="preserve">&lt; List </w:t>
      </w:r>
      <w:r>
        <w:rPr>
          <w:rFonts w:ascii="Arial" w:hAnsi="Arial" w:cs="Arial"/>
          <w:i/>
          <w:sz w:val="22"/>
          <w:szCs w:val="22"/>
        </w:rPr>
        <w:t xml:space="preserve">all </w:t>
      </w:r>
      <w:r w:rsidRPr="00944A95">
        <w:rPr>
          <w:rFonts w:ascii="Arial" w:hAnsi="Arial" w:cs="Arial"/>
          <w:i/>
          <w:sz w:val="22"/>
          <w:szCs w:val="22"/>
        </w:rPr>
        <w:t>instances of non-compliance</w:t>
      </w:r>
      <w:r w:rsidRPr="00EC0CAB" w:rsidDel="00EC0CAB">
        <w:rPr>
          <w:rFonts w:ascii="Arial" w:hAnsi="Arial" w:cs="Arial"/>
          <w:i/>
          <w:sz w:val="22"/>
          <w:szCs w:val="22"/>
        </w:rPr>
        <w:t xml:space="preserve"> </w:t>
      </w:r>
      <w:r w:rsidRPr="00944A95">
        <w:rPr>
          <w:rFonts w:ascii="Arial" w:hAnsi="Arial" w:cs="Arial"/>
          <w:i/>
          <w:sz w:val="22"/>
          <w:szCs w:val="22"/>
        </w:rPr>
        <w:t>&gt;</w:t>
      </w:r>
      <w:r w:rsidRPr="00766953">
        <w:rPr>
          <w:rStyle w:val="FootnoteReference"/>
          <w:rFonts w:ascii="Arial" w:hAnsi="Arial" w:cs="Arial"/>
          <w:sz w:val="22"/>
          <w:szCs w:val="22"/>
        </w:rPr>
        <w:footnoteReference w:id="70"/>
      </w:r>
      <w:r w:rsidRPr="00944A95">
        <w:rPr>
          <w:rFonts w:ascii="Arial" w:hAnsi="Arial" w:cs="Arial"/>
          <w:i/>
          <w:sz w:val="22"/>
          <w:szCs w:val="22"/>
        </w:rPr>
        <w:t>.</w:t>
      </w:r>
    </w:p>
    <w:p w:rsidR="003351B5" w:rsidRPr="00862812" w:rsidRDefault="003351B5" w:rsidP="00862812">
      <w:pPr>
        <w:keepNext/>
        <w:autoSpaceDE w:val="0"/>
        <w:autoSpaceDN w:val="0"/>
        <w:adjustRightInd w:val="0"/>
        <w:spacing w:before="0" w:after="0"/>
        <w:rPr>
          <w:rFonts w:ascii="Arial" w:hAnsi="Arial" w:cs="Arial"/>
          <w:b/>
          <w:sz w:val="16"/>
          <w:szCs w:val="16"/>
        </w:rPr>
      </w:pPr>
    </w:p>
    <w:p w:rsidR="003351B5" w:rsidRPr="00E93B2B" w:rsidRDefault="003351B5" w:rsidP="002D3AD5">
      <w:pPr>
        <w:keepNext/>
        <w:autoSpaceDE w:val="0"/>
        <w:autoSpaceDN w:val="0"/>
        <w:adjustRightInd w:val="0"/>
        <w:spacing w:before="0" w:line="271" w:lineRule="auto"/>
        <w:rPr>
          <w:rFonts w:ascii="Arial" w:hAnsi="Arial" w:cs="Arial"/>
          <w:i/>
          <w:sz w:val="22"/>
          <w:szCs w:val="22"/>
        </w:rPr>
      </w:pPr>
      <w:r w:rsidRPr="00E93B2B">
        <w:rPr>
          <w:rFonts w:ascii="Arial" w:hAnsi="Arial" w:cs="Arial"/>
          <w:i/>
          <w:sz w:val="22"/>
          <w:szCs w:val="22"/>
        </w:rPr>
        <w:t>Qualified Limited Assurance Conclusion</w:t>
      </w:r>
      <w:r w:rsidRPr="00E93B2B">
        <w:rPr>
          <w:rStyle w:val="FootnoteReference"/>
          <w:rFonts w:ascii="Arial" w:hAnsi="Arial" w:cs="Arial"/>
          <w:i/>
          <w:sz w:val="22"/>
          <w:szCs w:val="22"/>
        </w:rPr>
        <w:footnoteReference w:id="71"/>
      </w:r>
    </w:p>
    <w:p w:rsidR="003351B5" w:rsidRPr="00F5577A" w:rsidRDefault="003351B5" w:rsidP="003351B5">
      <w:pPr>
        <w:autoSpaceDE w:val="0"/>
        <w:autoSpaceDN w:val="0"/>
        <w:adjustRightInd w:val="0"/>
        <w:spacing w:before="0" w:line="271" w:lineRule="auto"/>
        <w:rPr>
          <w:rFonts w:ascii="Arial" w:hAnsi="Arial" w:cs="Arial"/>
          <w:sz w:val="22"/>
          <w:szCs w:val="22"/>
        </w:rPr>
      </w:pPr>
      <w:r w:rsidRPr="00944A95">
        <w:rPr>
          <w:rFonts w:ascii="Arial" w:hAnsi="Arial" w:cs="Arial"/>
          <w:sz w:val="22"/>
          <w:szCs w:val="22"/>
        </w:rPr>
        <w:t xml:space="preserve">Based on the procedures performed and the evidence obtained, except for the </w:t>
      </w:r>
      <w:r>
        <w:rPr>
          <w:rFonts w:ascii="Arial" w:hAnsi="Arial" w:cs="Arial"/>
          <w:sz w:val="22"/>
          <w:szCs w:val="22"/>
        </w:rPr>
        <w:t>instances of non-compliance</w:t>
      </w:r>
      <w:r w:rsidRPr="00944A95">
        <w:rPr>
          <w:rFonts w:ascii="Arial" w:hAnsi="Arial" w:cs="Arial"/>
          <w:sz w:val="22"/>
          <w:szCs w:val="22"/>
        </w:rPr>
        <w:t xml:space="preserve"> described in the Basis for Qualified Conclusion section of our report, nothing </w:t>
      </w:r>
      <w:r w:rsidRPr="00944A95">
        <w:rPr>
          <w:rFonts w:ascii="Arial" w:hAnsi="Arial" w:cs="Arial"/>
          <w:sz w:val="22"/>
          <w:szCs w:val="22"/>
        </w:rPr>
        <w:lastRenderedPageBreak/>
        <w:t>has come to our attention that causes us to believe that the Scheme has not complied</w:t>
      </w:r>
      <w:r>
        <w:rPr>
          <w:rFonts w:ascii="Arial" w:hAnsi="Arial" w:cs="Arial"/>
          <w:sz w:val="22"/>
          <w:szCs w:val="22"/>
        </w:rPr>
        <w:t>, in all material respects,</w:t>
      </w:r>
      <w:r w:rsidRPr="00944A95">
        <w:rPr>
          <w:rFonts w:ascii="Arial" w:hAnsi="Arial" w:cs="Arial"/>
          <w:sz w:val="22"/>
          <w:szCs w:val="22"/>
        </w:rPr>
        <w:t xml:space="preserve"> with the specified Sections of the Act and </w:t>
      </w:r>
      <w:r>
        <w:rPr>
          <w:rFonts w:ascii="Arial" w:hAnsi="Arial" w:cs="Arial"/>
          <w:sz w:val="22"/>
          <w:szCs w:val="22"/>
        </w:rPr>
        <w:t xml:space="preserve">related </w:t>
      </w:r>
      <w:r w:rsidRPr="00944A95">
        <w:rPr>
          <w:rFonts w:ascii="Arial" w:hAnsi="Arial" w:cs="Arial"/>
          <w:sz w:val="22"/>
          <w:szCs w:val="22"/>
        </w:rPr>
        <w:t>Regulations</w:t>
      </w:r>
      <w:r w:rsidRPr="000D3F6F">
        <w:rPr>
          <w:rFonts w:ascii="Arial" w:hAnsi="Arial" w:cs="Arial"/>
          <w:sz w:val="22"/>
          <w:szCs w:val="22"/>
        </w:rPr>
        <w:t xml:space="preserve"> </w:t>
      </w:r>
      <w:r w:rsidRPr="00F463BC">
        <w:rPr>
          <w:rFonts w:ascii="Arial" w:hAnsi="Arial" w:cs="Arial"/>
          <w:sz w:val="22"/>
          <w:szCs w:val="22"/>
        </w:rPr>
        <w:t>for the year ended &lt;</w:t>
      </w:r>
      <w:r w:rsidRPr="00944A95">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w:t>
      </w:r>
    </w:p>
    <w:p w:rsidR="003351B5" w:rsidRPr="002D3AD5" w:rsidRDefault="003351B5" w:rsidP="00862812">
      <w:pPr>
        <w:keepNext/>
        <w:autoSpaceDE w:val="0"/>
        <w:autoSpaceDN w:val="0"/>
        <w:adjustRightInd w:val="0"/>
        <w:spacing w:before="0" w:after="0"/>
        <w:rPr>
          <w:rFonts w:ascii="Arial" w:hAnsi="Arial" w:cs="Arial"/>
          <w:b/>
          <w:sz w:val="16"/>
          <w:szCs w:val="16"/>
        </w:rPr>
      </w:pPr>
    </w:p>
    <w:p w:rsidR="003351B5" w:rsidRPr="00AE7684" w:rsidRDefault="003351B5" w:rsidP="003351B5">
      <w:pPr>
        <w:keepNext/>
        <w:autoSpaceDE w:val="0"/>
        <w:autoSpaceDN w:val="0"/>
        <w:adjustRightInd w:val="0"/>
        <w:spacing w:before="0" w:line="271" w:lineRule="auto"/>
        <w:rPr>
          <w:rFonts w:ascii="Arial" w:hAnsi="Arial" w:cs="Arial"/>
          <w:b/>
          <w:i/>
          <w:sz w:val="22"/>
          <w:szCs w:val="22"/>
        </w:rPr>
      </w:pPr>
      <w:r w:rsidRPr="00AE7684">
        <w:rPr>
          <w:rFonts w:ascii="Arial" w:hAnsi="Arial" w:cs="Arial"/>
          <w:b/>
          <w:i/>
          <w:sz w:val="22"/>
          <w:szCs w:val="22"/>
        </w:rPr>
        <w:t>OR</w:t>
      </w:r>
    </w:p>
    <w:p w:rsidR="003351B5" w:rsidRPr="002D3AD5" w:rsidRDefault="003351B5" w:rsidP="00862812">
      <w:pPr>
        <w:keepNext/>
        <w:autoSpaceDE w:val="0"/>
        <w:autoSpaceDN w:val="0"/>
        <w:adjustRightInd w:val="0"/>
        <w:spacing w:before="0" w:after="0"/>
        <w:rPr>
          <w:rFonts w:ascii="Arial" w:hAnsi="Arial" w:cs="Arial"/>
          <w:b/>
          <w:sz w:val="16"/>
          <w:szCs w:val="16"/>
        </w:rPr>
      </w:pPr>
    </w:p>
    <w:p w:rsidR="003351B5" w:rsidRPr="00E93B2B" w:rsidRDefault="003351B5" w:rsidP="003351B5">
      <w:pPr>
        <w:keepNext/>
        <w:autoSpaceDE w:val="0"/>
        <w:autoSpaceDN w:val="0"/>
        <w:adjustRightInd w:val="0"/>
        <w:spacing w:before="0" w:line="271" w:lineRule="auto"/>
        <w:rPr>
          <w:rFonts w:ascii="Arial" w:hAnsi="Arial" w:cs="Arial"/>
          <w:i/>
          <w:sz w:val="22"/>
          <w:szCs w:val="22"/>
        </w:rPr>
      </w:pPr>
      <w:r w:rsidRPr="00E93B2B">
        <w:rPr>
          <w:rFonts w:ascii="Arial" w:hAnsi="Arial" w:cs="Arial"/>
          <w:i/>
          <w:sz w:val="22"/>
          <w:szCs w:val="22"/>
        </w:rPr>
        <w:t>Limited Assurance Conclusion</w:t>
      </w:r>
      <w:r w:rsidRPr="00E93B2B">
        <w:rPr>
          <w:rStyle w:val="FootnoteReference"/>
          <w:rFonts w:ascii="Arial" w:hAnsi="Arial" w:cs="Arial"/>
          <w:i/>
          <w:sz w:val="22"/>
          <w:szCs w:val="22"/>
        </w:rPr>
        <w:footnoteReference w:id="72"/>
      </w:r>
    </w:p>
    <w:p w:rsidR="003351B5" w:rsidRDefault="003351B5" w:rsidP="003351B5">
      <w:pPr>
        <w:autoSpaceDE w:val="0"/>
        <w:autoSpaceDN w:val="0"/>
        <w:adjustRightInd w:val="0"/>
        <w:spacing w:before="0" w:line="271" w:lineRule="auto"/>
        <w:rPr>
          <w:rFonts w:ascii="Arial" w:hAnsi="Arial" w:cs="Arial"/>
          <w:sz w:val="22"/>
          <w:szCs w:val="22"/>
        </w:rPr>
      </w:pPr>
      <w:r w:rsidRPr="00301B90">
        <w:rPr>
          <w:rFonts w:ascii="Arial" w:hAnsi="Arial" w:cs="Arial"/>
          <w:sz w:val="22"/>
          <w:szCs w:val="22"/>
        </w:rPr>
        <w:t xml:space="preserve">Based on the procedures </w:t>
      </w:r>
      <w:r>
        <w:rPr>
          <w:rFonts w:ascii="Arial" w:hAnsi="Arial" w:cs="Arial"/>
          <w:sz w:val="22"/>
          <w:szCs w:val="22"/>
        </w:rPr>
        <w:t xml:space="preserve">we have </w:t>
      </w:r>
      <w:r w:rsidRPr="00301B90">
        <w:rPr>
          <w:rFonts w:ascii="Arial" w:hAnsi="Arial" w:cs="Arial"/>
          <w:sz w:val="22"/>
          <w:szCs w:val="22"/>
        </w:rPr>
        <w:t xml:space="preserve">performed and the evidence </w:t>
      </w:r>
      <w:r>
        <w:rPr>
          <w:rFonts w:ascii="Arial" w:hAnsi="Arial" w:cs="Arial"/>
          <w:sz w:val="22"/>
          <w:szCs w:val="22"/>
        </w:rPr>
        <w:t xml:space="preserve">we have </w:t>
      </w:r>
      <w:r w:rsidRPr="00301B90">
        <w:rPr>
          <w:rFonts w:ascii="Arial" w:hAnsi="Arial" w:cs="Arial"/>
          <w:sz w:val="22"/>
          <w:szCs w:val="22"/>
        </w:rPr>
        <w:t>obtained</w:t>
      </w:r>
      <w:r>
        <w:rPr>
          <w:rFonts w:ascii="Arial" w:hAnsi="Arial" w:cs="Arial"/>
          <w:sz w:val="22"/>
          <w:szCs w:val="22"/>
        </w:rPr>
        <w:t>,</w:t>
      </w:r>
      <w:r w:rsidRPr="00301B90">
        <w:rPr>
          <w:rFonts w:ascii="Arial" w:hAnsi="Arial" w:cs="Arial"/>
          <w:sz w:val="22"/>
          <w:szCs w:val="22"/>
        </w:rPr>
        <w:t xml:space="preserve"> nothing has come to our attention that causes us to believe that the Scheme has not complied with the specified Sections of the Act and </w:t>
      </w:r>
      <w:r>
        <w:rPr>
          <w:rFonts w:ascii="Arial" w:hAnsi="Arial" w:cs="Arial"/>
          <w:sz w:val="22"/>
          <w:szCs w:val="22"/>
        </w:rPr>
        <w:t xml:space="preserve">related </w:t>
      </w:r>
      <w:r w:rsidRPr="00301B90">
        <w:rPr>
          <w:rFonts w:ascii="Arial" w:hAnsi="Arial" w:cs="Arial"/>
          <w:sz w:val="22"/>
          <w:szCs w:val="22"/>
        </w:rPr>
        <w:t>Regulations</w:t>
      </w:r>
      <w:r>
        <w:rPr>
          <w:rFonts w:ascii="Arial" w:hAnsi="Arial" w:cs="Arial"/>
          <w:sz w:val="22"/>
          <w:szCs w:val="22"/>
        </w:rPr>
        <w:t xml:space="preserve"> </w:t>
      </w:r>
      <w:r w:rsidRPr="00F463BC">
        <w:rPr>
          <w:rFonts w:ascii="Arial" w:hAnsi="Arial" w:cs="Arial"/>
          <w:sz w:val="22"/>
          <w:szCs w:val="22"/>
        </w:rPr>
        <w:t>for the year ended &lt;</w:t>
      </w:r>
      <w:r w:rsidRPr="00944A95">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w:t>
      </w:r>
      <w:r w:rsidDel="000D3F6F">
        <w:rPr>
          <w:rStyle w:val="CommentReference"/>
        </w:rPr>
        <w:t xml:space="preserve"> </w:t>
      </w:r>
    </w:p>
    <w:p w:rsidR="003351B5" w:rsidRPr="00F463BC" w:rsidRDefault="003351B5" w:rsidP="003351B5">
      <w:pPr>
        <w:autoSpaceDE w:val="0"/>
        <w:autoSpaceDN w:val="0"/>
        <w:adjustRightInd w:val="0"/>
        <w:spacing w:before="0" w:line="271" w:lineRule="auto"/>
        <w:rPr>
          <w:rFonts w:ascii="Arial" w:hAnsi="Arial" w:cs="Arial"/>
          <w:sz w:val="22"/>
          <w:szCs w:val="22"/>
        </w:rPr>
      </w:pPr>
    </w:p>
    <w:p w:rsidR="003351B5" w:rsidRPr="00E93B2B" w:rsidRDefault="003351B5" w:rsidP="003351B5">
      <w:pPr>
        <w:keepNext/>
        <w:autoSpaceDE w:val="0"/>
        <w:autoSpaceDN w:val="0"/>
        <w:adjustRightInd w:val="0"/>
        <w:spacing w:before="0" w:line="271" w:lineRule="auto"/>
        <w:rPr>
          <w:rFonts w:ascii="Arial" w:hAnsi="Arial" w:cs="Arial"/>
          <w:bCs/>
          <w:i/>
          <w:sz w:val="22"/>
          <w:szCs w:val="22"/>
        </w:rPr>
      </w:pPr>
      <w:r w:rsidRPr="00E93B2B">
        <w:rPr>
          <w:rFonts w:ascii="Arial" w:hAnsi="Arial" w:cs="Arial"/>
          <w:bCs/>
          <w:i/>
          <w:sz w:val="22"/>
          <w:szCs w:val="22"/>
        </w:rPr>
        <w:t>Restriction on Use</w:t>
      </w:r>
    </w:p>
    <w:p w:rsidR="003351B5" w:rsidRPr="00F463BC" w:rsidRDefault="003351B5" w:rsidP="003351B5">
      <w:pPr>
        <w:keepNext/>
        <w:spacing w:before="0" w:line="271" w:lineRule="auto"/>
        <w:rPr>
          <w:rFonts w:ascii="Arial" w:hAnsi="Arial" w:cs="Arial"/>
          <w:sz w:val="22"/>
          <w:szCs w:val="22"/>
          <w:lang w:eastAsia="en-ZA"/>
        </w:rPr>
      </w:pPr>
      <w:r w:rsidRPr="00F463BC">
        <w:rPr>
          <w:rFonts w:ascii="Arial" w:hAnsi="Arial" w:cs="Arial"/>
          <w:sz w:val="22"/>
          <w:szCs w:val="22"/>
          <w:lang w:eastAsia="en-ZA"/>
        </w:rPr>
        <w:t xml:space="preserve">Without modifying our conclusion we emphasise that </w:t>
      </w:r>
      <w:r w:rsidRPr="00F463BC">
        <w:rPr>
          <w:rFonts w:ascii="Arial" w:hAnsi="Arial" w:cs="Arial"/>
          <w:sz w:val="22"/>
          <w:szCs w:val="22"/>
        </w:rPr>
        <w:t>the specified Sections of the Act and related Regulations</w:t>
      </w:r>
      <w:r w:rsidRPr="00F463BC">
        <w:rPr>
          <w:rFonts w:ascii="Arial" w:hAnsi="Arial" w:cs="Arial"/>
          <w:sz w:val="22"/>
          <w:szCs w:val="22"/>
          <w:lang w:eastAsia="en-ZA"/>
        </w:rPr>
        <w:t xml:space="preserve"> are designed to meet the information needs of the Registrar. As a result our report </w:t>
      </w:r>
      <w:r>
        <w:rPr>
          <w:rFonts w:ascii="Arial" w:hAnsi="Arial" w:cs="Arial"/>
          <w:sz w:val="22"/>
          <w:szCs w:val="22"/>
          <w:lang w:eastAsia="en-ZA"/>
        </w:rPr>
        <w:t>is</w:t>
      </w:r>
      <w:r w:rsidRPr="00F463BC">
        <w:rPr>
          <w:rFonts w:ascii="Arial" w:hAnsi="Arial" w:cs="Arial"/>
          <w:sz w:val="22"/>
          <w:szCs w:val="22"/>
          <w:lang w:eastAsia="en-ZA"/>
        </w:rPr>
        <w:t xml:space="preserve"> not suitable for another purpose. Our report is presented solely for the information of the Registrar.</w:t>
      </w:r>
    </w:p>
    <w:p w:rsidR="003351B5" w:rsidRDefault="003351B5" w:rsidP="003351B5">
      <w:pPr>
        <w:autoSpaceDE w:val="0"/>
        <w:autoSpaceDN w:val="0"/>
        <w:adjustRightInd w:val="0"/>
        <w:spacing w:before="0" w:line="271" w:lineRule="auto"/>
        <w:rPr>
          <w:rFonts w:ascii="Arial" w:hAnsi="Arial" w:cs="Arial"/>
          <w:i/>
          <w:sz w:val="22"/>
          <w:szCs w:val="22"/>
        </w:rPr>
      </w:pPr>
    </w:p>
    <w:p w:rsidR="003351B5" w:rsidRPr="00124A4F" w:rsidRDefault="003351B5" w:rsidP="003351B5">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rsidR="003351B5" w:rsidRPr="00124A4F" w:rsidRDefault="003351B5" w:rsidP="003351B5">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rsidR="003351B5" w:rsidRPr="00124A4F" w:rsidRDefault="003351B5" w:rsidP="003351B5">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 if not a sole practitioner: e.g. Director or Partner</w:t>
      </w:r>
      <w:r w:rsidRPr="00124A4F">
        <w:rPr>
          <w:rFonts w:ascii="Arial" w:hAnsi="Arial" w:cs="Arial"/>
          <w:sz w:val="22"/>
          <w:szCs w:val="22"/>
        </w:rPr>
        <w:t>]</w:t>
      </w:r>
    </w:p>
    <w:p w:rsidR="003351B5" w:rsidRPr="00124A4F" w:rsidRDefault="003351B5" w:rsidP="003351B5">
      <w:pPr>
        <w:spacing w:before="0" w:line="271" w:lineRule="auto"/>
        <w:rPr>
          <w:rFonts w:ascii="Arial" w:hAnsi="Arial" w:cs="Arial"/>
          <w:sz w:val="22"/>
          <w:szCs w:val="22"/>
        </w:rPr>
      </w:pPr>
      <w:r w:rsidRPr="00124A4F">
        <w:rPr>
          <w:rFonts w:ascii="Arial" w:hAnsi="Arial" w:cs="Arial"/>
          <w:sz w:val="22"/>
          <w:szCs w:val="22"/>
        </w:rPr>
        <w:t>Registered Auditor</w:t>
      </w:r>
    </w:p>
    <w:p w:rsidR="003351B5" w:rsidRPr="00124A4F" w:rsidRDefault="003351B5" w:rsidP="003351B5">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rsidR="003351B5" w:rsidRPr="00124A4F" w:rsidRDefault="003351B5" w:rsidP="003351B5">
      <w:pPr>
        <w:keepNext/>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rsidR="003351B5" w:rsidRDefault="003351B5" w:rsidP="003351B5">
      <w:pPr>
        <w:keepNext/>
        <w:spacing w:before="0" w:line="271" w:lineRule="auto"/>
      </w:pPr>
    </w:p>
    <w:p w:rsidR="00006613" w:rsidRPr="00F463BC" w:rsidRDefault="00006613" w:rsidP="00006613">
      <w:pPr>
        <w:keepNext/>
        <w:spacing w:before="0"/>
        <w:rPr>
          <w:rFonts w:ascii="Arial" w:hAnsi="Arial" w:cs="Arial"/>
          <w:sz w:val="22"/>
          <w:szCs w:val="22"/>
        </w:rPr>
      </w:pPr>
    </w:p>
    <w:p w:rsidR="00712329" w:rsidRDefault="00712329" w:rsidP="00944A95">
      <w:pPr>
        <w:autoSpaceDE w:val="0"/>
        <w:autoSpaceDN w:val="0"/>
        <w:adjustRightInd w:val="0"/>
        <w:spacing w:line="271" w:lineRule="auto"/>
        <w:rPr>
          <w:rFonts w:ascii="Arial" w:hAnsi="Arial" w:cs="Arial"/>
          <w:sz w:val="22"/>
          <w:szCs w:val="22"/>
        </w:rPr>
      </w:pPr>
    </w:p>
    <w:p w:rsidR="00940462" w:rsidRPr="00F463BC" w:rsidRDefault="00704F57" w:rsidP="00944A95">
      <w:pPr>
        <w:autoSpaceDE w:val="0"/>
        <w:autoSpaceDN w:val="0"/>
        <w:adjustRightInd w:val="0"/>
        <w:spacing w:line="271" w:lineRule="auto"/>
        <w:rPr>
          <w:rFonts w:ascii="Arial" w:hAnsi="Arial" w:cs="Arial"/>
          <w:sz w:val="22"/>
          <w:szCs w:val="22"/>
        </w:rPr>
        <w:sectPr w:rsidR="00940462" w:rsidRPr="00F463BC" w:rsidSect="001B129E">
          <w:headerReference w:type="default" r:id="rId28"/>
          <w:headerReference w:type="first" r:id="rId29"/>
          <w:type w:val="continuous"/>
          <w:pgSz w:w="11909" w:h="16834" w:code="9"/>
          <w:pgMar w:top="1440" w:right="1440" w:bottom="1440" w:left="1440" w:header="720" w:footer="720" w:gutter="0"/>
          <w:cols w:space="720"/>
          <w:noEndnote/>
          <w:docGrid w:linePitch="326"/>
        </w:sectPr>
      </w:pPr>
      <w:r w:rsidRPr="00F463BC" w:rsidDel="00704F57">
        <w:rPr>
          <w:rFonts w:ascii="Arial" w:hAnsi="Arial" w:cs="Arial"/>
          <w:b/>
        </w:rPr>
        <w:t xml:space="preserve"> </w:t>
      </w:r>
      <w:bookmarkStart w:id="284" w:name="_Ref275165422"/>
      <w:bookmarkStart w:id="285" w:name="_Toc275178291"/>
      <w:bookmarkStart w:id="286" w:name="_Toc275178359"/>
      <w:bookmarkStart w:id="287" w:name="_Toc275178466"/>
      <w:bookmarkStart w:id="288" w:name="_Toc277749820"/>
      <w:bookmarkStart w:id="289" w:name="_Toc277750691"/>
      <w:bookmarkStart w:id="290" w:name="_Toc277750872"/>
      <w:bookmarkStart w:id="291" w:name="_Ref299639858"/>
      <w:bookmarkStart w:id="292" w:name="_Ref299642754"/>
    </w:p>
    <w:p w:rsidR="007A77A9" w:rsidRPr="00F463BC" w:rsidRDefault="007A77A9" w:rsidP="00665ECF">
      <w:pPr>
        <w:pStyle w:val="Heading1"/>
        <w:spacing w:line="271" w:lineRule="auto"/>
      </w:pPr>
      <w:bookmarkStart w:id="293" w:name="_Appendix_6_–"/>
      <w:bookmarkStart w:id="294" w:name="_Appendix_8_–_1"/>
      <w:bookmarkStart w:id="295" w:name="_Toc300572985"/>
      <w:bookmarkStart w:id="296" w:name="_Ref300580898"/>
      <w:bookmarkStart w:id="297" w:name="_Ref300589971"/>
      <w:bookmarkStart w:id="298" w:name="_Toc304897952"/>
      <w:bookmarkStart w:id="299" w:name="_Toc305083380"/>
      <w:bookmarkStart w:id="300" w:name="_Toc455582242"/>
      <w:bookmarkEnd w:id="293"/>
      <w:bookmarkEnd w:id="294"/>
      <w:r w:rsidRPr="00F463BC">
        <w:lastRenderedPageBreak/>
        <w:t xml:space="preserve">Appendix </w:t>
      </w:r>
      <w:bookmarkEnd w:id="284"/>
      <w:bookmarkEnd w:id="285"/>
      <w:bookmarkEnd w:id="286"/>
      <w:bookmarkEnd w:id="287"/>
      <w:bookmarkEnd w:id="288"/>
      <w:bookmarkEnd w:id="289"/>
      <w:bookmarkEnd w:id="290"/>
      <w:r w:rsidR="00F65104" w:rsidRPr="00F463BC">
        <w:t>8</w:t>
      </w:r>
      <w:r w:rsidR="00274AAC" w:rsidRPr="00F463BC">
        <w:t xml:space="preserve"> </w:t>
      </w:r>
      <w:bookmarkStart w:id="301" w:name="_Toc275178360"/>
      <w:bookmarkStart w:id="302" w:name="_Toc275178467"/>
      <w:bookmarkStart w:id="303" w:name="_Toc277749821"/>
      <w:bookmarkStart w:id="304" w:name="_Toc277750692"/>
      <w:bookmarkStart w:id="305" w:name="_Toc277750873"/>
      <w:r w:rsidR="007662FD" w:rsidRPr="00F463BC">
        <w:t>–</w:t>
      </w:r>
      <w:r w:rsidR="004111EA" w:rsidRPr="00F463BC">
        <w:t xml:space="preserve"> Report on the </w:t>
      </w:r>
      <w:r w:rsidR="00CA7503" w:rsidRPr="00F463BC">
        <w:t xml:space="preserve">Summary </w:t>
      </w:r>
      <w:r w:rsidR="004111EA" w:rsidRPr="00F463BC">
        <w:t>Financial Statements (</w:t>
      </w:r>
      <w:bookmarkEnd w:id="291"/>
      <w:bookmarkEnd w:id="301"/>
      <w:bookmarkEnd w:id="302"/>
      <w:bookmarkEnd w:id="303"/>
      <w:bookmarkEnd w:id="304"/>
      <w:bookmarkEnd w:id="305"/>
      <w:r w:rsidR="00F91320" w:rsidRPr="00F463BC">
        <w:t>ISA 810</w:t>
      </w:r>
      <w:r w:rsidR="00907BD2">
        <w:t xml:space="preserve"> (Revised)</w:t>
      </w:r>
      <w:r w:rsidR="00F91320" w:rsidRPr="00F463BC">
        <w:t xml:space="preserve"> </w:t>
      </w:r>
      <w:r w:rsidR="004111EA" w:rsidRPr="00F463BC">
        <w:t>R</w:t>
      </w:r>
      <w:r w:rsidR="00F91320" w:rsidRPr="00F463BC">
        <w:t>eport</w:t>
      </w:r>
      <w:r w:rsidR="004111EA" w:rsidRPr="00F463BC">
        <w:t>)</w:t>
      </w:r>
      <w:r w:rsidR="00F639BC" w:rsidRPr="00D85DBD">
        <w:rPr>
          <w:vertAlign w:val="superscript"/>
        </w:rPr>
        <w:footnoteReference w:id="73"/>
      </w:r>
      <w:bookmarkEnd w:id="292"/>
      <w:bookmarkEnd w:id="295"/>
      <w:bookmarkEnd w:id="296"/>
      <w:bookmarkEnd w:id="297"/>
      <w:bookmarkEnd w:id="298"/>
      <w:bookmarkEnd w:id="299"/>
      <w:bookmarkEnd w:id="300"/>
    </w:p>
    <w:p w:rsidR="00E02E58" w:rsidRDefault="00E02E58" w:rsidP="00E02E58">
      <w:pPr>
        <w:spacing w:before="0" w:line="271" w:lineRule="auto"/>
        <w:rPr>
          <w:rFonts w:ascii="Arial" w:hAnsi="Arial" w:cs="Arial"/>
          <w:b/>
          <w:i/>
          <w:sz w:val="22"/>
          <w:szCs w:val="22"/>
        </w:rPr>
      </w:pPr>
    </w:p>
    <w:p w:rsidR="00C82670" w:rsidRDefault="00C82670" w:rsidP="00C82670">
      <w:pPr>
        <w:spacing w:before="0" w:line="271"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2016</w:t>
      </w:r>
    </w:p>
    <w:p w:rsidR="00907BD2" w:rsidRPr="00646DE4" w:rsidRDefault="00907BD2" w:rsidP="00907BD2">
      <w:pPr>
        <w:spacing w:before="0" w:line="271" w:lineRule="auto"/>
        <w:rPr>
          <w:rFonts w:ascii="Arial" w:hAnsi="Arial" w:cs="Arial"/>
          <w:b/>
          <w:i/>
          <w:sz w:val="22"/>
          <w:szCs w:val="22"/>
        </w:rPr>
      </w:pPr>
    </w:p>
    <w:tbl>
      <w:tblPr>
        <w:tblStyle w:val="TableGrid"/>
        <w:tblW w:w="0" w:type="auto"/>
        <w:tblLook w:val="04A0" w:firstRow="1" w:lastRow="0" w:firstColumn="1" w:lastColumn="0" w:noHBand="0" w:noVBand="1"/>
      </w:tblPr>
      <w:tblGrid>
        <w:gridCol w:w="8531"/>
      </w:tblGrid>
      <w:tr w:rsidR="00907BD2" w:rsidRPr="00DF4ABB" w:rsidTr="00A866A6">
        <w:trPr>
          <w:trHeight w:val="983"/>
        </w:trPr>
        <w:tc>
          <w:tcPr>
            <w:tcW w:w="8531" w:type="dxa"/>
          </w:tcPr>
          <w:p w:rsidR="00907BD2" w:rsidRPr="00DF4ABB" w:rsidRDefault="00907BD2" w:rsidP="00A866A6">
            <w:pPr>
              <w:spacing w:before="0" w:line="271" w:lineRule="auto"/>
              <w:rPr>
                <w:rFonts w:ascii="Arial" w:hAnsi="Arial" w:cs="Arial"/>
                <w:b/>
                <w:sz w:val="22"/>
                <w:szCs w:val="22"/>
                <w:lang w:eastAsia="en-US"/>
              </w:rPr>
            </w:pPr>
            <w:r w:rsidRPr="00DF4ABB">
              <w:rPr>
                <w:rFonts w:ascii="Arial" w:hAnsi="Arial" w:cs="Arial"/>
                <w:b/>
                <w:sz w:val="22"/>
                <w:szCs w:val="22"/>
                <w:lang w:eastAsia="en-US"/>
              </w:rPr>
              <w:t>Circumstances</w:t>
            </w:r>
          </w:p>
          <w:p w:rsidR="00907BD2" w:rsidRPr="00DF4ABB" w:rsidRDefault="00907BD2" w:rsidP="00907BD2">
            <w:pPr>
              <w:pStyle w:val="Regularbullets"/>
              <w:spacing w:before="0" w:line="271" w:lineRule="auto"/>
              <w:rPr>
                <w:rFonts w:ascii="Arial" w:hAnsi="Arial" w:cs="Arial"/>
                <w:i w:val="0"/>
                <w:sz w:val="22"/>
                <w:szCs w:val="22"/>
              </w:rPr>
            </w:pPr>
            <w:r w:rsidRPr="00DF4ABB">
              <w:rPr>
                <w:rFonts w:ascii="Arial" w:hAnsi="Arial" w:cs="Arial"/>
                <w:i w:val="0"/>
                <w:sz w:val="22"/>
                <w:szCs w:val="22"/>
              </w:rPr>
              <w:t>An unmodified opinion is expressed on the audited financial statements.</w:t>
            </w:r>
          </w:p>
          <w:p w:rsidR="00907BD2" w:rsidRPr="00DF4ABB" w:rsidRDefault="00907BD2" w:rsidP="00907BD2">
            <w:pPr>
              <w:pStyle w:val="Regularbullets"/>
              <w:spacing w:before="0" w:line="271" w:lineRule="auto"/>
              <w:rPr>
                <w:rFonts w:ascii="Arial" w:hAnsi="Arial" w:cs="Arial"/>
                <w:i w:val="0"/>
                <w:sz w:val="22"/>
                <w:szCs w:val="22"/>
              </w:rPr>
            </w:pPr>
            <w:r w:rsidRPr="00DF4ABB">
              <w:rPr>
                <w:rFonts w:ascii="Arial" w:hAnsi="Arial" w:cs="Arial"/>
                <w:i w:val="0"/>
                <w:sz w:val="22"/>
                <w:szCs w:val="22"/>
              </w:rPr>
              <w:t>Established criteria for the preparation of summary financial statements exist.</w:t>
            </w:r>
          </w:p>
          <w:p w:rsidR="00907BD2" w:rsidRPr="00DF4ABB" w:rsidRDefault="00907BD2" w:rsidP="00907BD2">
            <w:pPr>
              <w:pStyle w:val="Regularbullets"/>
              <w:spacing w:before="0" w:line="271" w:lineRule="auto"/>
              <w:rPr>
                <w:rFonts w:ascii="Arial" w:hAnsi="Arial" w:cs="Arial"/>
                <w:i w:val="0"/>
                <w:sz w:val="22"/>
                <w:szCs w:val="22"/>
              </w:rPr>
            </w:pPr>
            <w:r w:rsidRPr="00DF4ABB">
              <w:rPr>
                <w:rFonts w:ascii="Arial" w:hAnsi="Arial" w:cs="Arial"/>
                <w:i w:val="0"/>
                <w:sz w:val="22"/>
                <w:szCs w:val="22"/>
              </w:rPr>
              <w:t>The auditor’s report on the summary financial statements is dated later than the date of the auditor’s report on the financial statements from which the summary financial statements are derived.</w:t>
            </w:r>
          </w:p>
          <w:p w:rsidR="00907BD2" w:rsidRPr="00DF4ABB" w:rsidRDefault="00907BD2" w:rsidP="00907BD2">
            <w:pPr>
              <w:pStyle w:val="Regularbullets"/>
              <w:spacing w:before="0" w:line="271" w:lineRule="auto"/>
              <w:rPr>
                <w:rFonts w:ascii="Arial" w:hAnsi="Arial" w:cs="Arial"/>
                <w:i w:val="0"/>
                <w:sz w:val="22"/>
                <w:szCs w:val="22"/>
              </w:rPr>
            </w:pPr>
            <w:r w:rsidRPr="00DF4ABB">
              <w:rPr>
                <w:rFonts w:ascii="Arial" w:hAnsi="Arial" w:cs="Arial"/>
                <w:i w:val="0"/>
                <w:sz w:val="22"/>
                <w:szCs w:val="22"/>
              </w:rPr>
              <w:t>The auditor’s report on the audited financial statements includes a Material Uncertainty Related to Going Concern section.</w:t>
            </w:r>
          </w:p>
          <w:p w:rsidR="00907BD2" w:rsidRPr="00DF4ABB" w:rsidRDefault="00907BD2" w:rsidP="00907BD2">
            <w:pPr>
              <w:pStyle w:val="Regularbullets"/>
              <w:spacing w:before="0" w:line="271" w:lineRule="auto"/>
              <w:rPr>
                <w:rFonts w:ascii="Arial" w:hAnsi="Arial" w:cs="Arial"/>
                <w:i w:val="0"/>
                <w:sz w:val="22"/>
                <w:szCs w:val="22"/>
              </w:rPr>
            </w:pPr>
            <w:r w:rsidRPr="00DF4ABB">
              <w:rPr>
                <w:rFonts w:ascii="Arial" w:hAnsi="Arial" w:cs="Arial"/>
                <w:i w:val="0"/>
                <w:sz w:val="22"/>
                <w:szCs w:val="22"/>
              </w:rPr>
              <w:t>The auditor’s report on the audited financial statements includes communication of key audit matters.</w:t>
            </w:r>
          </w:p>
        </w:tc>
      </w:tr>
    </w:tbl>
    <w:p w:rsidR="00907BD2" w:rsidRPr="00F00896" w:rsidRDefault="00907BD2" w:rsidP="00907BD2">
      <w:pPr>
        <w:autoSpaceDE w:val="0"/>
        <w:autoSpaceDN w:val="0"/>
        <w:adjustRightInd w:val="0"/>
        <w:spacing w:before="0" w:line="271" w:lineRule="auto"/>
        <w:rPr>
          <w:rFonts w:ascii="Arial" w:hAnsi="Arial" w:cs="Arial"/>
          <w:sz w:val="22"/>
          <w:szCs w:val="22"/>
        </w:rPr>
      </w:pPr>
    </w:p>
    <w:p w:rsidR="00907BD2" w:rsidRPr="00FC70CB" w:rsidRDefault="00907BD2" w:rsidP="00907BD2">
      <w:pPr>
        <w:autoSpaceDE w:val="0"/>
        <w:autoSpaceDN w:val="0"/>
        <w:adjustRightInd w:val="0"/>
        <w:spacing w:before="0" w:line="271" w:lineRule="auto"/>
        <w:rPr>
          <w:rFonts w:ascii="Arial" w:hAnsi="Arial" w:cs="Arial"/>
          <w:b/>
          <w:szCs w:val="22"/>
        </w:rPr>
      </w:pPr>
      <w:r w:rsidRPr="00FC70CB">
        <w:rPr>
          <w:rFonts w:ascii="Arial" w:hAnsi="Arial" w:cs="Arial"/>
          <w:b/>
          <w:szCs w:val="22"/>
        </w:rPr>
        <w:t xml:space="preserve">Independent </w:t>
      </w:r>
      <w:r>
        <w:rPr>
          <w:rFonts w:ascii="Arial" w:hAnsi="Arial" w:cs="Arial"/>
          <w:b/>
          <w:szCs w:val="22"/>
        </w:rPr>
        <w:t>Auditor’s R</w:t>
      </w:r>
      <w:r w:rsidRPr="00FC70CB">
        <w:rPr>
          <w:rFonts w:ascii="Arial" w:hAnsi="Arial" w:cs="Arial"/>
          <w:b/>
          <w:szCs w:val="22"/>
        </w:rPr>
        <w:t xml:space="preserve">eport on </w:t>
      </w:r>
      <w:r>
        <w:rPr>
          <w:rFonts w:ascii="Arial" w:hAnsi="Arial" w:cs="Arial"/>
          <w:b/>
          <w:szCs w:val="22"/>
        </w:rPr>
        <w:t>S</w:t>
      </w:r>
      <w:r w:rsidRPr="00FC70CB">
        <w:rPr>
          <w:rFonts w:ascii="Arial" w:hAnsi="Arial" w:cs="Arial"/>
          <w:b/>
          <w:szCs w:val="22"/>
        </w:rPr>
        <w:t xml:space="preserve">ummary </w:t>
      </w:r>
      <w:r>
        <w:rPr>
          <w:rFonts w:ascii="Arial" w:hAnsi="Arial" w:cs="Arial"/>
          <w:b/>
          <w:szCs w:val="22"/>
        </w:rPr>
        <w:t>Financial S</w:t>
      </w:r>
      <w:r w:rsidRPr="00FC70CB">
        <w:rPr>
          <w:rFonts w:ascii="Arial" w:hAnsi="Arial" w:cs="Arial"/>
          <w:b/>
          <w:szCs w:val="22"/>
        </w:rPr>
        <w:t>tatements</w:t>
      </w:r>
    </w:p>
    <w:p w:rsidR="00907BD2" w:rsidRDefault="00907BD2" w:rsidP="00907BD2">
      <w:pPr>
        <w:autoSpaceDE w:val="0"/>
        <w:autoSpaceDN w:val="0"/>
        <w:adjustRightInd w:val="0"/>
        <w:spacing w:before="0" w:line="271" w:lineRule="auto"/>
        <w:rPr>
          <w:rFonts w:ascii="Arial" w:hAnsi="Arial" w:cs="Arial"/>
          <w:b/>
          <w:sz w:val="22"/>
          <w:szCs w:val="22"/>
          <w:highlight w:val="yellow"/>
        </w:rPr>
      </w:pPr>
    </w:p>
    <w:p w:rsidR="00907BD2" w:rsidRPr="00FC70CB" w:rsidRDefault="00907BD2" w:rsidP="00907BD2">
      <w:pPr>
        <w:autoSpaceDE w:val="0"/>
        <w:autoSpaceDN w:val="0"/>
        <w:adjustRightInd w:val="0"/>
        <w:spacing w:before="0" w:line="271" w:lineRule="auto"/>
        <w:rPr>
          <w:rFonts w:ascii="Arial" w:hAnsi="Arial" w:cs="Arial"/>
          <w:i/>
          <w:sz w:val="22"/>
          <w:szCs w:val="22"/>
        </w:rPr>
      </w:pPr>
      <w:r w:rsidRPr="00FC70CB">
        <w:rPr>
          <w:rFonts w:ascii="Arial" w:hAnsi="Arial" w:cs="Arial"/>
          <w:i/>
          <w:sz w:val="22"/>
          <w:szCs w:val="22"/>
        </w:rPr>
        <w:t>To the Members of the &lt;name of scheme&gt;</w:t>
      </w:r>
    </w:p>
    <w:p w:rsidR="00907BD2" w:rsidRPr="00646DE4" w:rsidRDefault="00907BD2" w:rsidP="00907BD2">
      <w:pPr>
        <w:autoSpaceDE w:val="0"/>
        <w:autoSpaceDN w:val="0"/>
        <w:adjustRightInd w:val="0"/>
        <w:spacing w:before="0" w:line="271" w:lineRule="auto"/>
        <w:rPr>
          <w:rFonts w:ascii="Arial" w:hAnsi="Arial" w:cs="Arial"/>
          <w:b/>
          <w:sz w:val="22"/>
          <w:szCs w:val="22"/>
        </w:rPr>
      </w:pPr>
    </w:p>
    <w:p w:rsidR="00907BD2" w:rsidRPr="00DF4ABB" w:rsidRDefault="00907BD2" w:rsidP="00907BD2">
      <w:pPr>
        <w:autoSpaceDE w:val="0"/>
        <w:autoSpaceDN w:val="0"/>
        <w:adjustRightInd w:val="0"/>
        <w:spacing w:before="0" w:line="271" w:lineRule="auto"/>
        <w:rPr>
          <w:rFonts w:ascii="Arial" w:hAnsi="Arial" w:cs="Arial"/>
          <w:i/>
          <w:sz w:val="22"/>
          <w:szCs w:val="22"/>
        </w:rPr>
      </w:pPr>
      <w:r w:rsidRPr="00DF4ABB">
        <w:rPr>
          <w:rFonts w:ascii="Arial" w:hAnsi="Arial" w:cs="Arial"/>
          <w:i/>
          <w:sz w:val="22"/>
          <w:szCs w:val="22"/>
        </w:rPr>
        <w:t>Opinion</w:t>
      </w:r>
    </w:p>
    <w:p w:rsidR="00907BD2" w:rsidRPr="00F00896" w:rsidRDefault="00907BD2" w:rsidP="00907BD2">
      <w:pPr>
        <w:autoSpaceDE w:val="0"/>
        <w:autoSpaceDN w:val="0"/>
        <w:adjustRightInd w:val="0"/>
        <w:spacing w:before="0" w:line="271" w:lineRule="auto"/>
        <w:rPr>
          <w:rFonts w:ascii="Arial" w:hAnsi="Arial" w:cs="Arial"/>
          <w:sz w:val="22"/>
          <w:szCs w:val="22"/>
        </w:rPr>
      </w:pPr>
      <w:r w:rsidRPr="00F00896">
        <w:rPr>
          <w:rFonts w:ascii="Arial" w:hAnsi="Arial" w:cs="Arial"/>
          <w:sz w:val="22"/>
          <w:szCs w:val="22"/>
        </w:rPr>
        <w:t xml:space="preserve">The summary financial statements, as set out on pages </w:t>
      </w:r>
      <w:r w:rsidRPr="00F00896">
        <w:rPr>
          <w:rFonts w:ascii="Arial" w:hAnsi="Arial" w:cs="Arial"/>
          <w:i/>
          <w:sz w:val="22"/>
          <w:szCs w:val="22"/>
        </w:rPr>
        <w:t>&lt;xx&gt;</w:t>
      </w:r>
      <w:r w:rsidRPr="00F00896">
        <w:rPr>
          <w:rFonts w:ascii="Arial" w:hAnsi="Arial" w:cs="Arial"/>
          <w:sz w:val="22"/>
          <w:szCs w:val="22"/>
        </w:rPr>
        <w:t xml:space="preserve"> to </w:t>
      </w:r>
      <w:r w:rsidRPr="00F00896">
        <w:rPr>
          <w:rFonts w:ascii="Arial" w:hAnsi="Arial" w:cs="Arial"/>
          <w:i/>
          <w:sz w:val="22"/>
          <w:szCs w:val="22"/>
        </w:rPr>
        <w:t>&lt;xx&gt;</w:t>
      </w:r>
      <w:r w:rsidRPr="00F00896">
        <w:rPr>
          <w:rFonts w:ascii="Arial" w:hAnsi="Arial" w:cs="Arial"/>
          <w:sz w:val="22"/>
          <w:szCs w:val="22"/>
        </w:rPr>
        <w:t xml:space="preserve">, which comprise the summary statement of financial position as at </w:t>
      </w:r>
      <w:r w:rsidRPr="00F00896">
        <w:rPr>
          <w:rFonts w:ascii="Arial" w:hAnsi="Arial" w:cs="Arial"/>
          <w:i/>
          <w:sz w:val="22"/>
          <w:szCs w:val="22"/>
        </w:rPr>
        <w:t xml:space="preserve">&lt;date of </w:t>
      </w:r>
      <w:r>
        <w:rPr>
          <w:rFonts w:ascii="Arial" w:hAnsi="Arial" w:cs="Arial"/>
          <w:i/>
          <w:sz w:val="22"/>
          <w:szCs w:val="22"/>
        </w:rPr>
        <w:t>year/</w:t>
      </w:r>
      <w:r w:rsidRPr="00F00896">
        <w:rPr>
          <w:rFonts w:ascii="Arial" w:hAnsi="Arial" w:cs="Arial"/>
          <w:i/>
          <w:sz w:val="22"/>
          <w:szCs w:val="22"/>
        </w:rPr>
        <w:t>period end&gt;</w:t>
      </w:r>
      <w:r w:rsidRPr="00F00896">
        <w:rPr>
          <w:rFonts w:ascii="Arial" w:hAnsi="Arial" w:cs="Arial"/>
          <w:sz w:val="22"/>
          <w:szCs w:val="22"/>
        </w:rPr>
        <w:t xml:space="preserve">, and the summary statement of comprehensive income, summary statement of changes in members’ funds and summary cash flow statement for the </w:t>
      </w:r>
      <w:r w:rsidRPr="00F00896">
        <w:rPr>
          <w:rFonts w:ascii="Arial" w:hAnsi="Arial" w:cs="Arial"/>
          <w:i/>
          <w:sz w:val="22"/>
          <w:szCs w:val="22"/>
        </w:rPr>
        <w:t>&lt;year/period&gt;</w:t>
      </w:r>
      <w:r w:rsidRPr="00F00896">
        <w:rPr>
          <w:rFonts w:ascii="Arial" w:hAnsi="Arial" w:cs="Arial"/>
          <w:sz w:val="22"/>
          <w:szCs w:val="22"/>
        </w:rPr>
        <w:t xml:space="preserve"> then ended, and related notes, are derived from the audited financial statements of</w:t>
      </w:r>
      <w:r w:rsidRPr="00F00896">
        <w:rPr>
          <w:rFonts w:ascii="Arial" w:hAnsi="Arial" w:cs="Arial"/>
          <w:i/>
          <w:sz w:val="22"/>
          <w:szCs w:val="22"/>
        </w:rPr>
        <w:t xml:space="preserve"> &lt;name of scheme&gt;</w:t>
      </w:r>
      <w:r w:rsidRPr="00F00896">
        <w:rPr>
          <w:rFonts w:ascii="Arial" w:hAnsi="Arial" w:cs="Arial"/>
          <w:sz w:val="22"/>
          <w:szCs w:val="22"/>
        </w:rPr>
        <w:t xml:space="preserve"> (the Scheme) for the </w:t>
      </w:r>
      <w:r w:rsidRPr="00F00896">
        <w:rPr>
          <w:rFonts w:ascii="Arial" w:hAnsi="Arial" w:cs="Arial"/>
          <w:i/>
          <w:sz w:val="22"/>
          <w:szCs w:val="22"/>
        </w:rPr>
        <w:t>&lt;year/period&gt;</w:t>
      </w:r>
      <w:r w:rsidRPr="00F00896">
        <w:rPr>
          <w:rFonts w:ascii="Arial" w:hAnsi="Arial" w:cs="Arial"/>
          <w:sz w:val="22"/>
          <w:szCs w:val="22"/>
        </w:rPr>
        <w:t xml:space="preserve"> ended </w:t>
      </w:r>
      <w:r w:rsidRPr="00F00896">
        <w:rPr>
          <w:rFonts w:ascii="Arial" w:hAnsi="Arial" w:cs="Arial"/>
          <w:i/>
          <w:sz w:val="22"/>
          <w:szCs w:val="22"/>
        </w:rPr>
        <w:t>&lt;date of period end&gt;</w:t>
      </w:r>
      <w:r w:rsidRPr="00F00896">
        <w:rPr>
          <w:rFonts w:ascii="Arial" w:hAnsi="Arial" w:cs="Arial"/>
          <w:sz w:val="22"/>
          <w:szCs w:val="22"/>
        </w:rPr>
        <w:t xml:space="preserve">. </w:t>
      </w:r>
    </w:p>
    <w:p w:rsidR="00907BD2" w:rsidRPr="00F00896" w:rsidRDefault="00907BD2" w:rsidP="00907BD2">
      <w:pPr>
        <w:keepNext/>
        <w:keepLines/>
        <w:autoSpaceDE w:val="0"/>
        <w:autoSpaceDN w:val="0"/>
        <w:adjustRightInd w:val="0"/>
        <w:spacing w:before="0" w:line="271" w:lineRule="auto"/>
        <w:rPr>
          <w:rFonts w:ascii="Arial" w:hAnsi="Arial" w:cs="Arial"/>
          <w:sz w:val="22"/>
          <w:szCs w:val="22"/>
        </w:rPr>
      </w:pPr>
      <w:r w:rsidRPr="00F00896">
        <w:rPr>
          <w:rFonts w:ascii="Arial" w:hAnsi="Arial" w:cs="Arial"/>
          <w:sz w:val="22"/>
          <w:szCs w:val="22"/>
        </w:rPr>
        <w:t>In our opinion, the accompanying summary financial statements are consistent, in all material respects, with the audited financial statements, in accordance with the content and disclosure requirements of Circular 6 of 2013 issued by the Council for Medical Schemes.</w:t>
      </w:r>
    </w:p>
    <w:p w:rsidR="00907BD2" w:rsidRPr="00F00896" w:rsidRDefault="00907BD2" w:rsidP="00907BD2">
      <w:pPr>
        <w:autoSpaceDE w:val="0"/>
        <w:autoSpaceDN w:val="0"/>
        <w:adjustRightInd w:val="0"/>
        <w:spacing w:before="0" w:line="271" w:lineRule="auto"/>
        <w:rPr>
          <w:rFonts w:ascii="Arial" w:hAnsi="Arial" w:cs="Arial"/>
          <w:b/>
          <w:sz w:val="22"/>
          <w:szCs w:val="22"/>
        </w:rPr>
      </w:pPr>
    </w:p>
    <w:p w:rsidR="00907BD2" w:rsidRPr="00DF4ABB" w:rsidRDefault="00907BD2" w:rsidP="00907BD2">
      <w:pPr>
        <w:keepNext/>
        <w:autoSpaceDE w:val="0"/>
        <w:autoSpaceDN w:val="0"/>
        <w:adjustRightInd w:val="0"/>
        <w:spacing w:before="0" w:line="271" w:lineRule="auto"/>
        <w:rPr>
          <w:rFonts w:ascii="Arial" w:hAnsi="Arial" w:cs="Arial"/>
          <w:i/>
          <w:sz w:val="22"/>
          <w:szCs w:val="22"/>
        </w:rPr>
      </w:pPr>
      <w:r w:rsidRPr="00DF4ABB">
        <w:rPr>
          <w:rFonts w:ascii="Arial" w:hAnsi="Arial" w:cs="Arial"/>
          <w:i/>
          <w:sz w:val="22"/>
          <w:szCs w:val="22"/>
        </w:rPr>
        <w:lastRenderedPageBreak/>
        <w:t>Summary Financial Statements</w:t>
      </w:r>
    </w:p>
    <w:p w:rsidR="00907BD2" w:rsidRPr="00F00896" w:rsidRDefault="00907BD2" w:rsidP="00907BD2">
      <w:pPr>
        <w:keepNext/>
        <w:autoSpaceDE w:val="0"/>
        <w:autoSpaceDN w:val="0"/>
        <w:adjustRightInd w:val="0"/>
        <w:spacing w:before="0" w:line="271" w:lineRule="auto"/>
        <w:rPr>
          <w:rFonts w:ascii="Arial" w:hAnsi="Arial" w:cs="Arial"/>
          <w:sz w:val="22"/>
          <w:szCs w:val="22"/>
        </w:rPr>
      </w:pPr>
      <w:r w:rsidRPr="00F00896">
        <w:rPr>
          <w:rFonts w:ascii="Arial" w:hAnsi="Arial" w:cs="Arial"/>
          <w:sz w:val="22"/>
          <w:szCs w:val="22"/>
        </w:rPr>
        <w:t xml:space="preserve">The summary financial statements do not contain all the disclosures required by International Financial Reporting Standards and the Medical Schemes Act of South Africa. Reading the summary financial statements and the auditor’s report thereon, therefore, is not a substitute for reading the audited financial statements and the auditor’s report thereon. </w:t>
      </w:r>
      <w:r w:rsidRPr="00646DE4">
        <w:rPr>
          <w:rFonts w:ascii="Arial" w:hAnsi="Arial" w:cs="Arial"/>
          <w:sz w:val="22"/>
          <w:szCs w:val="22"/>
        </w:rPr>
        <w:t>The summary financial statements and audited financial statements do not reflect the effects of events that occurred subsequent to the date of our report on the audited financial statements.</w:t>
      </w:r>
      <w:r>
        <w:rPr>
          <w:rStyle w:val="FootnoteReference"/>
          <w:rFonts w:ascii="Arial" w:hAnsi="Arial" w:cs="Arial"/>
          <w:sz w:val="22"/>
          <w:szCs w:val="22"/>
        </w:rPr>
        <w:footnoteReference w:id="74"/>
      </w:r>
    </w:p>
    <w:p w:rsidR="00907BD2" w:rsidRPr="00646DE4" w:rsidRDefault="00907BD2" w:rsidP="00907BD2">
      <w:pPr>
        <w:spacing w:before="0" w:line="271" w:lineRule="auto"/>
        <w:rPr>
          <w:rFonts w:ascii="Arial" w:hAnsi="Arial" w:cs="Arial"/>
          <w:b/>
          <w:sz w:val="22"/>
          <w:szCs w:val="22"/>
          <w:lang w:val="en-GB"/>
        </w:rPr>
      </w:pPr>
    </w:p>
    <w:p w:rsidR="00907BD2" w:rsidRPr="00DF4ABB" w:rsidRDefault="00907BD2" w:rsidP="00907BD2">
      <w:pPr>
        <w:keepNext/>
        <w:spacing w:before="0" w:line="271" w:lineRule="auto"/>
        <w:rPr>
          <w:rFonts w:ascii="Arial" w:hAnsi="Arial" w:cs="Arial"/>
          <w:i/>
          <w:sz w:val="22"/>
          <w:szCs w:val="22"/>
          <w:lang w:val="en-GB"/>
        </w:rPr>
      </w:pPr>
      <w:r w:rsidRPr="00DF4ABB">
        <w:rPr>
          <w:rFonts w:ascii="Arial" w:hAnsi="Arial" w:cs="Arial"/>
          <w:i/>
          <w:sz w:val="22"/>
          <w:szCs w:val="22"/>
          <w:lang w:val="en-GB"/>
        </w:rPr>
        <w:t>The Audited Financial Statements and Our Report Ther</w:t>
      </w:r>
      <w:r>
        <w:rPr>
          <w:rFonts w:ascii="Arial" w:hAnsi="Arial" w:cs="Arial"/>
          <w:i/>
          <w:sz w:val="22"/>
          <w:szCs w:val="22"/>
          <w:lang w:val="en-GB"/>
        </w:rPr>
        <w:t>e</w:t>
      </w:r>
      <w:r w:rsidRPr="00DF4ABB">
        <w:rPr>
          <w:rFonts w:ascii="Arial" w:hAnsi="Arial" w:cs="Arial"/>
          <w:i/>
          <w:sz w:val="22"/>
          <w:szCs w:val="22"/>
          <w:lang w:val="en-GB"/>
        </w:rPr>
        <w:t>on</w:t>
      </w:r>
    </w:p>
    <w:p w:rsidR="00907BD2" w:rsidRPr="00646DE4" w:rsidRDefault="00907BD2" w:rsidP="00907BD2">
      <w:pPr>
        <w:keepNext/>
        <w:autoSpaceDE w:val="0"/>
        <w:autoSpaceDN w:val="0"/>
        <w:adjustRightInd w:val="0"/>
        <w:spacing w:before="0" w:line="271" w:lineRule="auto"/>
        <w:rPr>
          <w:rFonts w:ascii="Arial" w:hAnsi="Arial" w:cs="Arial"/>
          <w:sz w:val="22"/>
          <w:szCs w:val="22"/>
        </w:rPr>
      </w:pPr>
      <w:r w:rsidRPr="00646DE4">
        <w:rPr>
          <w:rFonts w:ascii="Arial" w:hAnsi="Arial" w:cs="Arial"/>
          <w:sz w:val="22"/>
          <w:szCs w:val="22"/>
        </w:rPr>
        <w:t xml:space="preserve">We expressed an unmodified audit opinion on the audited financial statements in our report dated </w:t>
      </w:r>
      <w:r w:rsidRPr="00646DE4">
        <w:rPr>
          <w:rFonts w:ascii="Arial" w:hAnsi="Arial" w:cs="Arial"/>
          <w:i/>
          <w:sz w:val="22"/>
          <w:szCs w:val="22"/>
        </w:rPr>
        <w:t>&lt;xxxxx&gt;</w:t>
      </w:r>
      <w:r w:rsidRPr="00646DE4">
        <w:rPr>
          <w:rFonts w:ascii="Arial" w:hAnsi="Arial" w:cs="Arial"/>
          <w:sz w:val="22"/>
          <w:szCs w:val="22"/>
        </w:rPr>
        <w:t>. That report also includes:</w:t>
      </w:r>
    </w:p>
    <w:p w:rsidR="00907BD2" w:rsidRPr="00F00896" w:rsidRDefault="00907BD2" w:rsidP="00907BD2">
      <w:pPr>
        <w:pStyle w:val="ListParagraph"/>
        <w:numPr>
          <w:ilvl w:val="0"/>
          <w:numId w:val="340"/>
        </w:numPr>
        <w:autoSpaceDE w:val="0"/>
        <w:autoSpaceDN w:val="0"/>
        <w:adjustRightInd w:val="0"/>
        <w:spacing w:line="271" w:lineRule="auto"/>
        <w:jc w:val="both"/>
        <w:rPr>
          <w:rFonts w:ascii="Arial" w:hAnsi="Arial" w:cs="Arial"/>
        </w:rPr>
      </w:pPr>
      <w:r w:rsidRPr="00F00896">
        <w:rPr>
          <w:rFonts w:ascii="Arial" w:hAnsi="Arial" w:cs="Arial"/>
        </w:rPr>
        <w:t xml:space="preserve">A </w:t>
      </w:r>
      <w:r w:rsidRPr="00F00896">
        <w:rPr>
          <w:rFonts w:ascii="Arial" w:hAnsi="Arial" w:cs="Arial"/>
          <w:i/>
        </w:rPr>
        <w:t>Material Uncertainty Related to Going Concern</w:t>
      </w:r>
      <w:r w:rsidRPr="00F00896">
        <w:rPr>
          <w:rFonts w:ascii="Arial" w:hAnsi="Arial" w:cs="Arial"/>
        </w:rPr>
        <w:t xml:space="preserve"> secti</w:t>
      </w:r>
      <w:r>
        <w:rPr>
          <w:rFonts w:ascii="Arial" w:hAnsi="Arial" w:cs="Arial"/>
        </w:rPr>
        <w:t>on that draws attention to Note </w:t>
      </w:r>
      <w:r w:rsidRPr="00F00896">
        <w:rPr>
          <w:rFonts w:ascii="Arial" w:hAnsi="Arial" w:cs="Arial"/>
        </w:rPr>
        <w:t>&lt;xx&gt; in the audited financial statements. Note &lt;xx&gt; indicates that…</w:t>
      </w:r>
      <w:r>
        <w:rPr>
          <w:rFonts w:ascii="Arial" w:hAnsi="Arial" w:cs="Arial"/>
        </w:rPr>
        <w:t>… &lt;I</w:t>
      </w:r>
      <w:r w:rsidRPr="00F00896">
        <w:rPr>
          <w:rFonts w:ascii="Arial" w:hAnsi="Arial" w:cs="Arial"/>
        </w:rPr>
        <w:t>nsert explanation</w:t>
      </w:r>
      <w:r>
        <w:rPr>
          <w:rFonts w:ascii="Arial" w:hAnsi="Arial" w:cs="Arial"/>
        </w:rPr>
        <w:t>, including a description of the effect(s) thereof, if any, on the summary financial statements</w:t>
      </w:r>
      <w:r w:rsidRPr="00F00896">
        <w:rPr>
          <w:rFonts w:ascii="Arial" w:hAnsi="Arial" w:cs="Arial"/>
        </w:rPr>
        <w:t>&gt;.</w:t>
      </w:r>
    </w:p>
    <w:p w:rsidR="00907BD2" w:rsidRPr="00F00896" w:rsidRDefault="00907BD2" w:rsidP="00907BD2">
      <w:pPr>
        <w:pStyle w:val="ListParagraph"/>
        <w:numPr>
          <w:ilvl w:val="0"/>
          <w:numId w:val="340"/>
        </w:numPr>
        <w:autoSpaceDE w:val="0"/>
        <w:autoSpaceDN w:val="0"/>
        <w:adjustRightInd w:val="0"/>
        <w:spacing w:line="271" w:lineRule="auto"/>
        <w:jc w:val="both"/>
        <w:rPr>
          <w:rFonts w:ascii="Arial" w:hAnsi="Arial" w:cs="Arial"/>
        </w:rPr>
      </w:pPr>
      <w:r w:rsidRPr="00F00896">
        <w:rPr>
          <w:rFonts w:ascii="Arial" w:hAnsi="Arial" w:cs="Arial"/>
        </w:rPr>
        <w:t>The communication of key audit matters.</w:t>
      </w:r>
      <w:r w:rsidRPr="00F00896">
        <w:rPr>
          <w:rStyle w:val="FootnoteReference"/>
          <w:rFonts w:ascii="Arial" w:hAnsi="Arial" w:cs="Arial"/>
        </w:rPr>
        <w:footnoteReference w:id="75"/>
      </w:r>
    </w:p>
    <w:p w:rsidR="00907BD2" w:rsidRPr="00646DE4" w:rsidRDefault="00907BD2" w:rsidP="00907BD2">
      <w:pPr>
        <w:spacing w:before="0" w:line="271" w:lineRule="auto"/>
        <w:rPr>
          <w:rFonts w:ascii="Arial" w:hAnsi="Arial" w:cs="Arial"/>
          <w:b/>
          <w:sz w:val="22"/>
          <w:szCs w:val="22"/>
          <w:lang w:val="en-GB"/>
        </w:rPr>
      </w:pPr>
    </w:p>
    <w:p w:rsidR="00907BD2" w:rsidRPr="00DF4ABB" w:rsidRDefault="00907BD2" w:rsidP="00907BD2">
      <w:pPr>
        <w:spacing w:before="0" w:line="271" w:lineRule="auto"/>
        <w:rPr>
          <w:rFonts w:ascii="Arial" w:hAnsi="Arial" w:cs="Arial"/>
          <w:i/>
          <w:sz w:val="22"/>
          <w:szCs w:val="22"/>
          <w:lang w:val="en-GB"/>
        </w:rPr>
      </w:pPr>
      <w:r w:rsidRPr="00DF4ABB">
        <w:rPr>
          <w:rFonts w:ascii="Arial" w:hAnsi="Arial" w:cs="Arial"/>
          <w:i/>
          <w:sz w:val="22"/>
          <w:szCs w:val="22"/>
          <w:lang w:val="en-GB"/>
        </w:rPr>
        <w:t xml:space="preserve">Trustees’ Responsibility for the Summary Financial Statements </w:t>
      </w:r>
    </w:p>
    <w:p w:rsidR="00907BD2" w:rsidRPr="00F00896" w:rsidRDefault="00907BD2" w:rsidP="00907BD2">
      <w:pPr>
        <w:autoSpaceDE w:val="0"/>
        <w:autoSpaceDN w:val="0"/>
        <w:adjustRightInd w:val="0"/>
        <w:spacing w:before="0" w:line="271" w:lineRule="auto"/>
        <w:rPr>
          <w:rFonts w:ascii="Arial" w:hAnsi="Arial" w:cs="Arial"/>
          <w:sz w:val="22"/>
          <w:szCs w:val="22"/>
        </w:rPr>
      </w:pPr>
      <w:r w:rsidRPr="00646DE4">
        <w:rPr>
          <w:rFonts w:ascii="Arial" w:hAnsi="Arial" w:cs="Arial"/>
          <w:sz w:val="22"/>
          <w:szCs w:val="22"/>
        </w:rPr>
        <w:t xml:space="preserve">The trustees are responsible for the preparation of the summary financial statements in accordance with the content and disclosure requirements of Circular 6 of 2013 issued by the Council for Medical Schemes. </w:t>
      </w:r>
    </w:p>
    <w:p w:rsidR="00907BD2" w:rsidRPr="00F00896" w:rsidRDefault="00907BD2" w:rsidP="00907BD2">
      <w:pPr>
        <w:autoSpaceDE w:val="0"/>
        <w:autoSpaceDN w:val="0"/>
        <w:adjustRightInd w:val="0"/>
        <w:spacing w:before="0" w:line="271" w:lineRule="auto"/>
        <w:rPr>
          <w:rFonts w:ascii="Arial" w:hAnsi="Arial" w:cs="Arial"/>
          <w:sz w:val="22"/>
          <w:szCs w:val="22"/>
        </w:rPr>
      </w:pPr>
    </w:p>
    <w:p w:rsidR="00907BD2" w:rsidRPr="00DF4ABB" w:rsidRDefault="00907BD2" w:rsidP="00907BD2">
      <w:pPr>
        <w:spacing w:before="0" w:line="271" w:lineRule="auto"/>
        <w:rPr>
          <w:rFonts w:ascii="Arial" w:hAnsi="Arial" w:cs="Arial"/>
          <w:i/>
          <w:sz w:val="22"/>
          <w:szCs w:val="22"/>
          <w:lang w:val="en-GB"/>
        </w:rPr>
      </w:pPr>
      <w:r w:rsidRPr="00DF4ABB">
        <w:rPr>
          <w:rFonts w:ascii="Arial" w:hAnsi="Arial" w:cs="Arial"/>
          <w:i/>
          <w:sz w:val="22"/>
          <w:szCs w:val="22"/>
          <w:lang w:val="en-GB"/>
        </w:rPr>
        <w:t xml:space="preserve">Auditor’s Responsibility </w:t>
      </w:r>
    </w:p>
    <w:p w:rsidR="00907BD2" w:rsidRPr="00646DE4" w:rsidRDefault="00907BD2" w:rsidP="00907BD2">
      <w:pPr>
        <w:autoSpaceDE w:val="0"/>
        <w:autoSpaceDN w:val="0"/>
        <w:adjustRightInd w:val="0"/>
        <w:spacing w:before="0" w:line="271" w:lineRule="auto"/>
        <w:rPr>
          <w:rFonts w:ascii="Arial" w:hAnsi="Arial" w:cs="Arial"/>
          <w:sz w:val="22"/>
          <w:szCs w:val="22"/>
        </w:rPr>
      </w:pPr>
      <w:r w:rsidRPr="00F00896">
        <w:rPr>
          <w:rFonts w:ascii="Arial" w:hAnsi="Arial" w:cs="Arial"/>
          <w:sz w:val="22"/>
          <w:szCs w:val="22"/>
        </w:rPr>
        <w:t>Our responsibility is to express an opinion on whether the summary financial statements are consistent, in all material respects, with the audited financial statements based on our procedures, which were conducted in accordance International Standards on Auditing (ISA)</w:t>
      </w:r>
      <w:r>
        <w:rPr>
          <w:rFonts w:ascii="Arial" w:hAnsi="Arial" w:cs="Arial"/>
          <w:sz w:val="22"/>
          <w:szCs w:val="22"/>
        </w:rPr>
        <w:t> </w:t>
      </w:r>
      <w:r w:rsidRPr="00646DE4">
        <w:rPr>
          <w:rFonts w:ascii="Arial" w:hAnsi="Arial" w:cs="Arial"/>
          <w:sz w:val="22"/>
          <w:szCs w:val="22"/>
        </w:rPr>
        <w:t xml:space="preserve">810 (Revised), </w:t>
      </w:r>
      <w:r w:rsidRPr="00646DE4">
        <w:rPr>
          <w:rFonts w:ascii="Arial" w:hAnsi="Arial" w:cs="Arial"/>
          <w:i/>
          <w:sz w:val="22"/>
          <w:szCs w:val="22"/>
        </w:rPr>
        <w:t>Engagements to Report on Summary Financial Statements</w:t>
      </w:r>
      <w:r w:rsidRPr="00646DE4">
        <w:rPr>
          <w:rFonts w:ascii="Arial" w:hAnsi="Arial" w:cs="Arial"/>
          <w:sz w:val="22"/>
          <w:szCs w:val="22"/>
        </w:rPr>
        <w:t>.</w:t>
      </w:r>
    </w:p>
    <w:p w:rsidR="00907BD2" w:rsidRPr="00646DE4" w:rsidRDefault="00907BD2" w:rsidP="00907BD2">
      <w:pPr>
        <w:spacing w:before="0" w:line="271" w:lineRule="auto"/>
        <w:rPr>
          <w:rFonts w:ascii="Arial" w:hAnsi="Arial" w:cs="Arial"/>
          <w:b/>
          <w:sz w:val="22"/>
          <w:szCs w:val="22"/>
          <w:lang w:val="en-GB"/>
        </w:rPr>
      </w:pPr>
    </w:p>
    <w:p w:rsidR="00907BD2" w:rsidRPr="00F00896" w:rsidRDefault="00907BD2" w:rsidP="00907BD2">
      <w:pPr>
        <w:keepNext/>
        <w:keepLines/>
        <w:spacing w:before="0" w:line="271" w:lineRule="auto"/>
        <w:rPr>
          <w:rFonts w:ascii="Arial" w:hAnsi="Arial" w:cs="Arial"/>
          <w:i/>
          <w:sz w:val="22"/>
          <w:szCs w:val="22"/>
        </w:rPr>
      </w:pPr>
    </w:p>
    <w:p w:rsidR="00907BD2" w:rsidRPr="00F00896" w:rsidRDefault="00907BD2" w:rsidP="00907BD2">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Auditor’s Signature</w:t>
      </w:r>
      <w:r w:rsidRPr="00F00896">
        <w:rPr>
          <w:rFonts w:ascii="Arial" w:hAnsi="Arial" w:cs="Arial"/>
          <w:sz w:val="22"/>
          <w:szCs w:val="22"/>
        </w:rPr>
        <w:t>]</w:t>
      </w:r>
    </w:p>
    <w:p w:rsidR="00907BD2" w:rsidRPr="00F00896" w:rsidRDefault="00907BD2" w:rsidP="00907BD2">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Name of individual registered auditor</w:t>
      </w:r>
      <w:r w:rsidRPr="00F00896">
        <w:rPr>
          <w:rFonts w:ascii="Arial" w:hAnsi="Arial" w:cs="Arial"/>
          <w:sz w:val="22"/>
          <w:szCs w:val="22"/>
        </w:rPr>
        <w:t>]</w:t>
      </w:r>
    </w:p>
    <w:p w:rsidR="00907BD2" w:rsidRPr="00F00896" w:rsidRDefault="00907BD2" w:rsidP="00907BD2">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Capacity if not a sole practitioner: e.g. Director or Partner</w:t>
      </w:r>
      <w:r w:rsidRPr="00F00896">
        <w:rPr>
          <w:rFonts w:ascii="Arial" w:hAnsi="Arial" w:cs="Arial"/>
          <w:sz w:val="22"/>
          <w:szCs w:val="22"/>
        </w:rPr>
        <w:t>]</w:t>
      </w:r>
    </w:p>
    <w:p w:rsidR="00907BD2" w:rsidRPr="00F00896" w:rsidRDefault="00907BD2" w:rsidP="00907BD2">
      <w:pPr>
        <w:spacing w:before="0" w:line="271" w:lineRule="auto"/>
        <w:rPr>
          <w:rFonts w:ascii="Arial" w:hAnsi="Arial" w:cs="Arial"/>
          <w:sz w:val="22"/>
          <w:szCs w:val="22"/>
        </w:rPr>
      </w:pPr>
      <w:r w:rsidRPr="00F00896">
        <w:rPr>
          <w:rFonts w:ascii="Arial" w:hAnsi="Arial" w:cs="Arial"/>
          <w:sz w:val="22"/>
          <w:szCs w:val="22"/>
        </w:rPr>
        <w:t>Registered Auditor</w:t>
      </w:r>
    </w:p>
    <w:p w:rsidR="00907BD2" w:rsidRPr="00F00896" w:rsidRDefault="00907BD2" w:rsidP="00907BD2">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Date of auditor’s report</w:t>
      </w:r>
      <w:r w:rsidRPr="00F00896">
        <w:rPr>
          <w:rFonts w:ascii="Arial" w:hAnsi="Arial" w:cs="Arial"/>
          <w:sz w:val="22"/>
          <w:szCs w:val="22"/>
        </w:rPr>
        <w:t>]</w:t>
      </w:r>
    </w:p>
    <w:p w:rsidR="00907BD2" w:rsidRPr="00F00896" w:rsidRDefault="00907BD2" w:rsidP="00907BD2">
      <w:pPr>
        <w:keepNext/>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Auditor’s address</w:t>
      </w:r>
      <w:r w:rsidRPr="00F00896">
        <w:rPr>
          <w:rFonts w:ascii="Arial" w:hAnsi="Arial" w:cs="Arial"/>
          <w:sz w:val="22"/>
          <w:szCs w:val="22"/>
        </w:rPr>
        <w:t>]</w:t>
      </w:r>
    </w:p>
    <w:p w:rsidR="009B05BA" w:rsidRPr="00F463BC" w:rsidRDefault="009B05BA" w:rsidP="00B82F08">
      <w:pPr>
        <w:autoSpaceDE w:val="0"/>
        <w:autoSpaceDN w:val="0"/>
        <w:adjustRightInd w:val="0"/>
        <w:spacing w:before="0" w:line="271" w:lineRule="auto"/>
        <w:rPr>
          <w:rFonts w:ascii="Arial" w:hAnsi="Arial" w:cs="Arial"/>
          <w:b/>
          <w:sz w:val="22"/>
          <w:szCs w:val="22"/>
        </w:rPr>
      </w:pPr>
    </w:p>
    <w:p w:rsidR="004D16D5" w:rsidRPr="00F463BC" w:rsidRDefault="004D16D5" w:rsidP="00B82F08">
      <w:pPr>
        <w:pStyle w:val="Heading1"/>
        <w:spacing w:line="271" w:lineRule="auto"/>
        <w:sectPr w:rsidR="004D16D5" w:rsidRPr="00F463BC" w:rsidSect="001B129E">
          <w:headerReference w:type="default" r:id="rId30"/>
          <w:headerReference w:type="first" r:id="rId31"/>
          <w:type w:val="continuous"/>
          <w:pgSz w:w="11909" w:h="16834" w:code="9"/>
          <w:pgMar w:top="1440" w:right="1440" w:bottom="1440" w:left="1440" w:header="720" w:footer="720" w:gutter="0"/>
          <w:cols w:space="720"/>
          <w:noEndnote/>
          <w:docGrid w:linePitch="326"/>
        </w:sectPr>
      </w:pPr>
      <w:bookmarkStart w:id="306" w:name="_Appendix_7_–"/>
      <w:bookmarkStart w:id="307" w:name="_Toc275178292"/>
      <w:bookmarkStart w:id="308" w:name="_Toc275178361"/>
      <w:bookmarkStart w:id="309" w:name="_Toc275178468"/>
      <w:bookmarkStart w:id="310" w:name="_Ref275357814"/>
      <w:bookmarkStart w:id="311" w:name="_Ref275358913"/>
      <w:bookmarkStart w:id="312" w:name="_Toc277749822"/>
      <w:bookmarkStart w:id="313" w:name="_Toc277750693"/>
      <w:bookmarkStart w:id="314" w:name="_Toc277750874"/>
      <w:bookmarkStart w:id="315" w:name="_Ref299639694"/>
      <w:bookmarkStart w:id="316" w:name="_Toc300572986"/>
      <w:bookmarkStart w:id="317" w:name="_Ref300581406"/>
      <w:bookmarkStart w:id="318" w:name="_Toc304897953"/>
      <w:bookmarkStart w:id="319" w:name="_Toc305083381"/>
      <w:bookmarkEnd w:id="306"/>
    </w:p>
    <w:p w:rsidR="00AD4E39" w:rsidRDefault="00AD4E39">
      <w:pPr>
        <w:spacing w:before="0" w:after="0"/>
        <w:jc w:val="left"/>
        <w:rPr>
          <w:rFonts w:ascii="Arial" w:hAnsi="Arial" w:cs="Arial"/>
          <w:b/>
          <w:spacing w:val="-2"/>
          <w:sz w:val="28"/>
          <w:szCs w:val="28"/>
          <w:lang w:eastAsia="en-US"/>
        </w:rPr>
      </w:pPr>
      <w:bookmarkStart w:id="320" w:name="_Appendix_7_–_1"/>
      <w:bookmarkEnd w:id="320"/>
      <w:r>
        <w:br w:type="page"/>
      </w:r>
    </w:p>
    <w:p w:rsidR="00311E2B" w:rsidRPr="00F463BC" w:rsidRDefault="00311E2B" w:rsidP="00B82F08">
      <w:pPr>
        <w:pStyle w:val="Heading1"/>
        <w:spacing w:line="271" w:lineRule="auto"/>
      </w:pPr>
      <w:bookmarkStart w:id="321" w:name="_Appendix_9_–_1"/>
      <w:bookmarkStart w:id="322" w:name="_Toc455582243"/>
      <w:bookmarkEnd w:id="321"/>
      <w:r w:rsidRPr="00F463BC">
        <w:lastRenderedPageBreak/>
        <w:t>A</w:t>
      </w:r>
      <w:r w:rsidR="00763B86" w:rsidRPr="00F463BC">
        <w:t xml:space="preserve">ppendix </w:t>
      </w:r>
      <w:bookmarkEnd w:id="307"/>
      <w:bookmarkEnd w:id="308"/>
      <w:bookmarkEnd w:id="309"/>
      <w:bookmarkEnd w:id="310"/>
      <w:bookmarkEnd w:id="311"/>
      <w:bookmarkEnd w:id="312"/>
      <w:bookmarkEnd w:id="313"/>
      <w:bookmarkEnd w:id="314"/>
      <w:r w:rsidR="00F65104" w:rsidRPr="00F463BC">
        <w:t>9</w:t>
      </w:r>
      <w:r w:rsidR="00763B86" w:rsidRPr="00F463BC">
        <w:t xml:space="preserve"> </w:t>
      </w:r>
      <w:bookmarkStart w:id="323" w:name="_Toc275178362"/>
      <w:bookmarkStart w:id="324" w:name="_Toc275178469"/>
      <w:bookmarkStart w:id="325" w:name="_Toc277749823"/>
      <w:bookmarkStart w:id="326" w:name="_Toc277750694"/>
      <w:bookmarkStart w:id="327" w:name="_Toc277750875"/>
      <w:r w:rsidR="007662FD" w:rsidRPr="00F463BC">
        <w:t>–</w:t>
      </w:r>
      <w:r w:rsidR="00144C0B" w:rsidRPr="00F463BC">
        <w:t xml:space="preserve"> </w:t>
      </w:r>
      <w:r w:rsidR="009B3CB5" w:rsidRPr="00F463BC">
        <w:t>N</w:t>
      </w:r>
      <w:r w:rsidR="00763B86" w:rsidRPr="00F463BC">
        <w:t>on-compliance matters</w:t>
      </w:r>
      <w:bookmarkEnd w:id="228"/>
      <w:bookmarkEnd w:id="315"/>
      <w:bookmarkEnd w:id="316"/>
      <w:bookmarkEnd w:id="317"/>
      <w:bookmarkEnd w:id="318"/>
      <w:bookmarkEnd w:id="319"/>
      <w:bookmarkEnd w:id="323"/>
      <w:bookmarkEnd w:id="324"/>
      <w:bookmarkEnd w:id="325"/>
      <w:bookmarkEnd w:id="326"/>
      <w:bookmarkEnd w:id="327"/>
      <w:bookmarkEnd w:id="322"/>
    </w:p>
    <w:p w:rsidR="00E20504" w:rsidRPr="00F463BC" w:rsidRDefault="00E20504" w:rsidP="00B82F08">
      <w:pPr>
        <w:spacing w:before="0" w:line="271" w:lineRule="auto"/>
        <w:rPr>
          <w:rFonts w:ascii="Arial" w:hAnsi="Arial" w:cs="Arial"/>
          <w:sz w:val="22"/>
          <w:szCs w:val="22"/>
        </w:rPr>
      </w:pPr>
    </w:p>
    <w:p w:rsidR="00E20504" w:rsidRPr="00F463BC" w:rsidRDefault="00E20504">
      <w:pPr>
        <w:spacing w:before="0" w:line="271" w:lineRule="auto"/>
        <w:rPr>
          <w:rFonts w:ascii="Arial" w:hAnsi="Arial" w:cs="Arial"/>
          <w:i/>
          <w:sz w:val="22"/>
          <w:szCs w:val="22"/>
        </w:rPr>
      </w:pPr>
      <w:r w:rsidRPr="00F463BC">
        <w:rPr>
          <w:rFonts w:ascii="Arial" w:hAnsi="Arial" w:cs="Arial"/>
          <w:i/>
          <w:sz w:val="22"/>
          <w:szCs w:val="22"/>
        </w:rPr>
        <w:t>The legislation is correct to the date that this Guide was issued. For legislative changes after the date of issue of this Guide, refer to the website of the Council.</w:t>
      </w:r>
    </w:p>
    <w:p w:rsidR="00E20504" w:rsidRPr="00F463BC" w:rsidRDefault="00E20504">
      <w:pPr>
        <w:spacing w:before="0" w:line="271" w:lineRule="auto"/>
        <w:rPr>
          <w:rFonts w:ascii="Arial" w:hAnsi="Arial" w:cs="Arial"/>
          <w:sz w:val="22"/>
          <w:szCs w:val="22"/>
        </w:rPr>
      </w:pPr>
    </w:p>
    <w:p w:rsidR="005B1527" w:rsidRPr="00F463BC" w:rsidRDefault="00CC2C4F">
      <w:pPr>
        <w:spacing w:before="0" w:line="271" w:lineRule="auto"/>
        <w:rPr>
          <w:rFonts w:ascii="Arial" w:hAnsi="Arial" w:cs="Arial"/>
          <w:sz w:val="22"/>
          <w:szCs w:val="22"/>
        </w:rPr>
      </w:pPr>
      <w:r w:rsidRPr="00F463BC">
        <w:rPr>
          <w:rFonts w:ascii="Arial" w:hAnsi="Arial" w:cs="Arial"/>
          <w:sz w:val="22"/>
          <w:szCs w:val="22"/>
        </w:rPr>
        <w:t xml:space="preserve">An </w:t>
      </w:r>
      <w:r w:rsidR="00D050D8" w:rsidRPr="00F463BC">
        <w:rPr>
          <w:rFonts w:ascii="Arial" w:hAnsi="Arial" w:cs="Arial"/>
          <w:sz w:val="22"/>
          <w:szCs w:val="22"/>
        </w:rPr>
        <w:t>auditor remain</w:t>
      </w:r>
      <w:r w:rsidR="00117963" w:rsidRPr="00F463BC">
        <w:rPr>
          <w:rFonts w:ascii="Arial" w:hAnsi="Arial" w:cs="Arial"/>
          <w:sz w:val="22"/>
          <w:szCs w:val="22"/>
        </w:rPr>
        <w:t>s</w:t>
      </w:r>
      <w:r w:rsidR="00D050D8" w:rsidRPr="00F463BC">
        <w:rPr>
          <w:rFonts w:ascii="Arial" w:hAnsi="Arial" w:cs="Arial"/>
          <w:sz w:val="22"/>
          <w:szCs w:val="22"/>
        </w:rPr>
        <w:t xml:space="preserve"> alert during the performance of </w:t>
      </w:r>
      <w:r w:rsidRPr="00F463BC">
        <w:rPr>
          <w:rFonts w:ascii="Arial" w:hAnsi="Arial" w:cs="Arial"/>
          <w:sz w:val="22"/>
          <w:szCs w:val="22"/>
        </w:rPr>
        <w:t xml:space="preserve">an </w:t>
      </w:r>
      <w:r w:rsidR="00D050D8" w:rsidRPr="00F463BC">
        <w:rPr>
          <w:rFonts w:ascii="Arial" w:hAnsi="Arial" w:cs="Arial"/>
          <w:sz w:val="22"/>
          <w:szCs w:val="22"/>
        </w:rPr>
        <w:t xml:space="preserve">auditor’s normal audit procedures </w:t>
      </w:r>
      <w:r w:rsidR="0035720B" w:rsidRPr="00F463BC">
        <w:rPr>
          <w:rFonts w:ascii="Arial" w:hAnsi="Arial" w:cs="Arial"/>
          <w:sz w:val="22"/>
          <w:szCs w:val="22"/>
        </w:rPr>
        <w:t>to</w:t>
      </w:r>
      <w:r w:rsidR="00D050D8" w:rsidRPr="00F463BC">
        <w:rPr>
          <w:rFonts w:ascii="Arial" w:hAnsi="Arial" w:cs="Arial"/>
          <w:sz w:val="22"/>
          <w:szCs w:val="22"/>
        </w:rPr>
        <w:t xml:space="preserve"> the following non-compliance matters that </w:t>
      </w:r>
      <w:r w:rsidR="00117963" w:rsidRPr="00F463BC">
        <w:rPr>
          <w:rFonts w:ascii="Arial" w:hAnsi="Arial" w:cs="Arial"/>
          <w:sz w:val="22"/>
          <w:szCs w:val="22"/>
        </w:rPr>
        <w:t>are r</w:t>
      </w:r>
      <w:r w:rsidR="00D050D8" w:rsidRPr="00F463BC">
        <w:rPr>
          <w:rFonts w:ascii="Arial" w:hAnsi="Arial" w:cs="Arial"/>
          <w:sz w:val="22"/>
          <w:szCs w:val="22"/>
        </w:rPr>
        <w:t xml:space="preserve">eported </w:t>
      </w:r>
      <w:r w:rsidR="005B1527" w:rsidRPr="00F463BC">
        <w:rPr>
          <w:rFonts w:ascii="Arial" w:hAnsi="Arial" w:cs="Arial"/>
          <w:sz w:val="22"/>
          <w:szCs w:val="22"/>
        </w:rPr>
        <w:t>in:</w:t>
      </w:r>
    </w:p>
    <w:p w:rsidR="005B1527" w:rsidRPr="00F463BC" w:rsidRDefault="00EA2A01" w:rsidP="00FF587C">
      <w:pPr>
        <w:pStyle w:val="ListParagraph"/>
        <w:numPr>
          <w:ilvl w:val="0"/>
          <w:numId w:val="220"/>
        </w:numPr>
        <w:spacing w:after="120" w:line="271" w:lineRule="auto"/>
        <w:contextualSpacing w:val="0"/>
        <w:jc w:val="both"/>
        <w:rPr>
          <w:rFonts w:ascii="Arial" w:hAnsi="Arial" w:cs="Arial"/>
        </w:rPr>
      </w:pPr>
      <w:r w:rsidRPr="00F463BC">
        <w:rPr>
          <w:rFonts w:ascii="Arial" w:hAnsi="Arial" w:cs="Arial"/>
        </w:rPr>
        <w:t>T</w:t>
      </w:r>
      <w:r w:rsidR="005B1527" w:rsidRPr="00F463BC">
        <w:rPr>
          <w:rFonts w:ascii="Arial" w:hAnsi="Arial" w:cs="Arial"/>
        </w:rPr>
        <w:t>he report of the board of trustees;</w:t>
      </w:r>
    </w:p>
    <w:p w:rsidR="00311E2B" w:rsidRPr="00F463BC" w:rsidRDefault="00EA2A01" w:rsidP="00FF587C">
      <w:pPr>
        <w:pStyle w:val="ListParagraph"/>
        <w:numPr>
          <w:ilvl w:val="0"/>
          <w:numId w:val="220"/>
        </w:numPr>
        <w:spacing w:after="120" w:line="271" w:lineRule="auto"/>
        <w:contextualSpacing w:val="0"/>
        <w:jc w:val="both"/>
        <w:rPr>
          <w:rFonts w:ascii="Arial" w:hAnsi="Arial" w:cs="Arial"/>
        </w:rPr>
      </w:pPr>
      <w:r w:rsidRPr="00F463BC">
        <w:rPr>
          <w:rFonts w:ascii="Arial" w:hAnsi="Arial" w:cs="Arial"/>
        </w:rPr>
        <w:t>T</w:t>
      </w:r>
      <w:r w:rsidR="005B1527" w:rsidRPr="00F463BC">
        <w:rPr>
          <w:rFonts w:ascii="Arial" w:hAnsi="Arial" w:cs="Arial"/>
        </w:rPr>
        <w:t>he auditor report on the financial statements under the ”Report on Other Legal and Regulatory Requirements” section</w:t>
      </w:r>
      <w:r w:rsidR="00245EF4">
        <w:rPr>
          <w:rFonts w:ascii="Arial" w:hAnsi="Arial" w:cs="Arial"/>
        </w:rPr>
        <w:t xml:space="preserve"> (refer to</w:t>
      </w:r>
      <w:r w:rsidR="000D7370">
        <w:rPr>
          <w:rFonts w:ascii="Arial" w:hAnsi="Arial" w:cs="Arial"/>
        </w:rPr>
        <w:t xml:space="preserve"> </w:t>
      </w:r>
      <w:hyperlink w:anchor="_Appendix_5_–_1" w:history="1">
        <w:r w:rsidR="000D7370" w:rsidRPr="000D7370">
          <w:rPr>
            <w:rStyle w:val="Hyperlink"/>
            <w:rFonts w:ascii="Arial" w:hAnsi="Arial" w:cs="Arial"/>
          </w:rPr>
          <w:t>Appendix 5 – Report on the Financial Statements (ISA 700 Report)</w:t>
        </w:r>
      </w:hyperlink>
      <w:r w:rsidR="005B1527" w:rsidRPr="00F463BC">
        <w:rPr>
          <w:rFonts w:ascii="Arial" w:hAnsi="Arial" w:cs="Arial"/>
        </w:rPr>
        <w:t>; and</w:t>
      </w:r>
    </w:p>
    <w:p w:rsidR="005B1527" w:rsidRPr="00F463BC" w:rsidRDefault="00EA2A01" w:rsidP="00FF587C">
      <w:pPr>
        <w:pStyle w:val="ListParagraph"/>
        <w:numPr>
          <w:ilvl w:val="0"/>
          <w:numId w:val="220"/>
        </w:numPr>
        <w:spacing w:after="120" w:line="271" w:lineRule="auto"/>
        <w:contextualSpacing w:val="0"/>
        <w:jc w:val="both"/>
        <w:rPr>
          <w:rFonts w:ascii="Arial" w:hAnsi="Arial" w:cs="Arial"/>
        </w:rPr>
      </w:pPr>
      <w:r w:rsidRPr="00F463BC">
        <w:rPr>
          <w:rFonts w:ascii="Arial" w:hAnsi="Arial" w:cs="Arial"/>
        </w:rPr>
        <w:t>T</w:t>
      </w:r>
      <w:r w:rsidR="005B1527" w:rsidRPr="00F463BC">
        <w:rPr>
          <w:rFonts w:ascii="Arial" w:hAnsi="Arial" w:cs="Arial"/>
        </w:rPr>
        <w:t>he notes to the financial statements</w:t>
      </w:r>
      <w:r w:rsidRPr="00F463BC">
        <w:rPr>
          <w:rFonts w:ascii="Arial" w:hAnsi="Arial" w:cs="Arial"/>
        </w:rPr>
        <w:t>, by the board of trustees</w:t>
      </w:r>
      <w:r w:rsidR="005B1527" w:rsidRPr="00F463BC">
        <w:rPr>
          <w:rFonts w:ascii="Arial" w:hAnsi="Arial" w:cs="Arial"/>
        </w:rPr>
        <w:t>.</w:t>
      </w:r>
    </w:p>
    <w:p w:rsidR="006D560E" w:rsidRPr="00F463BC" w:rsidRDefault="006D560E">
      <w:pPr>
        <w:spacing w:before="0" w:line="271" w:lineRule="auto"/>
        <w:rPr>
          <w:rFonts w:ascii="Arial" w:hAnsi="Arial" w:cs="Arial"/>
          <w:sz w:val="22"/>
          <w:szCs w:val="22"/>
        </w:rPr>
      </w:pPr>
    </w:p>
    <w:p w:rsidR="00EF02EB" w:rsidRPr="00F463BC" w:rsidRDefault="00EF02EB">
      <w:pPr>
        <w:spacing w:before="0" w:line="271" w:lineRule="auto"/>
        <w:rPr>
          <w:rFonts w:ascii="Arial" w:hAnsi="Arial" w:cs="Arial"/>
          <w:sz w:val="22"/>
          <w:szCs w:val="22"/>
        </w:rPr>
      </w:pPr>
      <w:bookmarkStart w:id="328" w:name="_Toc277749824"/>
      <w:bookmarkStart w:id="329" w:name="_Toc277750695"/>
      <w:bookmarkStart w:id="330" w:name="_Toc277750876"/>
      <w:bookmarkStart w:id="331" w:name="_Toc300572987"/>
      <w:bookmarkStart w:id="332" w:name="_Toc304897954"/>
      <w:bookmarkStart w:id="333" w:name="_Toc305083382"/>
      <w:r w:rsidRPr="00F463BC">
        <w:rPr>
          <w:rFonts w:ascii="Arial" w:hAnsi="Arial" w:cs="Arial"/>
          <w:b/>
          <w:sz w:val="22"/>
          <w:szCs w:val="22"/>
        </w:rPr>
        <w:t>General</w:t>
      </w:r>
      <w:bookmarkEnd w:id="328"/>
      <w:bookmarkEnd w:id="329"/>
      <w:bookmarkEnd w:id="330"/>
      <w:bookmarkEnd w:id="331"/>
      <w:bookmarkEnd w:id="332"/>
      <w:bookmarkEnd w:id="333"/>
    </w:p>
    <w:p w:rsidR="0016106E" w:rsidRPr="00F463BC" w:rsidRDefault="0016106E"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 </w:t>
      </w:r>
      <w:r w:rsidR="009B3CB5" w:rsidRPr="00F463BC">
        <w:rPr>
          <w:rFonts w:ascii="Arial" w:hAnsi="Arial" w:cs="Arial"/>
          <w:sz w:val="22"/>
          <w:szCs w:val="22"/>
        </w:rPr>
        <w:t>was</w:t>
      </w:r>
      <w:r w:rsidRPr="00F463BC">
        <w:rPr>
          <w:rFonts w:ascii="Arial" w:hAnsi="Arial" w:cs="Arial"/>
          <w:sz w:val="22"/>
          <w:szCs w:val="22"/>
        </w:rPr>
        <w:t xml:space="preserve"> registered as a medical scheme as per </w:t>
      </w:r>
      <w:r w:rsidR="004C23DA" w:rsidRPr="00F463BC">
        <w:rPr>
          <w:rFonts w:ascii="Arial" w:hAnsi="Arial" w:cs="Arial"/>
          <w:sz w:val="22"/>
          <w:szCs w:val="22"/>
        </w:rPr>
        <w:t>s</w:t>
      </w:r>
      <w:r w:rsidRPr="00F463BC">
        <w:rPr>
          <w:rFonts w:ascii="Arial" w:hAnsi="Arial" w:cs="Arial"/>
          <w:sz w:val="22"/>
          <w:szCs w:val="22"/>
        </w:rPr>
        <w:t>ections 20 and 24 of the Act, and such registration ha</w:t>
      </w:r>
      <w:r w:rsidR="009B3CB5" w:rsidRPr="00F463BC">
        <w:rPr>
          <w:rFonts w:ascii="Arial" w:hAnsi="Arial" w:cs="Arial"/>
          <w:sz w:val="22"/>
          <w:szCs w:val="22"/>
        </w:rPr>
        <w:t>s</w:t>
      </w:r>
      <w:r w:rsidRPr="00F463BC">
        <w:rPr>
          <w:rFonts w:ascii="Arial" w:hAnsi="Arial" w:cs="Arial"/>
          <w:sz w:val="22"/>
          <w:szCs w:val="22"/>
        </w:rPr>
        <w:t xml:space="preserve"> not been cancelled or suspended in terms of </w:t>
      </w:r>
      <w:r w:rsidR="004C23DA" w:rsidRPr="00F463BC">
        <w:rPr>
          <w:rFonts w:ascii="Arial" w:hAnsi="Arial" w:cs="Arial"/>
          <w:sz w:val="22"/>
          <w:szCs w:val="22"/>
        </w:rPr>
        <w:t>section</w:t>
      </w:r>
      <w:r w:rsidRPr="00F463BC">
        <w:rPr>
          <w:rFonts w:ascii="Arial" w:hAnsi="Arial" w:cs="Arial"/>
          <w:sz w:val="22"/>
          <w:szCs w:val="22"/>
        </w:rPr>
        <w:t xml:space="preserve"> 27;</w:t>
      </w:r>
    </w:p>
    <w:p w:rsidR="00653E75" w:rsidRPr="00F463BC" w:rsidRDefault="00653E7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scheme’s </w:t>
      </w:r>
      <w:r w:rsidR="00EA3C6A" w:rsidRPr="00F463BC">
        <w:rPr>
          <w:rFonts w:ascii="Arial" w:hAnsi="Arial" w:cs="Arial"/>
          <w:sz w:val="22"/>
          <w:szCs w:val="22"/>
        </w:rPr>
        <w:t>Rule</w:t>
      </w:r>
      <w:r w:rsidRPr="00F463BC">
        <w:rPr>
          <w:rFonts w:ascii="Arial" w:hAnsi="Arial" w:cs="Arial"/>
          <w:sz w:val="22"/>
          <w:szCs w:val="22"/>
        </w:rPr>
        <w:t xml:space="preserve">s </w:t>
      </w:r>
      <w:r w:rsidR="0042602D" w:rsidRPr="00F463BC">
        <w:rPr>
          <w:rFonts w:ascii="Arial" w:hAnsi="Arial" w:cs="Arial"/>
          <w:sz w:val="22"/>
          <w:szCs w:val="22"/>
        </w:rPr>
        <w:t>contain</w:t>
      </w:r>
      <w:r w:rsidRPr="00F463BC">
        <w:rPr>
          <w:rFonts w:ascii="Arial" w:hAnsi="Arial" w:cs="Arial"/>
          <w:sz w:val="22"/>
          <w:szCs w:val="22"/>
        </w:rPr>
        <w:t xml:space="preserve"> the minimum matters prescribed in </w:t>
      </w:r>
      <w:r w:rsidR="004C23DA" w:rsidRPr="00F463BC">
        <w:rPr>
          <w:rFonts w:ascii="Arial" w:hAnsi="Arial" w:cs="Arial"/>
          <w:sz w:val="22"/>
          <w:szCs w:val="22"/>
        </w:rPr>
        <w:t>section</w:t>
      </w:r>
      <w:r w:rsidRPr="00F463BC">
        <w:rPr>
          <w:rFonts w:ascii="Arial" w:hAnsi="Arial" w:cs="Arial"/>
          <w:sz w:val="22"/>
          <w:szCs w:val="22"/>
        </w:rPr>
        <w:t xml:space="preserve"> 29. Other general matters included in the </w:t>
      </w:r>
      <w:r w:rsidR="00EA3C6A" w:rsidRPr="00F463BC">
        <w:rPr>
          <w:rFonts w:ascii="Arial" w:hAnsi="Arial" w:cs="Arial"/>
          <w:sz w:val="22"/>
          <w:szCs w:val="22"/>
        </w:rPr>
        <w:t>Rule</w:t>
      </w:r>
      <w:r w:rsidRPr="00F463BC">
        <w:rPr>
          <w:rFonts w:ascii="Arial" w:hAnsi="Arial" w:cs="Arial"/>
          <w:sz w:val="22"/>
          <w:szCs w:val="22"/>
        </w:rPr>
        <w:t>s are</w:t>
      </w:r>
      <w:r w:rsidR="00DD1DC0" w:rsidRPr="00F463BC">
        <w:rPr>
          <w:rFonts w:ascii="Arial" w:hAnsi="Arial" w:cs="Arial"/>
          <w:sz w:val="22"/>
          <w:szCs w:val="22"/>
        </w:rPr>
        <w:t xml:space="preserve"> in accordance with </w:t>
      </w:r>
      <w:r w:rsidR="004C23DA" w:rsidRPr="00F463BC">
        <w:rPr>
          <w:rFonts w:ascii="Arial" w:hAnsi="Arial" w:cs="Arial"/>
          <w:sz w:val="22"/>
          <w:szCs w:val="22"/>
        </w:rPr>
        <w:t>section</w:t>
      </w:r>
      <w:r w:rsidR="00DD1DC0" w:rsidRPr="00F463BC">
        <w:rPr>
          <w:rFonts w:ascii="Arial" w:hAnsi="Arial" w:cs="Arial"/>
          <w:sz w:val="22"/>
          <w:szCs w:val="22"/>
        </w:rPr>
        <w:t xml:space="preserve"> 30;</w:t>
      </w:r>
    </w:p>
    <w:p w:rsidR="00653E75" w:rsidRPr="00F463BC" w:rsidRDefault="00653E7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Amendments to the </w:t>
      </w:r>
      <w:r w:rsidR="00EA3C6A" w:rsidRPr="00F463BC">
        <w:rPr>
          <w:rFonts w:ascii="Arial" w:hAnsi="Arial" w:cs="Arial"/>
          <w:sz w:val="22"/>
          <w:szCs w:val="22"/>
        </w:rPr>
        <w:t>Rule</w:t>
      </w:r>
      <w:r w:rsidRPr="00F463BC">
        <w:rPr>
          <w:rFonts w:ascii="Arial" w:hAnsi="Arial" w:cs="Arial"/>
          <w:sz w:val="22"/>
          <w:szCs w:val="22"/>
        </w:rPr>
        <w:t xml:space="preserve">s </w:t>
      </w:r>
      <w:r w:rsidR="009B3CB5" w:rsidRPr="00F463BC">
        <w:rPr>
          <w:rFonts w:ascii="Arial" w:hAnsi="Arial" w:cs="Arial"/>
          <w:sz w:val="22"/>
          <w:szCs w:val="22"/>
        </w:rPr>
        <w:t>were</w:t>
      </w:r>
      <w:r w:rsidRPr="00F463BC">
        <w:rPr>
          <w:rFonts w:ascii="Arial" w:hAnsi="Arial" w:cs="Arial"/>
          <w:sz w:val="22"/>
          <w:szCs w:val="22"/>
        </w:rPr>
        <w:t xml:space="preserve"> registered in accordance with the Act and Regulations (</w:t>
      </w:r>
      <w:r w:rsidR="004C23DA" w:rsidRPr="00F463BC">
        <w:rPr>
          <w:rFonts w:ascii="Arial" w:hAnsi="Arial" w:cs="Arial"/>
          <w:sz w:val="22"/>
          <w:szCs w:val="22"/>
        </w:rPr>
        <w:t>section</w:t>
      </w:r>
      <w:r w:rsidRPr="00F463BC">
        <w:rPr>
          <w:rFonts w:ascii="Arial" w:hAnsi="Arial" w:cs="Arial"/>
          <w:sz w:val="22"/>
          <w:szCs w:val="22"/>
        </w:rPr>
        <w:t>s 31 and 32);</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M</w:t>
      </w:r>
      <w:r w:rsidR="00311E2B" w:rsidRPr="00F463BC">
        <w:rPr>
          <w:rFonts w:ascii="Arial" w:hAnsi="Arial" w:cs="Arial"/>
          <w:sz w:val="22"/>
          <w:szCs w:val="22"/>
        </w:rPr>
        <w:t xml:space="preserve">eeting requirements </w:t>
      </w:r>
      <w:r w:rsidR="009B3CB5" w:rsidRPr="00F463BC">
        <w:rPr>
          <w:rFonts w:ascii="Arial" w:hAnsi="Arial" w:cs="Arial"/>
          <w:sz w:val="22"/>
          <w:szCs w:val="22"/>
        </w:rPr>
        <w:t>were</w:t>
      </w:r>
      <w:r w:rsidR="00311E2B" w:rsidRPr="00F463BC">
        <w:rPr>
          <w:rFonts w:ascii="Arial" w:hAnsi="Arial" w:cs="Arial"/>
          <w:sz w:val="22"/>
          <w:szCs w:val="22"/>
        </w:rPr>
        <w:t xml:space="preserve"> complied with</w:t>
      </w:r>
      <w:r w:rsidR="00326CBD" w:rsidRPr="00F463BC">
        <w:rPr>
          <w:rFonts w:ascii="Arial" w:hAnsi="Arial" w:cs="Arial"/>
          <w:sz w:val="22"/>
          <w:szCs w:val="22"/>
        </w:rPr>
        <w:t xml:space="preserve"> (</w:t>
      </w:r>
      <w:r w:rsidR="00604CBB" w:rsidRPr="00F463BC">
        <w:rPr>
          <w:rFonts w:ascii="Arial" w:hAnsi="Arial" w:cs="Arial"/>
          <w:sz w:val="22"/>
          <w:szCs w:val="22"/>
        </w:rPr>
        <w:t xml:space="preserve">as per </w:t>
      </w:r>
      <w:r w:rsidR="004C23DA" w:rsidRPr="00F463BC">
        <w:rPr>
          <w:rFonts w:ascii="Arial" w:hAnsi="Arial" w:cs="Arial"/>
          <w:sz w:val="22"/>
          <w:szCs w:val="22"/>
        </w:rPr>
        <w:t>section</w:t>
      </w:r>
      <w:r w:rsidR="00326CBD" w:rsidRPr="00F463BC">
        <w:rPr>
          <w:rFonts w:ascii="Arial" w:hAnsi="Arial" w:cs="Arial"/>
          <w:sz w:val="22"/>
          <w:szCs w:val="22"/>
        </w:rPr>
        <w:t>s 29 and 36)</w:t>
      </w:r>
      <w:r w:rsidR="00311E2B" w:rsidRPr="00F463BC">
        <w:rPr>
          <w:rFonts w:ascii="Arial" w:hAnsi="Arial" w:cs="Arial"/>
          <w:sz w:val="22"/>
          <w:szCs w:val="22"/>
        </w:rPr>
        <w:t>;</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D</w:t>
      </w:r>
      <w:r w:rsidR="00311E2B" w:rsidRPr="00F463BC">
        <w:rPr>
          <w:rFonts w:ascii="Arial" w:hAnsi="Arial" w:cs="Arial"/>
          <w:sz w:val="22"/>
          <w:szCs w:val="22"/>
        </w:rPr>
        <w:t xml:space="preserve">ecisions </w:t>
      </w:r>
      <w:r w:rsidR="009B3CB5" w:rsidRPr="00F463BC">
        <w:rPr>
          <w:rFonts w:ascii="Arial" w:hAnsi="Arial" w:cs="Arial"/>
          <w:sz w:val="22"/>
          <w:szCs w:val="22"/>
        </w:rPr>
        <w:t>were</w:t>
      </w:r>
      <w:r w:rsidR="00311E2B" w:rsidRPr="00F463BC">
        <w:rPr>
          <w:rFonts w:ascii="Arial" w:hAnsi="Arial" w:cs="Arial"/>
          <w:sz w:val="22"/>
          <w:szCs w:val="22"/>
        </w:rPr>
        <w:t xml:space="preserve"> properly minuted</w:t>
      </w:r>
      <w:r w:rsidR="000845C0" w:rsidRPr="00F463BC">
        <w:rPr>
          <w:rFonts w:ascii="Arial" w:hAnsi="Arial" w:cs="Arial"/>
          <w:sz w:val="22"/>
          <w:szCs w:val="22"/>
        </w:rPr>
        <w:t xml:space="preserve"> as required by </w:t>
      </w:r>
      <w:r w:rsidR="004C23DA" w:rsidRPr="00F463BC">
        <w:rPr>
          <w:rFonts w:ascii="Arial" w:hAnsi="Arial" w:cs="Arial"/>
          <w:sz w:val="22"/>
          <w:szCs w:val="22"/>
        </w:rPr>
        <w:t>section</w:t>
      </w:r>
      <w:r w:rsidR="000845C0" w:rsidRPr="00F463BC">
        <w:rPr>
          <w:rFonts w:ascii="Arial" w:hAnsi="Arial" w:cs="Arial"/>
          <w:sz w:val="22"/>
          <w:szCs w:val="22"/>
        </w:rPr>
        <w:t xml:space="preserve"> 57 of the Act</w:t>
      </w:r>
      <w:r w:rsidR="00311E2B" w:rsidRPr="00F463BC">
        <w:rPr>
          <w:rFonts w:ascii="Arial" w:hAnsi="Arial" w:cs="Arial"/>
          <w:sz w:val="22"/>
          <w:szCs w:val="22"/>
        </w:rPr>
        <w:t>;</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F</w:t>
      </w:r>
      <w:r w:rsidR="00311E2B" w:rsidRPr="00F463BC">
        <w:rPr>
          <w:rFonts w:ascii="Arial" w:hAnsi="Arial" w:cs="Arial"/>
          <w:sz w:val="22"/>
          <w:szCs w:val="22"/>
        </w:rPr>
        <w:t xml:space="preserve">inancial guarantees </w:t>
      </w:r>
      <w:r w:rsidR="009B3CB5" w:rsidRPr="00F463BC">
        <w:rPr>
          <w:rFonts w:ascii="Arial" w:hAnsi="Arial" w:cs="Arial"/>
          <w:sz w:val="22"/>
          <w:szCs w:val="22"/>
        </w:rPr>
        <w:t>were</w:t>
      </w:r>
      <w:r w:rsidR="00311E2B" w:rsidRPr="00F463BC">
        <w:rPr>
          <w:rFonts w:ascii="Arial" w:hAnsi="Arial" w:cs="Arial"/>
          <w:sz w:val="22"/>
          <w:szCs w:val="22"/>
        </w:rPr>
        <w:t xml:space="preserve"> received by the scheme from a third party, to ensure the financial soundness of </w:t>
      </w:r>
      <w:r w:rsidR="00BB5057" w:rsidRPr="00F463BC">
        <w:rPr>
          <w:rFonts w:ascii="Arial" w:hAnsi="Arial" w:cs="Arial"/>
          <w:sz w:val="22"/>
          <w:szCs w:val="22"/>
        </w:rPr>
        <w:t xml:space="preserve">the scheme and its </w:t>
      </w:r>
      <w:r w:rsidR="00311E2B" w:rsidRPr="00F463BC">
        <w:rPr>
          <w:rFonts w:ascii="Arial" w:hAnsi="Arial" w:cs="Arial"/>
          <w:sz w:val="22"/>
          <w:szCs w:val="22"/>
        </w:rPr>
        <w:t>benefit options, where required by the Registrar</w:t>
      </w:r>
      <w:r w:rsidR="00BB5057" w:rsidRPr="00F463BC">
        <w:rPr>
          <w:rFonts w:ascii="Arial" w:hAnsi="Arial" w:cs="Arial"/>
          <w:sz w:val="22"/>
          <w:szCs w:val="22"/>
        </w:rPr>
        <w:t xml:space="preserve"> (</w:t>
      </w:r>
      <w:r w:rsidR="004C23DA" w:rsidRPr="00F463BC">
        <w:rPr>
          <w:rFonts w:ascii="Arial" w:hAnsi="Arial" w:cs="Arial"/>
          <w:sz w:val="22"/>
          <w:szCs w:val="22"/>
        </w:rPr>
        <w:t>section</w:t>
      </w:r>
      <w:r w:rsidR="00BB5057" w:rsidRPr="00F463BC">
        <w:rPr>
          <w:rFonts w:ascii="Arial" w:hAnsi="Arial" w:cs="Arial"/>
          <w:sz w:val="22"/>
          <w:szCs w:val="22"/>
        </w:rPr>
        <w:t xml:space="preserve"> 24(5) and/or Regulation 2 (1)(j); and/or </w:t>
      </w:r>
      <w:r w:rsidR="004C23DA" w:rsidRPr="00F463BC">
        <w:rPr>
          <w:rFonts w:ascii="Arial" w:hAnsi="Arial" w:cs="Arial"/>
          <w:sz w:val="22"/>
          <w:szCs w:val="22"/>
        </w:rPr>
        <w:t>section</w:t>
      </w:r>
      <w:r w:rsidR="00BB5057" w:rsidRPr="00F463BC">
        <w:rPr>
          <w:rFonts w:ascii="Arial" w:hAnsi="Arial" w:cs="Arial"/>
          <w:sz w:val="22"/>
          <w:szCs w:val="22"/>
        </w:rPr>
        <w:t>s 33(3) and 44(9)(b) as applicable)</w:t>
      </w:r>
      <w:r w:rsidR="00311E2B" w:rsidRPr="00F463BC">
        <w:rPr>
          <w:rFonts w:ascii="Arial" w:hAnsi="Arial" w:cs="Arial"/>
          <w:sz w:val="22"/>
          <w:szCs w:val="22"/>
        </w:rPr>
        <w:t>;</w:t>
      </w:r>
    </w:p>
    <w:p w:rsidR="00BB5057"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An appropriate level of professional indemnity insurance and fidelity guarantee insurance </w:t>
      </w:r>
      <w:r w:rsidR="009B3CB5" w:rsidRPr="00F463BC">
        <w:rPr>
          <w:rFonts w:ascii="Arial" w:hAnsi="Arial" w:cs="Arial"/>
          <w:sz w:val="22"/>
          <w:szCs w:val="22"/>
        </w:rPr>
        <w:t>w</w:t>
      </w:r>
      <w:r w:rsidR="009460CB" w:rsidRPr="00F463BC">
        <w:rPr>
          <w:rFonts w:ascii="Arial" w:hAnsi="Arial" w:cs="Arial"/>
          <w:sz w:val="22"/>
          <w:szCs w:val="22"/>
        </w:rPr>
        <w:t>as</w:t>
      </w:r>
      <w:r w:rsidRPr="00F463BC">
        <w:rPr>
          <w:rFonts w:ascii="Arial" w:hAnsi="Arial" w:cs="Arial"/>
          <w:sz w:val="22"/>
          <w:szCs w:val="22"/>
        </w:rPr>
        <w:t xml:space="preserve"> taken out </w:t>
      </w:r>
      <w:r w:rsidR="00200616" w:rsidRPr="00F463BC">
        <w:rPr>
          <w:rFonts w:ascii="Arial" w:hAnsi="Arial" w:cs="Arial"/>
          <w:sz w:val="22"/>
          <w:szCs w:val="22"/>
        </w:rPr>
        <w:t xml:space="preserve">and </w:t>
      </w:r>
      <w:r w:rsidRPr="00F463BC">
        <w:rPr>
          <w:rFonts w:ascii="Arial" w:hAnsi="Arial" w:cs="Arial"/>
          <w:sz w:val="22"/>
          <w:szCs w:val="22"/>
        </w:rPr>
        <w:t>maintained (</w:t>
      </w:r>
      <w:r w:rsidR="004C23DA" w:rsidRPr="00F463BC">
        <w:rPr>
          <w:rFonts w:ascii="Arial" w:hAnsi="Arial" w:cs="Arial"/>
          <w:sz w:val="22"/>
          <w:szCs w:val="22"/>
        </w:rPr>
        <w:t>section</w:t>
      </w:r>
      <w:r w:rsidRPr="00F463BC">
        <w:rPr>
          <w:rFonts w:ascii="Arial" w:hAnsi="Arial" w:cs="Arial"/>
          <w:sz w:val="22"/>
          <w:szCs w:val="22"/>
        </w:rPr>
        <w:t xml:space="preserve"> 57(4)(f));</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w:t>
      </w:r>
      <w:r w:rsidR="00311E2B" w:rsidRPr="00F463BC">
        <w:rPr>
          <w:rFonts w:ascii="Arial" w:hAnsi="Arial" w:cs="Arial"/>
          <w:sz w:val="22"/>
          <w:szCs w:val="22"/>
        </w:rPr>
        <w:t xml:space="preserve">he scheme’s business </w:t>
      </w:r>
      <w:r w:rsidR="009B3CB5" w:rsidRPr="00F463BC">
        <w:rPr>
          <w:rFonts w:ascii="Arial" w:hAnsi="Arial" w:cs="Arial"/>
          <w:sz w:val="22"/>
          <w:szCs w:val="22"/>
        </w:rPr>
        <w:t>was</w:t>
      </w:r>
      <w:r w:rsidR="00311E2B" w:rsidRPr="00F463BC">
        <w:rPr>
          <w:rFonts w:ascii="Arial" w:hAnsi="Arial" w:cs="Arial"/>
          <w:sz w:val="22"/>
          <w:szCs w:val="22"/>
        </w:rPr>
        <w:t xml:space="preserve"> maintained in a financially sound condition</w:t>
      </w:r>
      <w:r w:rsidR="00604CBB" w:rsidRPr="00F463BC">
        <w:rPr>
          <w:rFonts w:ascii="Arial" w:hAnsi="Arial" w:cs="Arial"/>
          <w:sz w:val="22"/>
          <w:szCs w:val="22"/>
        </w:rPr>
        <w:t xml:space="preserve"> (</w:t>
      </w:r>
      <w:r w:rsidR="004C23DA" w:rsidRPr="00F463BC">
        <w:rPr>
          <w:rFonts w:ascii="Arial" w:hAnsi="Arial" w:cs="Arial"/>
          <w:sz w:val="22"/>
          <w:szCs w:val="22"/>
        </w:rPr>
        <w:t>section</w:t>
      </w:r>
      <w:r w:rsidR="00604CBB" w:rsidRPr="00F463BC">
        <w:rPr>
          <w:rFonts w:ascii="Arial" w:hAnsi="Arial" w:cs="Arial"/>
          <w:sz w:val="22"/>
          <w:szCs w:val="22"/>
        </w:rPr>
        <w:t xml:space="preserve">s 35(1) and </w:t>
      </w:r>
      <w:r w:rsidR="00E80C17" w:rsidRPr="00F463BC">
        <w:rPr>
          <w:rFonts w:ascii="Arial" w:hAnsi="Arial" w:cs="Arial"/>
          <w:sz w:val="22"/>
          <w:szCs w:val="22"/>
        </w:rPr>
        <w:t>35</w:t>
      </w:r>
      <w:r w:rsidR="00604CBB" w:rsidRPr="00F463BC">
        <w:rPr>
          <w:rFonts w:ascii="Arial" w:hAnsi="Arial" w:cs="Arial"/>
          <w:sz w:val="22"/>
          <w:szCs w:val="22"/>
        </w:rPr>
        <w:t>(2))</w:t>
      </w:r>
      <w:r w:rsidR="00311E2B" w:rsidRPr="00F463BC">
        <w:rPr>
          <w:rFonts w:ascii="Arial" w:hAnsi="Arial" w:cs="Arial"/>
          <w:sz w:val="22"/>
          <w:szCs w:val="22"/>
        </w:rPr>
        <w:t>;</w:t>
      </w:r>
    </w:p>
    <w:p w:rsidR="00BB5057" w:rsidRPr="00F463BC" w:rsidRDefault="00E80C1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a</w:t>
      </w:r>
      <w:r w:rsidR="00BB5057" w:rsidRPr="00F463BC">
        <w:rPr>
          <w:rFonts w:ascii="Arial" w:hAnsi="Arial" w:cs="Arial"/>
          <w:sz w:val="22"/>
          <w:szCs w:val="22"/>
        </w:rPr>
        <w:t xml:space="preserve">nnual financial statements, statutory </w:t>
      </w:r>
      <w:r w:rsidRPr="00F463BC">
        <w:rPr>
          <w:rFonts w:ascii="Arial" w:hAnsi="Arial" w:cs="Arial"/>
          <w:sz w:val="22"/>
          <w:szCs w:val="22"/>
        </w:rPr>
        <w:t>return/</w:t>
      </w:r>
      <w:r w:rsidR="00BB5057" w:rsidRPr="00F463BC">
        <w:rPr>
          <w:rFonts w:ascii="Arial" w:hAnsi="Arial" w:cs="Arial"/>
          <w:sz w:val="22"/>
          <w:szCs w:val="22"/>
        </w:rPr>
        <w:t xml:space="preserve">reports and the trustees’ report </w:t>
      </w:r>
      <w:r w:rsidR="009460CB" w:rsidRPr="00F463BC">
        <w:rPr>
          <w:rFonts w:ascii="Arial" w:hAnsi="Arial" w:cs="Arial"/>
          <w:sz w:val="22"/>
          <w:szCs w:val="22"/>
        </w:rPr>
        <w:t>were</w:t>
      </w:r>
      <w:r w:rsidR="00BB5057" w:rsidRPr="00F463BC">
        <w:rPr>
          <w:rFonts w:ascii="Arial" w:hAnsi="Arial" w:cs="Arial"/>
          <w:sz w:val="22"/>
          <w:szCs w:val="22"/>
        </w:rPr>
        <w:t xml:space="preserve"> submitted </w:t>
      </w:r>
      <w:r w:rsidR="004E5AB0" w:rsidRPr="00F463BC">
        <w:rPr>
          <w:rFonts w:ascii="Arial" w:hAnsi="Arial" w:cs="Arial"/>
          <w:sz w:val="22"/>
          <w:szCs w:val="22"/>
        </w:rPr>
        <w:t>by 30</w:t>
      </w:r>
      <w:r w:rsidR="009460CB" w:rsidRPr="00F463BC">
        <w:rPr>
          <w:rFonts w:ascii="Arial" w:hAnsi="Arial" w:cs="Arial"/>
          <w:sz w:val="22"/>
          <w:szCs w:val="22"/>
        </w:rPr>
        <w:t> </w:t>
      </w:r>
      <w:r w:rsidR="004E5AB0" w:rsidRPr="00F463BC">
        <w:rPr>
          <w:rFonts w:ascii="Arial" w:hAnsi="Arial" w:cs="Arial"/>
          <w:sz w:val="22"/>
          <w:szCs w:val="22"/>
        </w:rPr>
        <w:t xml:space="preserve">April </w:t>
      </w:r>
      <w:r w:rsidR="00BB5057" w:rsidRPr="00F463BC">
        <w:rPr>
          <w:rFonts w:ascii="Arial" w:hAnsi="Arial" w:cs="Arial"/>
          <w:sz w:val="22"/>
          <w:szCs w:val="22"/>
        </w:rPr>
        <w:t xml:space="preserve">and </w:t>
      </w:r>
      <w:r w:rsidR="004E5AB0" w:rsidRPr="00F463BC">
        <w:rPr>
          <w:rFonts w:ascii="Arial" w:hAnsi="Arial" w:cs="Arial"/>
          <w:sz w:val="22"/>
          <w:szCs w:val="22"/>
        </w:rPr>
        <w:t>ha</w:t>
      </w:r>
      <w:r w:rsidR="004C3BA5" w:rsidRPr="00F463BC">
        <w:rPr>
          <w:rFonts w:ascii="Arial" w:hAnsi="Arial" w:cs="Arial"/>
          <w:sz w:val="22"/>
          <w:szCs w:val="22"/>
        </w:rPr>
        <w:t>ve</w:t>
      </w:r>
      <w:r w:rsidR="004E5AB0" w:rsidRPr="00F463BC">
        <w:rPr>
          <w:rFonts w:ascii="Arial" w:hAnsi="Arial" w:cs="Arial"/>
          <w:sz w:val="22"/>
          <w:szCs w:val="22"/>
        </w:rPr>
        <w:t xml:space="preserve"> </w:t>
      </w:r>
      <w:r w:rsidR="00BB5057" w:rsidRPr="00F463BC">
        <w:rPr>
          <w:rFonts w:ascii="Arial" w:hAnsi="Arial" w:cs="Arial"/>
          <w:sz w:val="22"/>
          <w:szCs w:val="22"/>
        </w:rPr>
        <w:t xml:space="preserve">not </w:t>
      </w:r>
      <w:r w:rsidR="004E5AB0" w:rsidRPr="00F463BC">
        <w:rPr>
          <w:rFonts w:ascii="Arial" w:hAnsi="Arial" w:cs="Arial"/>
          <w:sz w:val="22"/>
          <w:szCs w:val="22"/>
        </w:rPr>
        <w:t xml:space="preserve">been </w:t>
      </w:r>
      <w:r w:rsidR="00BB5057" w:rsidRPr="00F463BC">
        <w:rPr>
          <w:rFonts w:ascii="Arial" w:hAnsi="Arial" w:cs="Arial"/>
          <w:sz w:val="22"/>
          <w:szCs w:val="22"/>
        </w:rPr>
        <w:t>rejected by the Registrar</w:t>
      </w:r>
      <w:r w:rsidR="00604CBB" w:rsidRPr="00F463BC">
        <w:rPr>
          <w:rFonts w:ascii="Arial" w:hAnsi="Arial" w:cs="Arial"/>
          <w:sz w:val="22"/>
          <w:szCs w:val="22"/>
        </w:rPr>
        <w:t xml:space="preserve"> (</w:t>
      </w:r>
      <w:r w:rsidR="004C23DA" w:rsidRPr="00F463BC">
        <w:rPr>
          <w:rFonts w:ascii="Arial" w:hAnsi="Arial" w:cs="Arial"/>
          <w:sz w:val="22"/>
          <w:szCs w:val="22"/>
        </w:rPr>
        <w:t>section</w:t>
      </w:r>
      <w:r w:rsidR="00604CBB" w:rsidRPr="00F463BC">
        <w:rPr>
          <w:rFonts w:ascii="Arial" w:hAnsi="Arial" w:cs="Arial"/>
          <w:sz w:val="22"/>
          <w:szCs w:val="22"/>
        </w:rPr>
        <w:t xml:space="preserve"> 37(1))</w:t>
      </w:r>
      <w:r w:rsidR="00BB5057" w:rsidRPr="00F463BC">
        <w:rPr>
          <w:rFonts w:ascii="Arial" w:hAnsi="Arial" w:cs="Arial"/>
          <w:sz w:val="22"/>
          <w:szCs w:val="22"/>
        </w:rPr>
        <w:t xml:space="preserve">; </w:t>
      </w:r>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w:t>
      </w:r>
      <w:r w:rsidR="002C2A80" w:rsidRPr="00F463BC">
        <w:rPr>
          <w:rFonts w:ascii="Arial" w:hAnsi="Arial" w:cs="Arial"/>
          <w:sz w:val="22"/>
          <w:szCs w:val="22"/>
        </w:rPr>
        <w:t>board of t</w:t>
      </w:r>
      <w:r w:rsidRPr="00F463BC">
        <w:rPr>
          <w:rFonts w:ascii="Arial" w:hAnsi="Arial" w:cs="Arial"/>
          <w:sz w:val="22"/>
          <w:szCs w:val="22"/>
        </w:rPr>
        <w:t xml:space="preserve">rustees appointed an audit committee, in accordance with </w:t>
      </w:r>
      <w:r w:rsidR="004C23DA" w:rsidRPr="00F463BC">
        <w:rPr>
          <w:rFonts w:ascii="Arial" w:hAnsi="Arial" w:cs="Arial"/>
          <w:sz w:val="22"/>
          <w:szCs w:val="22"/>
        </w:rPr>
        <w:t>section</w:t>
      </w:r>
      <w:r w:rsidRPr="00F463BC">
        <w:rPr>
          <w:rFonts w:ascii="Arial" w:hAnsi="Arial" w:cs="Arial"/>
          <w:sz w:val="22"/>
          <w:szCs w:val="22"/>
        </w:rPr>
        <w:t> 36(10) of the Act, of at least five members of which a</w:t>
      </w:r>
      <w:r w:rsidR="002C2A80" w:rsidRPr="00F463BC">
        <w:rPr>
          <w:rFonts w:ascii="Arial" w:hAnsi="Arial" w:cs="Arial"/>
          <w:sz w:val="22"/>
          <w:szCs w:val="22"/>
        </w:rPr>
        <w:t>t least two are members of the board of t</w:t>
      </w:r>
      <w:r w:rsidRPr="00F463BC">
        <w:rPr>
          <w:rFonts w:ascii="Arial" w:hAnsi="Arial" w:cs="Arial"/>
          <w:sz w:val="22"/>
          <w:szCs w:val="22"/>
        </w:rPr>
        <w:t xml:space="preserve">rustees and of which the majority are not officers of the medical scheme or the third party administrator, the controlling company of the administrator or any subsidiary of its </w:t>
      </w:r>
      <w:r w:rsidRPr="00F463BC">
        <w:rPr>
          <w:rFonts w:ascii="Arial" w:hAnsi="Arial" w:cs="Arial"/>
          <w:sz w:val="22"/>
          <w:szCs w:val="22"/>
        </w:rPr>
        <w:lastRenderedPageBreak/>
        <w:t>controlling company (</w:t>
      </w:r>
      <w:r w:rsidR="004C23DA" w:rsidRPr="00F463BC">
        <w:rPr>
          <w:rFonts w:ascii="Arial" w:hAnsi="Arial" w:cs="Arial"/>
          <w:sz w:val="22"/>
          <w:szCs w:val="22"/>
        </w:rPr>
        <w:t>section</w:t>
      </w:r>
      <w:r w:rsidRPr="00F463BC">
        <w:rPr>
          <w:rFonts w:ascii="Arial" w:hAnsi="Arial" w:cs="Arial"/>
          <w:sz w:val="22"/>
          <w:szCs w:val="22"/>
        </w:rPr>
        <w:t xml:space="preserve"> 36(11)</w:t>
      </w:r>
      <w:r w:rsidR="0042602D" w:rsidRPr="00F463BC">
        <w:rPr>
          <w:rFonts w:ascii="Arial" w:hAnsi="Arial" w:cs="Arial"/>
          <w:sz w:val="22"/>
          <w:szCs w:val="22"/>
        </w:rPr>
        <w:t>)</w:t>
      </w:r>
      <w:r w:rsidRPr="00F463BC">
        <w:rPr>
          <w:rFonts w:ascii="Arial" w:hAnsi="Arial" w:cs="Arial"/>
          <w:sz w:val="22"/>
          <w:szCs w:val="22"/>
        </w:rPr>
        <w:t xml:space="preserve">, or exemption </w:t>
      </w:r>
      <w:r w:rsidR="009460CB" w:rsidRPr="00F463BC">
        <w:rPr>
          <w:rFonts w:ascii="Arial" w:hAnsi="Arial" w:cs="Arial"/>
          <w:sz w:val="22"/>
          <w:szCs w:val="22"/>
        </w:rPr>
        <w:t>was</w:t>
      </w:r>
      <w:r w:rsidRPr="00F463BC">
        <w:rPr>
          <w:rFonts w:ascii="Arial" w:hAnsi="Arial" w:cs="Arial"/>
          <w:sz w:val="22"/>
          <w:szCs w:val="22"/>
        </w:rPr>
        <w:t xml:space="preserve"> obtained in terms of </w:t>
      </w:r>
      <w:r w:rsidR="004C23DA" w:rsidRPr="00F463BC">
        <w:rPr>
          <w:rFonts w:ascii="Arial" w:hAnsi="Arial" w:cs="Arial"/>
          <w:sz w:val="22"/>
          <w:szCs w:val="22"/>
        </w:rPr>
        <w:t>section</w:t>
      </w:r>
      <w:r w:rsidRPr="00F463BC">
        <w:rPr>
          <w:rFonts w:ascii="Arial" w:hAnsi="Arial" w:cs="Arial"/>
          <w:sz w:val="22"/>
          <w:szCs w:val="22"/>
        </w:rPr>
        <w:t xml:space="preserve"> 36(13) of the Act;</w:t>
      </w:r>
    </w:p>
    <w:p w:rsidR="004A19DD"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medical scheme </w:t>
      </w:r>
      <w:r w:rsidR="009460CB" w:rsidRPr="00F463BC">
        <w:rPr>
          <w:rFonts w:ascii="Arial" w:hAnsi="Arial" w:cs="Arial"/>
          <w:sz w:val="22"/>
          <w:szCs w:val="22"/>
        </w:rPr>
        <w:t>did</w:t>
      </w:r>
      <w:r w:rsidRPr="00F463BC">
        <w:rPr>
          <w:rFonts w:ascii="Arial" w:hAnsi="Arial" w:cs="Arial"/>
          <w:sz w:val="22"/>
          <w:szCs w:val="22"/>
        </w:rPr>
        <w:t xml:space="preserve"> not conduct any declared undesirable business practices</w:t>
      </w:r>
      <w:r w:rsidR="00604CBB" w:rsidRPr="00F463BC">
        <w:rPr>
          <w:rFonts w:ascii="Arial" w:hAnsi="Arial" w:cs="Arial"/>
          <w:sz w:val="22"/>
          <w:szCs w:val="22"/>
        </w:rPr>
        <w:t xml:space="preserve"> (</w:t>
      </w:r>
      <w:r w:rsidR="004C23DA" w:rsidRPr="00F463BC">
        <w:rPr>
          <w:rFonts w:ascii="Arial" w:hAnsi="Arial" w:cs="Arial"/>
          <w:sz w:val="22"/>
          <w:szCs w:val="22"/>
        </w:rPr>
        <w:t>section</w:t>
      </w:r>
      <w:r w:rsidR="00E80C17" w:rsidRPr="00F463BC">
        <w:rPr>
          <w:rFonts w:ascii="Arial" w:hAnsi="Arial" w:cs="Arial"/>
          <w:sz w:val="22"/>
          <w:szCs w:val="22"/>
        </w:rPr>
        <w:t> </w:t>
      </w:r>
      <w:r w:rsidR="00604CBB" w:rsidRPr="00F463BC">
        <w:rPr>
          <w:rFonts w:ascii="Arial" w:hAnsi="Arial" w:cs="Arial"/>
          <w:sz w:val="22"/>
          <w:szCs w:val="22"/>
        </w:rPr>
        <w:t>61)</w:t>
      </w:r>
      <w:r w:rsidR="0041156F" w:rsidRPr="00F463BC">
        <w:rPr>
          <w:rFonts w:ascii="Arial" w:hAnsi="Arial" w:cs="Arial"/>
          <w:sz w:val="22"/>
          <w:szCs w:val="22"/>
        </w:rPr>
        <w:t xml:space="preserve"> (reference should be</w:t>
      </w:r>
      <w:r w:rsidR="00CA7AAF" w:rsidRPr="00F463BC">
        <w:rPr>
          <w:rFonts w:ascii="Arial" w:hAnsi="Arial" w:cs="Arial"/>
          <w:sz w:val="22"/>
          <w:szCs w:val="22"/>
        </w:rPr>
        <w:t xml:space="preserve"> made to Government Gazette No. </w:t>
      </w:r>
      <w:r w:rsidR="0041156F" w:rsidRPr="00F463BC">
        <w:rPr>
          <w:rFonts w:ascii="Arial" w:hAnsi="Arial" w:cs="Arial"/>
          <w:sz w:val="22"/>
          <w:szCs w:val="22"/>
        </w:rPr>
        <w:t>26516)</w:t>
      </w:r>
      <w:r w:rsidRPr="00F463BC">
        <w:rPr>
          <w:rFonts w:ascii="Arial" w:hAnsi="Arial" w:cs="Arial"/>
          <w:sz w:val="22"/>
          <w:szCs w:val="22"/>
        </w:rPr>
        <w:t>;</w:t>
      </w:r>
    </w:p>
    <w:p w:rsidR="00BB5057"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w:t>
      </w:r>
      <w:r w:rsidR="004A19DD" w:rsidRPr="00F463BC">
        <w:rPr>
          <w:rFonts w:ascii="Arial" w:hAnsi="Arial" w:cs="Arial"/>
          <w:sz w:val="22"/>
          <w:szCs w:val="22"/>
        </w:rPr>
        <w:t xml:space="preserve">cheme </w:t>
      </w:r>
      <w:r w:rsidR="009460CB" w:rsidRPr="00F463BC">
        <w:rPr>
          <w:rFonts w:ascii="Arial" w:hAnsi="Arial" w:cs="Arial"/>
          <w:sz w:val="22"/>
          <w:szCs w:val="22"/>
        </w:rPr>
        <w:t>did</w:t>
      </w:r>
      <w:r w:rsidRPr="00F463BC">
        <w:rPr>
          <w:rFonts w:ascii="Arial" w:hAnsi="Arial" w:cs="Arial"/>
          <w:sz w:val="22"/>
          <w:szCs w:val="22"/>
        </w:rPr>
        <w:t xml:space="preserve"> not </w:t>
      </w:r>
      <w:r w:rsidR="004A19DD" w:rsidRPr="00F463BC">
        <w:rPr>
          <w:rFonts w:ascii="Arial" w:hAnsi="Arial" w:cs="Arial"/>
          <w:sz w:val="22"/>
          <w:szCs w:val="22"/>
        </w:rPr>
        <w:t>carry on any other business</w:t>
      </w:r>
      <w:r w:rsidR="00653E75" w:rsidRPr="00F463BC">
        <w:rPr>
          <w:rFonts w:ascii="Arial" w:hAnsi="Arial" w:cs="Arial"/>
          <w:sz w:val="22"/>
          <w:szCs w:val="22"/>
        </w:rPr>
        <w:t xml:space="preserve"> other than the business of a medical scheme</w:t>
      </w:r>
      <w:r w:rsidR="004A19DD" w:rsidRPr="00F463BC">
        <w:rPr>
          <w:rFonts w:ascii="Arial" w:hAnsi="Arial" w:cs="Arial"/>
          <w:sz w:val="22"/>
          <w:szCs w:val="22"/>
        </w:rPr>
        <w:t xml:space="preserve"> (</w:t>
      </w:r>
      <w:r w:rsidR="004C23DA" w:rsidRPr="00F463BC">
        <w:rPr>
          <w:rFonts w:ascii="Arial" w:hAnsi="Arial" w:cs="Arial"/>
          <w:sz w:val="22"/>
          <w:szCs w:val="22"/>
        </w:rPr>
        <w:t>section</w:t>
      </w:r>
      <w:r w:rsidRPr="00F463BC">
        <w:rPr>
          <w:rFonts w:ascii="Arial" w:hAnsi="Arial" w:cs="Arial"/>
          <w:sz w:val="22"/>
          <w:szCs w:val="22"/>
        </w:rPr>
        <w:t> </w:t>
      </w:r>
      <w:r w:rsidR="004A19DD" w:rsidRPr="00F463BC">
        <w:rPr>
          <w:rFonts w:ascii="Arial" w:hAnsi="Arial" w:cs="Arial"/>
          <w:sz w:val="22"/>
          <w:szCs w:val="22"/>
        </w:rPr>
        <w:t>26(11));</w:t>
      </w:r>
      <w:r w:rsidR="00BB5057" w:rsidRPr="00F463BC">
        <w:rPr>
          <w:rFonts w:ascii="Arial" w:hAnsi="Arial" w:cs="Arial"/>
          <w:sz w:val="22"/>
          <w:szCs w:val="22"/>
        </w:rPr>
        <w:t xml:space="preserve"> </w:t>
      </w:r>
    </w:p>
    <w:p w:rsidR="002F7594" w:rsidRPr="00F463BC" w:rsidRDefault="002F7594"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No funds were ring-fenced (Regulation 4(4)</w:t>
      </w:r>
      <w:r w:rsidR="00D050D8" w:rsidRPr="00F463BC">
        <w:rPr>
          <w:rFonts w:ascii="Arial" w:hAnsi="Arial" w:cs="Arial"/>
          <w:sz w:val="22"/>
          <w:szCs w:val="22"/>
        </w:rPr>
        <w:t>)</w:t>
      </w:r>
      <w:r w:rsidRPr="00F463BC">
        <w:rPr>
          <w:rFonts w:ascii="Arial" w:hAnsi="Arial" w:cs="Arial"/>
          <w:sz w:val="22"/>
          <w:szCs w:val="22"/>
        </w:rPr>
        <w:t>;</w:t>
      </w:r>
    </w:p>
    <w:p w:rsidR="006D560E" w:rsidRPr="00F463BC" w:rsidRDefault="006D560E" w:rsidP="00B82F08">
      <w:pPr>
        <w:pStyle w:val="Bulletsa"/>
        <w:spacing w:before="0" w:line="271" w:lineRule="auto"/>
        <w:ind w:left="426"/>
        <w:rPr>
          <w:rFonts w:ascii="Arial" w:hAnsi="Arial" w:cs="Arial"/>
          <w:sz w:val="22"/>
          <w:szCs w:val="22"/>
        </w:rPr>
      </w:pPr>
    </w:p>
    <w:p w:rsidR="00653E75" w:rsidRPr="00F463BC" w:rsidRDefault="00653E75" w:rsidP="00B82F08">
      <w:pPr>
        <w:spacing w:before="0" w:line="271" w:lineRule="auto"/>
        <w:rPr>
          <w:rFonts w:ascii="Arial" w:hAnsi="Arial" w:cs="Arial"/>
          <w:sz w:val="22"/>
          <w:szCs w:val="22"/>
        </w:rPr>
      </w:pPr>
      <w:bookmarkStart w:id="334" w:name="_Toc277749825"/>
      <w:bookmarkStart w:id="335" w:name="_Toc277750696"/>
      <w:bookmarkStart w:id="336" w:name="_Toc277750877"/>
      <w:bookmarkStart w:id="337" w:name="_Toc300572988"/>
      <w:bookmarkStart w:id="338" w:name="_Toc304897955"/>
      <w:bookmarkStart w:id="339" w:name="_Toc305083383"/>
      <w:r w:rsidRPr="00F463BC">
        <w:rPr>
          <w:rFonts w:ascii="Arial" w:hAnsi="Arial" w:cs="Arial"/>
          <w:b/>
          <w:sz w:val="22"/>
          <w:szCs w:val="22"/>
        </w:rPr>
        <w:t>Membership</w:t>
      </w:r>
      <w:bookmarkEnd w:id="334"/>
      <w:bookmarkEnd w:id="335"/>
      <w:bookmarkEnd w:id="336"/>
      <w:bookmarkEnd w:id="337"/>
      <w:bookmarkEnd w:id="338"/>
      <w:bookmarkEnd w:id="339"/>
    </w:p>
    <w:p w:rsidR="002F7594" w:rsidRPr="00F463BC" w:rsidRDefault="002F7594"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ha</w:t>
      </w:r>
      <w:r w:rsidR="009460CB" w:rsidRPr="00F463BC">
        <w:rPr>
          <w:rFonts w:ascii="Arial" w:hAnsi="Arial" w:cs="Arial"/>
          <w:sz w:val="22"/>
          <w:szCs w:val="22"/>
        </w:rPr>
        <w:t>d</w:t>
      </w:r>
      <w:r w:rsidRPr="00F463BC">
        <w:rPr>
          <w:rFonts w:ascii="Arial" w:hAnsi="Arial" w:cs="Arial"/>
          <w:sz w:val="22"/>
          <w:szCs w:val="22"/>
        </w:rPr>
        <w:t xml:space="preserve"> more than 6 000 members (Regulation 2(3));</w:t>
      </w:r>
    </w:p>
    <w:p w:rsidR="00653E75" w:rsidRPr="00F463BC" w:rsidRDefault="00653E7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General and specific waiting periods </w:t>
      </w:r>
      <w:r w:rsidR="009460CB" w:rsidRPr="00F463BC">
        <w:rPr>
          <w:rFonts w:ascii="Arial" w:hAnsi="Arial" w:cs="Arial"/>
          <w:sz w:val="22"/>
          <w:szCs w:val="22"/>
        </w:rPr>
        <w:t>were</w:t>
      </w:r>
      <w:r w:rsidRPr="00F463BC">
        <w:rPr>
          <w:rFonts w:ascii="Arial" w:hAnsi="Arial" w:cs="Arial"/>
          <w:sz w:val="22"/>
          <w:szCs w:val="22"/>
        </w:rPr>
        <w:t xml:space="preserve"> applied in accordance with the conditions imposed by </w:t>
      </w:r>
      <w:r w:rsidR="004C23DA" w:rsidRPr="00F463BC">
        <w:rPr>
          <w:rFonts w:ascii="Arial" w:hAnsi="Arial" w:cs="Arial"/>
          <w:sz w:val="22"/>
          <w:szCs w:val="22"/>
        </w:rPr>
        <w:t>section</w:t>
      </w:r>
      <w:r w:rsidRPr="00F463BC">
        <w:rPr>
          <w:rFonts w:ascii="Arial" w:hAnsi="Arial" w:cs="Arial"/>
          <w:sz w:val="22"/>
          <w:szCs w:val="22"/>
        </w:rPr>
        <w:t xml:space="preserve"> 29A;</w:t>
      </w:r>
    </w:p>
    <w:p w:rsidR="004866AD" w:rsidRPr="00F463BC" w:rsidRDefault="004866AD" w:rsidP="00B82F08">
      <w:pPr>
        <w:spacing w:before="0" w:line="271" w:lineRule="auto"/>
        <w:rPr>
          <w:rFonts w:ascii="Arial" w:hAnsi="Arial" w:cs="Arial"/>
          <w:sz w:val="22"/>
          <w:szCs w:val="22"/>
        </w:rPr>
      </w:pPr>
      <w:bookmarkStart w:id="340" w:name="_Toc277749826"/>
      <w:bookmarkStart w:id="341" w:name="_Toc277750697"/>
      <w:bookmarkStart w:id="342" w:name="_Toc277750878"/>
      <w:bookmarkStart w:id="343" w:name="_Toc300572989"/>
      <w:bookmarkStart w:id="344" w:name="_Toc304897956"/>
      <w:bookmarkStart w:id="345" w:name="_Toc305083384"/>
    </w:p>
    <w:p w:rsidR="005C3B1C" w:rsidRPr="00F463BC" w:rsidRDefault="005C3B1C" w:rsidP="00B82F08">
      <w:pPr>
        <w:spacing w:before="0" w:line="271" w:lineRule="auto"/>
        <w:rPr>
          <w:rFonts w:ascii="Arial" w:hAnsi="Arial" w:cs="Arial"/>
          <w:sz w:val="22"/>
          <w:szCs w:val="22"/>
        </w:rPr>
      </w:pPr>
      <w:r w:rsidRPr="00F463BC">
        <w:rPr>
          <w:rFonts w:ascii="Arial" w:hAnsi="Arial" w:cs="Arial"/>
          <w:b/>
          <w:sz w:val="22"/>
          <w:szCs w:val="22"/>
        </w:rPr>
        <w:t>Benefit options</w:t>
      </w:r>
      <w:bookmarkEnd w:id="340"/>
      <w:bookmarkEnd w:id="341"/>
      <w:bookmarkEnd w:id="342"/>
      <w:bookmarkEnd w:id="343"/>
      <w:bookmarkEnd w:id="344"/>
      <w:bookmarkEnd w:id="345"/>
    </w:p>
    <w:p w:rsidR="005C3B1C" w:rsidRPr="00F463BC" w:rsidRDefault="0042602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c</w:t>
      </w:r>
      <w:r w:rsidR="005C3B1C" w:rsidRPr="00F463BC">
        <w:rPr>
          <w:rFonts w:ascii="Arial" w:hAnsi="Arial" w:cs="Arial"/>
          <w:sz w:val="22"/>
          <w:szCs w:val="22"/>
        </w:rPr>
        <w:t xml:space="preserve">ontribution rates and member benefits per benefit option as contained in the </w:t>
      </w:r>
      <w:r w:rsidR="00EA3C6A" w:rsidRPr="00F463BC">
        <w:rPr>
          <w:rFonts w:ascii="Arial" w:hAnsi="Arial" w:cs="Arial"/>
          <w:sz w:val="22"/>
          <w:szCs w:val="22"/>
        </w:rPr>
        <w:t>Rule</w:t>
      </w:r>
      <w:r w:rsidR="005C3B1C" w:rsidRPr="00F463BC">
        <w:rPr>
          <w:rFonts w:ascii="Arial" w:hAnsi="Arial" w:cs="Arial"/>
          <w:sz w:val="22"/>
          <w:szCs w:val="22"/>
        </w:rPr>
        <w:t xml:space="preserve">s </w:t>
      </w:r>
      <w:r w:rsidR="009460CB" w:rsidRPr="00F463BC">
        <w:rPr>
          <w:rFonts w:ascii="Arial" w:hAnsi="Arial" w:cs="Arial"/>
          <w:sz w:val="22"/>
          <w:szCs w:val="22"/>
        </w:rPr>
        <w:t>were</w:t>
      </w:r>
      <w:r w:rsidR="005C3B1C" w:rsidRPr="00F463BC">
        <w:rPr>
          <w:rFonts w:ascii="Arial" w:hAnsi="Arial" w:cs="Arial"/>
          <w:sz w:val="22"/>
          <w:szCs w:val="22"/>
        </w:rPr>
        <w:t xml:space="preserve"> registered and approved by the Registrar, and such approval has not been withdrawn (</w:t>
      </w:r>
      <w:r w:rsidR="004C23DA" w:rsidRPr="00F463BC">
        <w:rPr>
          <w:rFonts w:ascii="Arial" w:hAnsi="Arial" w:cs="Arial"/>
          <w:sz w:val="22"/>
          <w:szCs w:val="22"/>
        </w:rPr>
        <w:t>section</w:t>
      </w:r>
      <w:r w:rsidR="005C3B1C" w:rsidRPr="00F463BC">
        <w:rPr>
          <w:rFonts w:ascii="Arial" w:hAnsi="Arial" w:cs="Arial"/>
          <w:sz w:val="22"/>
          <w:szCs w:val="22"/>
        </w:rPr>
        <w:t xml:space="preserve"> 33); </w:t>
      </w:r>
    </w:p>
    <w:p w:rsidR="005C3B1C" w:rsidRPr="00F463BC" w:rsidRDefault="005C3B1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Separate accounting records </w:t>
      </w:r>
      <w:r w:rsidR="009460CB" w:rsidRPr="00F463BC">
        <w:rPr>
          <w:rFonts w:ascii="Arial" w:hAnsi="Arial" w:cs="Arial"/>
          <w:sz w:val="22"/>
          <w:szCs w:val="22"/>
        </w:rPr>
        <w:t>were</w:t>
      </w:r>
      <w:r w:rsidR="0042602D" w:rsidRPr="00F463BC">
        <w:rPr>
          <w:rFonts w:ascii="Arial" w:hAnsi="Arial" w:cs="Arial"/>
          <w:sz w:val="22"/>
          <w:szCs w:val="22"/>
        </w:rPr>
        <w:t xml:space="preserve"> </w:t>
      </w:r>
      <w:r w:rsidRPr="00F463BC">
        <w:rPr>
          <w:rFonts w:ascii="Arial" w:hAnsi="Arial" w:cs="Arial"/>
          <w:sz w:val="22"/>
          <w:szCs w:val="22"/>
        </w:rPr>
        <w:t>maintained in respect of</w:t>
      </w:r>
      <w:r w:rsidR="004E5AB0" w:rsidRPr="00F463BC">
        <w:rPr>
          <w:rFonts w:ascii="Arial" w:hAnsi="Arial" w:cs="Arial"/>
          <w:sz w:val="22"/>
          <w:szCs w:val="22"/>
        </w:rPr>
        <w:t xml:space="preserve"> each benefit option offered, a</w:t>
      </w:r>
      <w:r w:rsidRPr="00F463BC">
        <w:rPr>
          <w:rFonts w:ascii="Arial" w:hAnsi="Arial" w:cs="Arial"/>
          <w:sz w:val="22"/>
          <w:szCs w:val="22"/>
        </w:rPr>
        <w:t>n</w:t>
      </w:r>
      <w:r w:rsidR="004E5AB0" w:rsidRPr="00F463BC">
        <w:rPr>
          <w:rFonts w:ascii="Arial" w:hAnsi="Arial" w:cs="Arial"/>
          <w:sz w:val="22"/>
          <w:szCs w:val="22"/>
        </w:rPr>
        <w:t>d</w:t>
      </w:r>
      <w:r w:rsidRPr="00F463BC">
        <w:rPr>
          <w:rFonts w:ascii="Arial" w:hAnsi="Arial" w:cs="Arial"/>
          <w:sz w:val="22"/>
          <w:szCs w:val="22"/>
        </w:rPr>
        <w:t xml:space="preserve"> it </w:t>
      </w:r>
      <w:r w:rsidR="009460CB" w:rsidRPr="00F463BC">
        <w:rPr>
          <w:rFonts w:ascii="Arial" w:hAnsi="Arial" w:cs="Arial"/>
          <w:sz w:val="22"/>
          <w:szCs w:val="22"/>
        </w:rPr>
        <w:t>was</w:t>
      </w:r>
      <w:r w:rsidRPr="00F463BC">
        <w:rPr>
          <w:rFonts w:ascii="Arial" w:hAnsi="Arial" w:cs="Arial"/>
          <w:sz w:val="22"/>
          <w:szCs w:val="22"/>
        </w:rPr>
        <w:t xml:space="preserve"> adequately disclosed in the annual financial statements (</w:t>
      </w:r>
      <w:r w:rsidR="004C23DA" w:rsidRPr="00F463BC">
        <w:rPr>
          <w:rFonts w:ascii="Arial" w:hAnsi="Arial" w:cs="Arial"/>
          <w:sz w:val="22"/>
          <w:szCs w:val="22"/>
        </w:rPr>
        <w:t>section</w:t>
      </w:r>
      <w:r w:rsidR="0042602D" w:rsidRPr="00F463BC">
        <w:rPr>
          <w:rFonts w:ascii="Arial" w:hAnsi="Arial" w:cs="Arial"/>
          <w:sz w:val="22"/>
          <w:szCs w:val="22"/>
        </w:rPr>
        <w:t> </w:t>
      </w:r>
      <w:r w:rsidRPr="00F463BC">
        <w:rPr>
          <w:rFonts w:ascii="Arial" w:hAnsi="Arial" w:cs="Arial"/>
          <w:sz w:val="22"/>
          <w:szCs w:val="22"/>
        </w:rPr>
        <w:t>37(4)(d));</w:t>
      </w:r>
    </w:p>
    <w:p w:rsidR="006D560E" w:rsidRPr="00F463BC" w:rsidRDefault="006D560E" w:rsidP="00B82F08">
      <w:pPr>
        <w:pStyle w:val="Bulletsa"/>
        <w:spacing w:before="0" w:line="271" w:lineRule="auto"/>
        <w:ind w:left="426"/>
        <w:rPr>
          <w:rFonts w:ascii="Arial" w:hAnsi="Arial" w:cs="Arial"/>
          <w:sz w:val="22"/>
          <w:szCs w:val="22"/>
        </w:rPr>
      </w:pPr>
    </w:p>
    <w:p w:rsidR="00604CBB" w:rsidRPr="00F463BC" w:rsidRDefault="00604CBB" w:rsidP="00B82F08">
      <w:pPr>
        <w:spacing w:before="0" w:line="271" w:lineRule="auto"/>
        <w:rPr>
          <w:rFonts w:ascii="Arial" w:hAnsi="Arial" w:cs="Arial"/>
          <w:sz w:val="22"/>
          <w:szCs w:val="22"/>
        </w:rPr>
      </w:pPr>
      <w:bookmarkStart w:id="346" w:name="_Toc277749827"/>
      <w:bookmarkStart w:id="347" w:name="_Toc277750698"/>
      <w:bookmarkStart w:id="348" w:name="_Toc277750879"/>
      <w:bookmarkStart w:id="349" w:name="_Toc300572990"/>
      <w:bookmarkStart w:id="350" w:name="_Toc304897957"/>
      <w:bookmarkStart w:id="351" w:name="_Toc305083385"/>
      <w:r w:rsidRPr="00F463BC">
        <w:rPr>
          <w:rFonts w:ascii="Arial" w:hAnsi="Arial" w:cs="Arial"/>
          <w:b/>
          <w:sz w:val="22"/>
          <w:szCs w:val="22"/>
        </w:rPr>
        <w:t>Administration agreements</w:t>
      </w:r>
      <w:bookmarkEnd w:id="346"/>
      <w:bookmarkEnd w:id="347"/>
      <w:bookmarkEnd w:id="348"/>
      <w:bookmarkEnd w:id="349"/>
      <w:bookmarkEnd w:id="350"/>
      <w:bookmarkEnd w:id="351"/>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written administration agreement adhere</w:t>
      </w:r>
      <w:r w:rsidR="009460CB" w:rsidRPr="00F463BC">
        <w:rPr>
          <w:rFonts w:ascii="Arial" w:hAnsi="Arial" w:cs="Arial"/>
          <w:sz w:val="22"/>
          <w:szCs w:val="22"/>
        </w:rPr>
        <w:t>d</w:t>
      </w:r>
      <w:r w:rsidRPr="00F463BC">
        <w:rPr>
          <w:rFonts w:ascii="Arial" w:hAnsi="Arial" w:cs="Arial"/>
          <w:sz w:val="22"/>
          <w:szCs w:val="22"/>
        </w:rPr>
        <w:t xml:space="preserve"> to the requirements imposed by Regulation 18; </w:t>
      </w:r>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In the event that the administration agreement </w:t>
      </w:r>
      <w:r w:rsidR="009460CB" w:rsidRPr="00F463BC">
        <w:rPr>
          <w:rFonts w:ascii="Arial" w:hAnsi="Arial" w:cs="Arial"/>
          <w:sz w:val="22"/>
          <w:szCs w:val="22"/>
        </w:rPr>
        <w:t>was</w:t>
      </w:r>
      <w:r w:rsidRPr="00F463BC">
        <w:rPr>
          <w:rFonts w:ascii="Arial" w:hAnsi="Arial" w:cs="Arial"/>
          <w:sz w:val="22"/>
          <w:szCs w:val="22"/>
        </w:rPr>
        <w:t xml:space="preserve"> terminated, such termination adhered to the requirements imposed by Regulation 19;</w:t>
      </w:r>
    </w:p>
    <w:p w:rsidR="007A2AA7" w:rsidRPr="00F463BC" w:rsidRDefault="007A2AA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On appointing a new administrator, such appointment adhere</w:t>
      </w:r>
      <w:r w:rsidR="000B53C1" w:rsidRPr="00F463BC">
        <w:rPr>
          <w:rFonts w:ascii="Arial" w:hAnsi="Arial" w:cs="Arial"/>
          <w:sz w:val="22"/>
          <w:szCs w:val="22"/>
        </w:rPr>
        <w:t>s</w:t>
      </w:r>
      <w:r w:rsidRPr="00F463BC">
        <w:rPr>
          <w:rFonts w:ascii="Arial" w:hAnsi="Arial" w:cs="Arial"/>
          <w:sz w:val="22"/>
          <w:szCs w:val="22"/>
        </w:rPr>
        <w:t xml:space="preserve"> to the requirements of  Board Notice 73 of 2004;</w:t>
      </w:r>
    </w:p>
    <w:p w:rsidR="006D560E" w:rsidRPr="00F463BC" w:rsidRDefault="006D560E" w:rsidP="00B82F08">
      <w:pPr>
        <w:pStyle w:val="Bulletsa"/>
        <w:spacing w:before="0" w:line="271" w:lineRule="auto"/>
        <w:ind w:left="426"/>
        <w:rPr>
          <w:rFonts w:ascii="Arial" w:hAnsi="Arial" w:cs="Arial"/>
          <w:sz w:val="22"/>
          <w:szCs w:val="22"/>
        </w:rPr>
      </w:pPr>
    </w:p>
    <w:p w:rsidR="00604CBB" w:rsidRPr="00F463BC" w:rsidRDefault="00604CBB" w:rsidP="00B82F08">
      <w:pPr>
        <w:spacing w:before="0" w:line="271" w:lineRule="auto"/>
        <w:rPr>
          <w:rFonts w:ascii="Arial" w:hAnsi="Arial" w:cs="Arial"/>
          <w:sz w:val="22"/>
          <w:szCs w:val="22"/>
        </w:rPr>
      </w:pPr>
      <w:bookmarkStart w:id="352" w:name="_Toc277749828"/>
      <w:bookmarkStart w:id="353" w:name="_Toc277750699"/>
      <w:bookmarkStart w:id="354" w:name="_Toc277750880"/>
      <w:bookmarkStart w:id="355" w:name="_Toc300572991"/>
      <w:bookmarkStart w:id="356" w:name="_Toc304897958"/>
      <w:bookmarkStart w:id="357" w:name="_Toc305083386"/>
      <w:r w:rsidRPr="00F463BC">
        <w:rPr>
          <w:rFonts w:ascii="Arial" w:hAnsi="Arial" w:cs="Arial"/>
          <w:b/>
          <w:sz w:val="22"/>
          <w:szCs w:val="22"/>
        </w:rPr>
        <w:t>Managed care agreements (managed care</w:t>
      </w:r>
      <w:r w:rsidR="00E43DE4" w:rsidRPr="00F463BC">
        <w:rPr>
          <w:rFonts w:ascii="Arial" w:hAnsi="Arial" w:cs="Arial"/>
          <w:b/>
          <w:sz w:val="22"/>
          <w:szCs w:val="22"/>
        </w:rPr>
        <w:t>/</w:t>
      </w:r>
      <w:r w:rsidR="00FF4D97" w:rsidRPr="00F463BC">
        <w:rPr>
          <w:rFonts w:ascii="Arial" w:hAnsi="Arial" w:cs="Arial"/>
          <w:b/>
          <w:sz w:val="22"/>
          <w:szCs w:val="22"/>
        </w:rPr>
        <w:t>healthcare services</w:t>
      </w:r>
      <w:r w:rsidRPr="00F463BC">
        <w:rPr>
          <w:rFonts w:ascii="Arial" w:hAnsi="Arial" w:cs="Arial"/>
          <w:b/>
          <w:sz w:val="22"/>
          <w:szCs w:val="22"/>
        </w:rPr>
        <w:t xml:space="preserve"> and managed care management services)</w:t>
      </w:r>
      <w:bookmarkEnd w:id="352"/>
      <w:bookmarkEnd w:id="353"/>
      <w:bookmarkEnd w:id="354"/>
      <w:bookmarkEnd w:id="355"/>
      <w:bookmarkEnd w:id="356"/>
      <w:bookmarkEnd w:id="357"/>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All managed care agreements adhere</w:t>
      </w:r>
      <w:r w:rsidR="009460CB" w:rsidRPr="00F463BC">
        <w:rPr>
          <w:rFonts w:ascii="Arial" w:hAnsi="Arial" w:cs="Arial"/>
          <w:sz w:val="22"/>
          <w:szCs w:val="22"/>
        </w:rPr>
        <w:t>d</w:t>
      </w:r>
      <w:r w:rsidRPr="00F463BC">
        <w:rPr>
          <w:rFonts w:ascii="Arial" w:hAnsi="Arial" w:cs="Arial"/>
          <w:sz w:val="22"/>
          <w:szCs w:val="22"/>
        </w:rPr>
        <w:t xml:space="preserve"> to the provisions imposed by Regulation</w:t>
      </w:r>
      <w:r w:rsidR="00E67B19" w:rsidRPr="00F463BC">
        <w:rPr>
          <w:rFonts w:ascii="Arial" w:hAnsi="Arial" w:cs="Arial"/>
          <w:sz w:val="22"/>
          <w:szCs w:val="22"/>
        </w:rPr>
        <w:t> </w:t>
      </w:r>
      <w:r w:rsidRPr="00F463BC">
        <w:rPr>
          <w:rFonts w:ascii="Arial" w:hAnsi="Arial" w:cs="Arial"/>
          <w:sz w:val="22"/>
          <w:szCs w:val="22"/>
        </w:rPr>
        <w:t xml:space="preserve">15; </w:t>
      </w:r>
    </w:p>
    <w:p w:rsidR="006D560E" w:rsidRPr="00F463BC" w:rsidRDefault="006D560E" w:rsidP="00B82F08">
      <w:pPr>
        <w:pStyle w:val="Bulletsa"/>
        <w:spacing w:before="0" w:line="271" w:lineRule="auto"/>
        <w:ind w:left="426"/>
        <w:rPr>
          <w:rFonts w:ascii="Arial" w:hAnsi="Arial" w:cs="Arial"/>
          <w:sz w:val="22"/>
          <w:szCs w:val="22"/>
        </w:rPr>
      </w:pPr>
    </w:p>
    <w:p w:rsidR="00326CBD" w:rsidRPr="00F463BC" w:rsidRDefault="00326CBD" w:rsidP="00B82F08">
      <w:pPr>
        <w:keepNext/>
        <w:spacing w:before="0" w:line="271" w:lineRule="auto"/>
        <w:rPr>
          <w:rFonts w:ascii="Arial" w:hAnsi="Arial" w:cs="Arial"/>
          <w:sz w:val="22"/>
          <w:szCs w:val="22"/>
        </w:rPr>
      </w:pPr>
      <w:bookmarkStart w:id="358" w:name="_Toc277749829"/>
      <w:bookmarkStart w:id="359" w:name="_Toc277750700"/>
      <w:bookmarkStart w:id="360" w:name="_Toc277750881"/>
      <w:bookmarkStart w:id="361" w:name="_Toc300572992"/>
      <w:bookmarkStart w:id="362" w:name="_Toc304897959"/>
      <w:bookmarkStart w:id="363" w:name="_Toc305083387"/>
      <w:r w:rsidRPr="00F463BC">
        <w:rPr>
          <w:rFonts w:ascii="Arial" w:hAnsi="Arial" w:cs="Arial"/>
          <w:b/>
          <w:sz w:val="22"/>
          <w:szCs w:val="22"/>
        </w:rPr>
        <w:lastRenderedPageBreak/>
        <w:t>Contributions</w:t>
      </w:r>
      <w:bookmarkEnd w:id="358"/>
      <w:bookmarkEnd w:id="359"/>
      <w:bookmarkEnd w:id="360"/>
      <w:bookmarkEnd w:id="361"/>
      <w:bookmarkEnd w:id="362"/>
      <w:bookmarkEnd w:id="363"/>
    </w:p>
    <w:p w:rsidR="00F55595" w:rsidRPr="00F463BC" w:rsidRDefault="00F55595"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No person other than an employer received, held or in any manner dealt with the subscription or contribution that is payable to a medical scheme by, or on behalf of a member of that medical scheme (</w:t>
      </w:r>
      <w:r w:rsidR="004C23DA" w:rsidRPr="00F463BC">
        <w:rPr>
          <w:rFonts w:ascii="Arial" w:hAnsi="Arial" w:cs="Arial"/>
          <w:sz w:val="22"/>
          <w:szCs w:val="22"/>
        </w:rPr>
        <w:t>section</w:t>
      </w:r>
      <w:r w:rsidRPr="00F463BC">
        <w:rPr>
          <w:rFonts w:ascii="Arial" w:hAnsi="Arial" w:cs="Arial"/>
          <w:sz w:val="22"/>
          <w:szCs w:val="22"/>
        </w:rPr>
        <w:t xml:space="preserve"> 26(6));</w:t>
      </w:r>
    </w:p>
    <w:p w:rsidR="00BB5057"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All subscriptions or contributions </w:t>
      </w:r>
      <w:r w:rsidR="009460CB" w:rsidRPr="00F463BC">
        <w:rPr>
          <w:rFonts w:ascii="Arial" w:hAnsi="Arial" w:cs="Arial"/>
          <w:sz w:val="22"/>
          <w:szCs w:val="22"/>
        </w:rPr>
        <w:t>were</w:t>
      </w:r>
      <w:r w:rsidRPr="00F463BC">
        <w:rPr>
          <w:rFonts w:ascii="Arial" w:hAnsi="Arial" w:cs="Arial"/>
          <w:sz w:val="22"/>
          <w:szCs w:val="22"/>
        </w:rPr>
        <w:t xml:space="preserve"> paid directly to the </w:t>
      </w:r>
      <w:r w:rsidR="0035720B" w:rsidRPr="00F463BC">
        <w:rPr>
          <w:rFonts w:ascii="Arial" w:hAnsi="Arial" w:cs="Arial"/>
          <w:sz w:val="22"/>
          <w:szCs w:val="22"/>
        </w:rPr>
        <w:t>scheme</w:t>
      </w:r>
      <w:r w:rsidRPr="00F463BC">
        <w:rPr>
          <w:rFonts w:ascii="Arial" w:hAnsi="Arial" w:cs="Arial"/>
          <w:sz w:val="22"/>
          <w:szCs w:val="22"/>
        </w:rPr>
        <w:t xml:space="preserve"> within the specified period (</w:t>
      </w:r>
      <w:r w:rsidR="004C23DA" w:rsidRPr="00F463BC">
        <w:rPr>
          <w:rFonts w:ascii="Arial" w:hAnsi="Arial" w:cs="Arial"/>
          <w:sz w:val="22"/>
          <w:szCs w:val="22"/>
        </w:rPr>
        <w:t>section</w:t>
      </w:r>
      <w:r w:rsidRPr="00F463BC">
        <w:rPr>
          <w:rFonts w:ascii="Arial" w:hAnsi="Arial" w:cs="Arial"/>
          <w:sz w:val="22"/>
          <w:szCs w:val="22"/>
        </w:rPr>
        <w:t xml:space="preserve"> 26(7) and the scheme’s </w:t>
      </w:r>
      <w:r w:rsidR="00EA3C6A" w:rsidRPr="00F463BC">
        <w:rPr>
          <w:rFonts w:ascii="Arial" w:hAnsi="Arial" w:cs="Arial"/>
          <w:sz w:val="22"/>
          <w:szCs w:val="22"/>
        </w:rPr>
        <w:t>Rule</w:t>
      </w:r>
      <w:r w:rsidR="0035720B" w:rsidRPr="00F463BC">
        <w:rPr>
          <w:rFonts w:ascii="Arial" w:hAnsi="Arial" w:cs="Arial"/>
          <w:sz w:val="22"/>
          <w:szCs w:val="22"/>
        </w:rPr>
        <w:t>s</w:t>
      </w:r>
      <w:r w:rsidRPr="00F463BC">
        <w:rPr>
          <w:rFonts w:ascii="Arial" w:hAnsi="Arial" w:cs="Arial"/>
          <w:sz w:val="22"/>
          <w:szCs w:val="22"/>
        </w:rPr>
        <w:t>);</w:t>
      </w:r>
    </w:p>
    <w:p w:rsidR="00F55595" w:rsidRPr="00F463BC" w:rsidRDefault="00F5559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administrator deposited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of these </w:t>
      </w:r>
      <w:r w:rsidR="00E05AC8" w:rsidRPr="00F463BC">
        <w:rPr>
          <w:rFonts w:ascii="Arial" w:hAnsi="Arial" w:cs="Arial"/>
          <w:sz w:val="22"/>
          <w:szCs w:val="22"/>
        </w:rPr>
        <w:t>monies</w:t>
      </w:r>
      <w:r w:rsidRPr="00F463BC">
        <w:rPr>
          <w:rFonts w:ascii="Arial" w:hAnsi="Arial" w:cs="Arial"/>
          <w:sz w:val="22"/>
          <w:szCs w:val="22"/>
        </w:rPr>
        <w:t xml:space="preserve">, into a bank account opened in the name of the medical scheme. In the event of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w:t>
      </w:r>
      <w:r w:rsidR="009460CB" w:rsidRPr="00F463BC">
        <w:rPr>
          <w:rFonts w:ascii="Arial" w:hAnsi="Arial" w:cs="Arial"/>
          <w:sz w:val="22"/>
          <w:szCs w:val="22"/>
        </w:rPr>
        <w:t>were</w:t>
      </w:r>
      <w:r w:rsidRPr="00F463BC">
        <w:rPr>
          <w:rFonts w:ascii="Arial" w:hAnsi="Arial" w:cs="Arial"/>
          <w:sz w:val="22"/>
          <w:szCs w:val="22"/>
        </w:rPr>
        <w:t xml:space="preserv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ha</w:t>
      </w:r>
      <w:r w:rsidR="009460CB" w:rsidRPr="00F463BC">
        <w:rPr>
          <w:rFonts w:ascii="Arial" w:hAnsi="Arial" w:cs="Arial"/>
          <w:sz w:val="22"/>
          <w:szCs w:val="22"/>
        </w:rPr>
        <w:t>d</w:t>
      </w:r>
      <w:r w:rsidRPr="00F463BC">
        <w:rPr>
          <w:rFonts w:ascii="Arial" w:hAnsi="Arial" w:cs="Arial"/>
          <w:sz w:val="22"/>
          <w:szCs w:val="22"/>
        </w:rPr>
        <w:t xml:space="preserve"> at no time been deposited into any bank account other than that of the medical scheme (Regulation 23);</w:t>
      </w:r>
    </w:p>
    <w:p w:rsidR="006D560E" w:rsidRPr="00F463BC" w:rsidRDefault="006D560E" w:rsidP="00B82F08">
      <w:pPr>
        <w:pStyle w:val="Bulletsa"/>
        <w:spacing w:before="0" w:line="271" w:lineRule="auto"/>
        <w:ind w:left="426"/>
        <w:rPr>
          <w:rFonts w:ascii="Arial" w:hAnsi="Arial" w:cs="Arial"/>
          <w:sz w:val="22"/>
          <w:szCs w:val="22"/>
        </w:rPr>
      </w:pPr>
    </w:p>
    <w:p w:rsidR="00326CBD" w:rsidRPr="00F463BC" w:rsidRDefault="00326CBD" w:rsidP="00B82F08">
      <w:pPr>
        <w:keepNext/>
        <w:spacing w:before="0" w:line="271" w:lineRule="auto"/>
        <w:rPr>
          <w:rFonts w:ascii="Arial" w:hAnsi="Arial" w:cs="Arial"/>
          <w:sz w:val="22"/>
          <w:szCs w:val="22"/>
        </w:rPr>
      </w:pPr>
      <w:bookmarkStart w:id="364" w:name="_Toc277749830"/>
      <w:bookmarkStart w:id="365" w:name="_Toc277750701"/>
      <w:bookmarkStart w:id="366" w:name="_Toc277750882"/>
      <w:bookmarkStart w:id="367" w:name="_Toc300572993"/>
      <w:bookmarkStart w:id="368" w:name="_Toc304897960"/>
      <w:bookmarkStart w:id="369" w:name="_Toc305083388"/>
      <w:r w:rsidRPr="00F463BC">
        <w:rPr>
          <w:rFonts w:ascii="Arial" w:hAnsi="Arial" w:cs="Arial"/>
          <w:b/>
          <w:sz w:val="22"/>
          <w:szCs w:val="22"/>
        </w:rPr>
        <w:t>Relevant healthcare expenditure</w:t>
      </w:r>
      <w:bookmarkEnd w:id="364"/>
      <w:bookmarkEnd w:id="365"/>
      <w:bookmarkEnd w:id="366"/>
      <w:bookmarkEnd w:id="367"/>
      <w:bookmarkEnd w:id="368"/>
      <w:bookmarkEnd w:id="369"/>
    </w:p>
    <w:p w:rsidR="00BB5057"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Benefits </w:t>
      </w:r>
      <w:r w:rsidR="009460CB" w:rsidRPr="00F463BC">
        <w:rPr>
          <w:rFonts w:ascii="Arial" w:hAnsi="Arial" w:cs="Arial"/>
          <w:sz w:val="22"/>
          <w:szCs w:val="22"/>
        </w:rPr>
        <w:t xml:space="preserve">were </w:t>
      </w:r>
      <w:r w:rsidRPr="00F463BC">
        <w:rPr>
          <w:rFonts w:ascii="Arial" w:hAnsi="Arial" w:cs="Arial"/>
          <w:sz w:val="22"/>
          <w:szCs w:val="22"/>
        </w:rPr>
        <w:t>paid to member</w:t>
      </w:r>
      <w:r w:rsidR="009460CB" w:rsidRPr="00F463BC">
        <w:rPr>
          <w:rFonts w:ascii="Arial" w:hAnsi="Arial" w:cs="Arial"/>
          <w:sz w:val="22"/>
          <w:szCs w:val="22"/>
        </w:rPr>
        <w:t>s</w:t>
      </w:r>
      <w:r w:rsidRPr="00F463BC">
        <w:rPr>
          <w:rFonts w:ascii="Arial" w:hAnsi="Arial" w:cs="Arial"/>
          <w:sz w:val="22"/>
          <w:szCs w:val="22"/>
        </w:rPr>
        <w:t xml:space="preserve"> or supplier</w:t>
      </w:r>
      <w:r w:rsidR="009460CB" w:rsidRPr="00F463BC">
        <w:rPr>
          <w:rFonts w:ascii="Arial" w:hAnsi="Arial" w:cs="Arial"/>
          <w:sz w:val="22"/>
          <w:szCs w:val="22"/>
        </w:rPr>
        <w:t>s</w:t>
      </w:r>
      <w:r w:rsidRPr="00F463BC">
        <w:rPr>
          <w:rFonts w:ascii="Arial" w:hAnsi="Arial" w:cs="Arial"/>
          <w:sz w:val="22"/>
          <w:szCs w:val="22"/>
        </w:rPr>
        <w:t xml:space="preserve"> of service</w:t>
      </w:r>
      <w:r w:rsidR="009460CB" w:rsidRPr="00F463BC">
        <w:rPr>
          <w:rFonts w:ascii="Arial" w:hAnsi="Arial" w:cs="Arial"/>
          <w:sz w:val="22"/>
          <w:szCs w:val="22"/>
        </w:rPr>
        <w:t>s</w:t>
      </w:r>
      <w:r w:rsidRPr="00F463BC">
        <w:rPr>
          <w:rFonts w:ascii="Arial" w:hAnsi="Arial" w:cs="Arial"/>
          <w:sz w:val="22"/>
          <w:szCs w:val="22"/>
        </w:rPr>
        <w:t xml:space="preserve"> within 30 days after the receipt of the claims (</w:t>
      </w:r>
      <w:r w:rsidR="004C23DA" w:rsidRPr="00F463BC">
        <w:rPr>
          <w:rFonts w:ascii="Arial" w:hAnsi="Arial" w:cs="Arial"/>
          <w:sz w:val="22"/>
          <w:szCs w:val="22"/>
        </w:rPr>
        <w:t>section</w:t>
      </w:r>
      <w:r w:rsidRPr="00F463BC">
        <w:rPr>
          <w:rFonts w:ascii="Arial" w:hAnsi="Arial" w:cs="Arial"/>
          <w:sz w:val="22"/>
          <w:szCs w:val="22"/>
        </w:rPr>
        <w:t>s 59(2))</w:t>
      </w:r>
      <w:r w:rsidR="004A19DD" w:rsidRPr="00F463BC">
        <w:rPr>
          <w:rFonts w:ascii="Arial" w:hAnsi="Arial" w:cs="Arial"/>
          <w:sz w:val="22"/>
          <w:szCs w:val="22"/>
        </w:rPr>
        <w:t xml:space="preserve">, except in </w:t>
      </w:r>
      <w:r w:rsidR="0042602D" w:rsidRPr="00F463BC">
        <w:rPr>
          <w:rFonts w:ascii="Arial" w:hAnsi="Arial" w:cs="Arial"/>
          <w:sz w:val="22"/>
          <w:szCs w:val="22"/>
        </w:rPr>
        <w:t xml:space="preserve">cases </w:t>
      </w:r>
      <w:r w:rsidR="004A19DD" w:rsidRPr="00F463BC">
        <w:rPr>
          <w:rFonts w:ascii="Arial" w:hAnsi="Arial" w:cs="Arial"/>
          <w:sz w:val="22"/>
          <w:szCs w:val="22"/>
        </w:rPr>
        <w:t>whe</w:t>
      </w:r>
      <w:r w:rsidR="0042602D" w:rsidRPr="00F463BC">
        <w:rPr>
          <w:rFonts w:ascii="Arial" w:hAnsi="Arial" w:cs="Arial"/>
          <w:sz w:val="22"/>
          <w:szCs w:val="22"/>
        </w:rPr>
        <w:t>re</w:t>
      </w:r>
      <w:r w:rsidR="004A19DD" w:rsidRPr="00F463BC">
        <w:rPr>
          <w:rFonts w:ascii="Arial" w:hAnsi="Arial" w:cs="Arial"/>
          <w:sz w:val="22"/>
          <w:szCs w:val="22"/>
        </w:rPr>
        <w:t xml:space="preserve"> the claims </w:t>
      </w:r>
      <w:r w:rsidR="009460CB" w:rsidRPr="00F463BC">
        <w:rPr>
          <w:rFonts w:ascii="Arial" w:hAnsi="Arial" w:cs="Arial"/>
          <w:sz w:val="22"/>
          <w:szCs w:val="22"/>
        </w:rPr>
        <w:t>were</w:t>
      </w:r>
      <w:r w:rsidR="0042602D" w:rsidRPr="00F463BC">
        <w:rPr>
          <w:rFonts w:ascii="Arial" w:hAnsi="Arial" w:cs="Arial"/>
          <w:sz w:val="22"/>
          <w:szCs w:val="22"/>
        </w:rPr>
        <w:t xml:space="preserve"> deemed to be</w:t>
      </w:r>
      <w:r w:rsidR="004A19DD" w:rsidRPr="00F463BC">
        <w:rPr>
          <w:rFonts w:ascii="Arial" w:hAnsi="Arial" w:cs="Arial"/>
          <w:sz w:val="22"/>
          <w:szCs w:val="22"/>
        </w:rPr>
        <w:t xml:space="preserve"> erroneous or unacceptable </w:t>
      </w:r>
      <w:r w:rsidR="009460CB" w:rsidRPr="00F463BC">
        <w:rPr>
          <w:rFonts w:ascii="Arial" w:hAnsi="Arial" w:cs="Arial"/>
          <w:sz w:val="22"/>
          <w:szCs w:val="22"/>
        </w:rPr>
        <w:t xml:space="preserve">and where different timeframes applied </w:t>
      </w:r>
      <w:r w:rsidR="004A19DD" w:rsidRPr="00F463BC">
        <w:rPr>
          <w:rFonts w:ascii="Arial" w:hAnsi="Arial" w:cs="Arial"/>
          <w:sz w:val="22"/>
          <w:szCs w:val="22"/>
        </w:rPr>
        <w:t>(</w:t>
      </w:r>
      <w:r w:rsidRPr="00F463BC">
        <w:rPr>
          <w:rFonts w:ascii="Arial" w:hAnsi="Arial" w:cs="Arial"/>
          <w:sz w:val="22"/>
          <w:szCs w:val="22"/>
        </w:rPr>
        <w:t>Regulations 6(1), 6(2), 6(3) and 6(4)</w:t>
      </w:r>
      <w:r w:rsidR="004A19DD" w:rsidRPr="00F463BC">
        <w:rPr>
          <w:rFonts w:ascii="Arial" w:hAnsi="Arial" w:cs="Arial"/>
          <w:sz w:val="22"/>
          <w:szCs w:val="22"/>
        </w:rPr>
        <w:t>)</w:t>
      </w:r>
      <w:r w:rsidRPr="00F463BC">
        <w:rPr>
          <w:rFonts w:ascii="Arial" w:hAnsi="Arial" w:cs="Arial"/>
          <w:sz w:val="22"/>
          <w:szCs w:val="22"/>
        </w:rPr>
        <w:t>;</w:t>
      </w:r>
    </w:p>
    <w:p w:rsidR="00BB5057"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U</w:t>
      </w:r>
      <w:r w:rsidR="00BB5057" w:rsidRPr="00F463BC">
        <w:rPr>
          <w:rFonts w:ascii="Arial" w:hAnsi="Arial" w:cs="Arial"/>
          <w:sz w:val="22"/>
          <w:szCs w:val="22"/>
        </w:rPr>
        <w:t>nexpended benefits</w:t>
      </w:r>
      <w:r w:rsidRPr="00F463BC">
        <w:rPr>
          <w:rFonts w:ascii="Arial" w:hAnsi="Arial" w:cs="Arial"/>
          <w:sz w:val="22"/>
          <w:szCs w:val="22"/>
        </w:rPr>
        <w:t xml:space="preserve"> </w:t>
      </w:r>
      <w:r w:rsidR="003023DE" w:rsidRPr="00F463BC">
        <w:rPr>
          <w:rFonts w:ascii="Arial" w:hAnsi="Arial" w:cs="Arial"/>
          <w:sz w:val="22"/>
          <w:szCs w:val="22"/>
        </w:rPr>
        <w:t>had not been</w:t>
      </w:r>
      <w:r w:rsidRPr="00F463BC">
        <w:rPr>
          <w:rFonts w:ascii="Arial" w:hAnsi="Arial" w:cs="Arial"/>
          <w:sz w:val="22"/>
          <w:szCs w:val="22"/>
        </w:rPr>
        <w:t xml:space="preserve"> accumulated </w:t>
      </w:r>
      <w:r w:rsidR="00BB5057" w:rsidRPr="00F463BC">
        <w:rPr>
          <w:rFonts w:ascii="Arial" w:hAnsi="Arial" w:cs="Arial"/>
          <w:sz w:val="22"/>
          <w:szCs w:val="22"/>
        </w:rPr>
        <w:t xml:space="preserve">by a beneficiary from one year to the next, </w:t>
      </w:r>
      <w:r w:rsidRPr="00F463BC">
        <w:rPr>
          <w:rFonts w:ascii="Arial" w:hAnsi="Arial" w:cs="Arial"/>
          <w:sz w:val="22"/>
          <w:szCs w:val="22"/>
        </w:rPr>
        <w:t xml:space="preserve">other </w:t>
      </w:r>
      <w:r w:rsidR="00BB5057" w:rsidRPr="00F463BC">
        <w:rPr>
          <w:rFonts w:ascii="Arial" w:hAnsi="Arial" w:cs="Arial"/>
          <w:sz w:val="22"/>
          <w:szCs w:val="22"/>
        </w:rPr>
        <w:t xml:space="preserve">than as provided for in </w:t>
      </w:r>
      <w:r w:rsidR="00C043B4" w:rsidRPr="00F463BC">
        <w:rPr>
          <w:rFonts w:ascii="Arial" w:hAnsi="Arial" w:cs="Arial"/>
          <w:sz w:val="22"/>
          <w:szCs w:val="22"/>
        </w:rPr>
        <w:t>PMSA</w:t>
      </w:r>
      <w:r w:rsidRPr="00F463BC">
        <w:rPr>
          <w:rFonts w:ascii="Arial" w:hAnsi="Arial" w:cs="Arial"/>
          <w:sz w:val="22"/>
          <w:szCs w:val="22"/>
        </w:rPr>
        <w:t xml:space="preserve"> (Regulation 9A)</w:t>
      </w:r>
      <w:r w:rsidR="00BB5057" w:rsidRPr="00F463BC">
        <w:rPr>
          <w:rFonts w:ascii="Arial" w:hAnsi="Arial" w:cs="Arial"/>
          <w:sz w:val="22"/>
          <w:szCs w:val="22"/>
        </w:rPr>
        <w:t>;</w:t>
      </w:r>
    </w:p>
    <w:p w:rsidR="002F7594" w:rsidRPr="00F463BC" w:rsidRDefault="002F7594"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adhered to the requirements imposed by Regulation 8 and Annexure A in respect of prescribed minimum benefits;</w:t>
      </w:r>
    </w:p>
    <w:p w:rsidR="004866AD" w:rsidRPr="00F463BC" w:rsidRDefault="004866AD" w:rsidP="00B82F08">
      <w:pPr>
        <w:spacing w:before="0" w:line="271" w:lineRule="auto"/>
        <w:rPr>
          <w:rFonts w:ascii="Arial" w:hAnsi="Arial" w:cs="Arial"/>
          <w:sz w:val="22"/>
          <w:szCs w:val="22"/>
        </w:rPr>
      </w:pPr>
      <w:bookmarkStart w:id="370" w:name="_Toc277749831"/>
      <w:bookmarkStart w:id="371" w:name="_Toc277750702"/>
      <w:bookmarkStart w:id="372" w:name="_Toc277750883"/>
      <w:bookmarkStart w:id="373" w:name="_Toc300572994"/>
      <w:bookmarkStart w:id="374" w:name="_Toc304897961"/>
      <w:bookmarkStart w:id="375" w:name="_Toc305083389"/>
    </w:p>
    <w:p w:rsidR="00326CBD" w:rsidRPr="00F463BC" w:rsidRDefault="00326CBD" w:rsidP="00B82F08">
      <w:pPr>
        <w:spacing w:before="0" w:line="271" w:lineRule="auto"/>
        <w:rPr>
          <w:rFonts w:ascii="Arial" w:hAnsi="Arial" w:cs="Arial"/>
          <w:sz w:val="22"/>
          <w:szCs w:val="22"/>
        </w:rPr>
      </w:pPr>
      <w:r w:rsidRPr="00F463BC">
        <w:rPr>
          <w:rFonts w:ascii="Arial" w:hAnsi="Arial" w:cs="Arial"/>
          <w:b/>
          <w:sz w:val="22"/>
          <w:szCs w:val="22"/>
        </w:rPr>
        <w:t>Commercial reinsurance</w:t>
      </w:r>
      <w:bookmarkEnd w:id="370"/>
      <w:bookmarkEnd w:id="371"/>
      <w:bookmarkEnd w:id="372"/>
      <w:bookmarkEnd w:id="373"/>
      <w:bookmarkEnd w:id="374"/>
      <w:bookmarkEnd w:id="375"/>
    </w:p>
    <w:p w:rsidR="00326CBD" w:rsidRPr="00F463BC" w:rsidRDefault="00326CB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Commercial reinsurance contracts </w:t>
      </w:r>
      <w:r w:rsidR="00361A75" w:rsidRPr="00F463BC">
        <w:rPr>
          <w:rFonts w:ascii="Arial" w:hAnsi="Arial" w:cs="Arial"/>
          <w:sz w:val="22"/>
          <w:szCs w:val="22"/>
        </w:rPr>
        <w:t>were</w:t>
      </w:r>
      <w:r w:rsidRPr="00F463BC">
        <w:rPr>
          <w:rFonts w:ascii="Arial" w:hAnsi="Arial" w:cs="Arial"/>
          <w:sz w:val="22"/>
          <w:szCs w:val="22"/>
        </w:rPr>
        <w:t xml:space="preserve"> furnished to the Office of the Registrar and the content of the contracts was to the satisfaction of the Registrar as required by </w:t>
      </w:r>
      <w:r w:rsidR="004C23DA" w:rsidRPr="00F463BC">
        <w:rPr>
          <w:rFonts w:ascii="Arial" w:hAnsi="Arial" w:cs="Arial"/>
          <w:sz w:val="22"/>
          <w:szCs w:val="22"/>
        </w:rPr>
        <w:t>section</w:t>
      </w:r>
      <w:r w:rsidR="00361A75" w:rsidRPr="00F463BC">
        <w:rPr>
          <w:rFonts w:ascii="Arial" w:hAnsi="Arial" w:cs="Arial"/>
          <w:sz w:val="22"/>
          <w:szCs w:val="22"/>
        </w:rPr>
        <w:t>s</w:t>
      </w:r>
      <w:r w:rsidRPr="00F463BC">
        <w:rPr>
          <w:rFonts w:ascii="Arial" w:hAnsi="Arial" w:cs="Arial"/>
          <w:sz w:val="22"/>
          <w:szCs w:val="22"/>
        </w:rPr>
        <w:t> 20</w:t>
      </w:r>
      <w:r w:rsidR="00F55595" w:rsidRPr="00F463BC">
        <w:rPr>
          <w:rFonts w:ascii="Arial" w:hAnsi="Arial" w:cs="Arial"/>
          <w:sz w:val="22"/>
          <w:szCs w:val="22"/>
        </w:rPr>
        <w:t xml:space="preserve">(2) to </w:t>
      </w:r>
      <w:r w:rsidR="00361A75" w:rsidRPr="00F463BC">
        <w:rPr>
          <w:rFonts w:ascii="Arial" w:hAnsi="Arial" w:cs="Arial"/>
          <w:sz w:val="22"/>
          <w:szCs w:val="22"/>
        </w:rPr>
        <w:t>20</w:t>
      </w:r>
      <w:r w:rsidR="00F55595" w:rsidRPr="00F463BC">
        <w:rPr>
          <w:rFonts w:ascii="Arial" w:hAnsi="Arial" w:cs="Arial"/>
          <w:sz w:val="22"/>
          <w:szCs w:val="22"/>
        </w:rPr>
        <w:t>(7)</w:t>
      </w:r>
      <w:r w:rsidR="00E80C17" w:rsidRPr="00F463BC">
        <w:rPr>
          <w:rFonts w:ascii="Arial" w:hAnsi="Arial" w:cs="Arial"/>
          <w:sz w:val="22"/>
          <w:szCs w:val="22"/>
        </w:rPr>
        <w:t xml:space="preserve"> of the Act;</w:t>
      </w:r>
    </w:p>
    <w:p w:rsidR="006D560E" w:rsidRPr="00F463BC" w:rsidRDefault="006D560E" w:rsidP="00B82F08">
      <w:pPr>
        <w:pStyle w:val="Bulletsa"/>
        <w:keepNext/>
        <w:spacing w:before="0" w:line="271" w:lineRule="auto"/>
        <w:ind w:left="426"/>
        <w:rPr>
          <w:rFonts w:ascii="Arial" w:hAnsi="Arial" w:cs="Arial"/>
          <w:sz w:val="22"/>
          <w:szCs w:val="22"/>
        </w:rPr>
      </w:pPr>
    </w:p>
    <w:p w:rsidR="004E5AB0" w:rsidRPr="00F463BC" w:rsidRDefault="004E5AB0" w:rsidP="00B82F08">
      <w:pPr>
        <w:spacing w:before="0" w:line="271" w:lineRule="auto"/>
        <w:rPr>
          <w:rFonts w:ascii="Arial" w:hAnsi="Arial" w:cs="Arial"/>
          <w:sz w:val="22"/>
          <w:szCs w:val="22"/>
        </w:rPr>
      </w:pPr>
      <w:bookmarkStart w:id="376" w:name="_Toc277749832"/>
      <w:bookmarkStart w:id="377" w:name="_Toc277750703"/>
      <w:bookmarkStart w:id="378" w:name="_Toc277750884"/>
      <w:bookmarkStart w:id="379" w:name="_Toc300572995"/>
      <w:bookmarkStart w:id="380" w:name="_Toc304897962"/>
      <w:bookmarkStart w:id="381" w:name="_Toc305083390"/>
      <w:r w:rsidRPr="00F463BC">
        <w:rPr>
          <w:rFonts w:ascii="Arial" w:hAnsi="Arial" w:cs="Arial"/>
          <w:b/>
          <w:sz w:val="22"/>
          <w:szCs w:val="22"/>
        </w:rPr>
        <w:t>Administration expenditure</w:t>
      </w:r>
      <w:bookmarkEnd w:id="376"/>
      <w:bookmarkEnd w:id="377"/>
      <w:bookmarkEnd w:id="378"/>
      <w:bookmarkEnd w:id="379"/>
      <w:bookmarkEnd w:id="380"/>
      <w:bookmarkEnd w:id="381"/>
    </w:p>
    <w:p w:rsidR="004E5AB0" w:rsidRPr="00F463BC" w:rsidRDefault="004E5AB0"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 adhered to any restrictions placed on its administration expenditure by the Registrar in terms of </w:t>
      </w:r>
      <w:r w:rsidR="004C23DA" w:rsidRPr="00F463BC">
        <w:rPr>
          <w:rFonts w:ascii="Arial" w:hAnsi="Arial" w:cs="Arial"/>
          <w:sz w:val="22"/>
          <w:szCs w:val="22"/>
        </w:rPr>
        <w:t>section</w:t>
      </w:r>
      <w:r w:rsidRPr="00F463BC">
        <w:rPr>
          <w:rFonts w:ascii="Arial" w:hAnsi="Arial" w:cs="Arial"/>
          <w:sz w:val="22"/>
          <w:szCs w:val="22"/>
        </w:rPr>
        <w:t xml:space="preserve"> 44(8);</w:t>
      </w:r>
    </w:p>
    <w:p w:rsidR="006D560E" w:rsidRPr="00F463BC" w:rsidRDefault="006D560E" w:rsidP="00B82F08">
      <w:pPr>
        <w:pStyle w:val="Bulletsa"/>
        <w:spacing w:before="0" w:line="271" w:lineRule="auto"/>
        <w:ind w:left="426"/>
        <w:rPr>
          <w:rFonts w:ascii="Arial" w:hAnsi="Arial" w:cs="Arial"/>
          <w:sz w:val="22"/>
          <w:szCs w:val="22"/>
        </w:rPr>
      </w:pPr>
    </w:p>
    <w:p w:rsidR="002F7594" w:rsidRPr="00F463BC" w:rsidRDefault="002F7594" w:rsidP="00FF587C">
      <w:pPr>
        <w:keepNext/>
        <w:spacing w:before="0" w:line="271" w:lineRule="auto"/>
        <w:rPr>
          <w:rFonts w:ascii="Arial" w:hAnsi="Arial" w:cs="Arial"/>
          <w:sz w:val="22"/>
          <w:szCs w:val="22"/>
        </w:rPr>
      </w:pPr>
      <w:bookmarkStart w:id="382" w:name="_Toc277749833"/>
      <w:bookmarkStart w:id="383" w:name="_Toc277750704"/>
      <w:bookmarkStart w:id="384" w:name="_Toc277750885"/>
      <w:bookmarkStart w:id="385" w:name="_Toc300572996"/>
      <w:bookmarkStart w:id="386" w:name="_Toc304897963"/>
      <w:bookmarkStart w:id="387" w:name="_Toc305083391"/>
      <w:r w:rsidRPr="00F463BC">
        <w:rPr>
          <w:rFonts w:ascii="Arial" w:hAnsi="Arial" w:cs="Arial"/>
          <w:b/>
          <w:sz w:val="22"/>
          <w:szCs w:val="22"/>
        </w:rPr>
        <w:lastRenderedPageBreak/>
        <w:t>Trustee remuneration</w:t>
      </w:r>
      <w:bookmarkEnd w:id="382"/>
      <w:bookmarkEnd w:id="383"/>
      <w:bookmarkEnd w:id="384"/>
      <w:bookmarkEnd w:id="385"/>
      <w:bookmarkEnd w:id="386"/>
      <w:bookmarkEnd w:id="387"/>
    </w:p>
    <w:p w:rsidR="002F7594" w:rsidRPr="00F463BC" w:rsidRDefault="002F7594" w:rsidP="00FF587C">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Trustee remuneration </w:t>
      </w:r>
      <w:r w:rsidR="00361A75" w:rsidRPr="00F463BC">
        <w:rPr>
          <w:rFonts w:ascii="Arial" w:hAnsi="Arial" w:cs="Arial"/>
          <w:sz w:val="22"/>
          <w:szCs w:val="22"/>
        </w:rPr>
        <w:t>was</w:t>
      </w:r>
      <w:r w:rsidRPr="00F463BC">
        <w:rPr>
          <w:rFonts w:ascii="Arial" w:hAnsi="Arial" w:cs="Arial"/>
          <w:sz w:val="22"/>
          <w:szCs w:val="22"/>
        </w:rPr>
        <w:t xml:space="preserve"> adequately disclosed </w:t>
      </w:r>
      <w:r w:rsidR="00361A75" w:rsidRPr="00F463BC">
        <w:rPr>
          <w:rFonts w:ascii="Arial" w:hAnsi="Arial" w:cs="Arial"/>
          <w:sz w:val="22"/>
          <w:szCs w:val="22"/>
        </w:rPr>
        <w:t xml:space="preserve">in the annual financial statements </w:t>
      </w:r>
      <w:r w:rsidRPr="00F463BC">
        <w:rPr>
          <w:rFonts w:ascii="Arial" w:hAnsi="Arial" w:cs="Arial"/>
          <w:sz w:val="22"/>
          <w:szCs w:val="22"/>
        </w:rPr>
        <w:t>in terms of Regulation 6A;</w:t>
      </w:r>
    </w:p>
    <w:p w:rsidR="006D560E" w:rsidRPr="00F463BC" w:rsidRDefault="006D560E" w:rsidP="00FF587C">
      <w:pPr>
        <w:pStyle w:val="Bulletsa"/>
        <w:keepNext/>
        <w:spacing w:before="0" w:line="271" w:lineRule="auto"/>
        <w:ind w:left="426"/>
        <w:rPr>
          <w:rFonts w:ascii="Arial" w:hAnsi="Arial" w:cs="Arial"/>
          <w:sz w:val="22"/>
          <w:szCs w:val="22"/>
        </w:rPr>
      </w:pPr>
    </w:p>
    <w:p w:rsidR="00EF02EB" w:rsidRPr="00F463BC" w:rsidRDefault="00EF02EB" w:rsidP="00B82F08">
      <w:pPr>
        <w:keepNext/>
        <w:spacing w:before="0" w:line="271" w:lineRule="auto"/>
        <w:rPr>
          <w:rFonts w:ascii="Arial" w:hAnsi="Arial" w:cs="Arial"/>
          <w:sz w:val="22"/>
          <w:szCs w:val="22"/>
        </w:rPr>
      </w:pPr>
      <w:bookmarkStart w:id="388" w:name="_Toc277749834"/>
      <w:bookmarkStart w:id="389" w:name="_Toc277750705"/>
      <w:bookmarkStart w:id="390" w:name="_Toc277750886"/>
      <w:bookmarkStart w:id="391" w:name="_Toc300572997"/>
      <w:bookmarkStart w:id="392" w:name="_Toc304897964"/>
      <w:bookmarkStart w:id="393" w:name="_Toc305083392"/>
      <w:r w:rsidRPr="00F463BC">
        <w:rPr>
          <w:rFonts w:ascii="Arial" w:hAnsi="Arial" w:cs="Arial"/>
          <w:b/>
          <w:sz w:val="22"/>
          <w:szCs w:val="22"/>
        </w:rPr>
        <w:t>Brokers</w:t>
      </w:r>
      <w:bookmarkEnd w:id="388"/>
      <w:bookmarkEnd w:id="389"/>
      <w:bookmarkEnd w:id="390"/>
      <w:bookmarkEnd w:id="391"/>
      <w:bookmarkEnd w:id="392"/>
      <w:bookmarkEnd w:id="393"/>
    </w:p>
    <w:p w:rsidR="00EF02EB" w:rsidRPr="00F463BC" w:rsidRDefault="00EF02E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There </w:t>
      </w:r>
      <w:r w:rsidR="00292488" w:rsidRPr="00F463BC">
        <w:rPr>
          <w:rFonts w:ascii="Arial" w:hAnsi="Arial" w:cs="Arial"/>
          <w:sz w:val="22"/>
          <w:szCs w:val="22"/>
        </w:rPr>
        <w:t>was</w:t>
      </w:r>
      <w:r w:rsidRPr="00F463BC">
        <w:rPr>
          <w:rFonts w:ascii="Arial" w:hAnsi="Arial" w:cs="Arial"/>
          <w:sz w:val="22"/>
          <w:szCs w:val="22"/>
        </w:rPr>
        <w:t xml:space="preserve"> compliance with all </w:t>
      </w:r>
      <w:r w:rsidR="00361A75" w:rsidRPr="00F463BC">
        <w:rPr>
          <w:rFonts w:ascii="Arial" w:hAnsi="Arial" w:cs="Arial"/>
          <w:sz w:val="22"/>
          <w:szCs w:val="22"/>
        </w:rPr>
        <w:t xml:space="preserve">the </w:t>
      </w:r>
      <w:r w:rsidRPr="00F463BC">
        <w:rPr>
          <w:rFonts w:ascii="Arial" w:hAnsi="Arial" w:cs="Arial"/>
          <w:sz w:val="22"/>
          <w:szCs w:val="22"/>
        </w:rPr>
        <w:t>provisions relating to broker services and commission</w:t>
      </w:r>
      <w:r w:rsidR="00E80C17" w:rsidRPr="00F463BC">
        <w:rPr>
          <w:rFonts w:ascii="Arial" w:hAnsi="Arial" w:cs="Arial"/>
          <w:sz w:val="22"/>
          <w:szCs w:val="22"/>
        </w:rPr>
        <w:t>s</w:t>
      </w:r>
      <w:r w:rsidR="005C3B1C" w:rsidRPr="00F463BC">
        <w:rPr>
          <w:rFonts w:ascii="Arial" w:hAnsi="Arial" w:cs="Arial"/>
          <w:sz w:val="22"/>
          <w:szCs w:val="22"/>
        </w:rPr>
        <w:t xml:space="preserve"> (</w:t>
      </w:r>
      <w:r w:rsidR="004C23DA" w:rsidRPr="00F463BC">
        <w:rPr>
          <w:rFonts w:ascii="Arial" w:hAnsi="Arial" w:cs="Arial"/>
          <w:sz w:val="22"/>
          <w:szCs w:val="22"/>
        </w:rPr>
        <w:t>section</w:t>
      </w:r>
      <w:r w:rsidR="005C3B1C" w:rsidRPr="00F463BC">
        <w:rPr>
          <w:rFonts w:ascii="Arial" w:hAnsi="Arial" w:cs="Arial"/>
          <w:sz w:val="22"/>
          <w:szCs w:val="22"/>
        </w:rPr>
        <w:t xml:space="preserve"> 65 read together with Regulations 28(1), 28(2), 28(5) relating to </w:t>
      </w:r>
      <w:r w:rsidR="000833CC" w:rsidRPr="00F463BC">
        <w:rPr>
          <w:rFonts w:ascii="Arial" w:hAnsi="Arial" w:cs="Arial"/>
          <w:sz w:val="22"/>
          <w:szCs w:val="22"/>
        </w:rPr>
        <w:t xml:space="preserve">the </w:t>
      </w:r>
      <w:r w:rsidR="005C3B1C" w:rsidRPr="00F463BC">
        <w:rPr>
          <w:rFonts w:ascii="Arial" w:hAnsi="Arial" w:cs="Arial"/>
          <w:sz w:val="22"/>
          <w:szCs w:val="22"/>
        </w:rPr>
        <w:t xml:space="preserve">compensation of brokers by a </w:t>
      </w:r>
      <w:r w:rsidR="000833CC" w:rsidRPr="00F463BC">
        <w:rPr>
          <w:rFonts w:ascii="Arial" w:hAnsi="Arial" w:cs="Arial"/>
          <w:sz w:val="22"/>
          <w:szCs w:val="22"/>
        </w:rPr>
        <w:t>s</w:t>
      </w:r>
      <w:r w:rsidR="005C3B1C" w:rsidRPr="00F463BC">
        <w:rPr>
          <w:rFonts w:ascii="Arial" w:hAnsi="Arial" w:cs="Arial"/>
          <w:sz w:val="22"/>
          <w:szCs w:val="22"/>
        </w:rPr>
        <w:t xml:space="preserve">cheme and </w:t>
      </w:r>
      <w:r w:rsidR="00EA2A01" w:rsidRPr="00F463BC">
        <w:rPr>
          <w:rFonts w:ascii="Arial" w:hAnsi="Arial" w:cs="Arial"/>
          <w:sz w:val="22"/>
          <w:szCs w:val="22"/>
        </w:rPr>
        <w:t xml:space="preserve">Regulation </w:t>
      </w:r>
      <w:r w:rsidR="005C3B1C" w:rsidRPr="00F463BC">
        <w:rPr>
          <w:rFonts w:ascii="Arial" w:hAnsi="Arial" w:cs="Arial"/>
          <w:sz w:val="22"/>
          <w:szCs w:val="22"/>
        </w:rPr>
        <w:t>28B relating to requirements for accreditation of brokers by the Council)</w:t>
      </w:r>
      <w:r w:rsidRPr="00F463BC">
        <w:rPr>
          <w:rFonts w:ascii="Arial" w:hAnsi="Arial" w:cs="Arial"/>
          <w:sz w:val="22"/>
          <w:szCs w:val="22"/>
        </w:rPr>
        <w:t>;</w:t>
      </w:r>
    </w:p>
    <w:p w:rsidR="006D560E" w:rsidRPr="00F463BC" w:rsidRDefault="006D560E" w:rsidP="00B82F08">
      <w:pPr>
        <w:pStyle w:val="Bulletsa"/>
        <w:keepNext/>
        <w:spacing w:before="0" w:line="271" w:lineRule="auto"/>
        <w:ind w:left="426"/>
        <w:rPr>
          <w:rFonts w:ascii="Arial" w:hAnsi="Arial" w:cs="Arial"/>
          <w:sz w:val="22"/>
          <w:szCs w:val="22"/>
        </w:rPr>
      </w:pPr>
    </w:p>
    <w:p w:rsidR="00EF02EB" w:rsidRPr="00F463BC" w:rsidRDefault="00791CF6" w:rsidP="00B82F08">
      <w:pPr>
        <w:spacing w:before="0" w:line="271" w:lineRule="auto"/>
        <w:rPr>
          <w:rFonts w:ascii="Arial" w:hAnsi="Arial" w:cs="Arial"/>
          <w:sz w:val="22"/>
          <w:szCs w:val="22"/>
        </w:rPr>
      </w:pPr>
      <w:bookmarkStart w:id="394" w:name="_Toc277749835"/>
      <w:bookmarkStart w:id="395" w:name="_Toc277750706"/>
      <w:bookmarkStart w:id="396" w:name="_Toc277750887"/>
      <w:bookmarkStart w:id="397" w:name="_Toc300572998"/>
      <w:bookmarkStart w:id="398" w:name="_Toc304897965"/>
      <w:bookmarkStart w:id="399" w:name="_Toc305083393"/>
      <w:r w:rsidRPr="00F463BC">
        <w:rPr>
          <w:rFonts w:ascii="Arial" w:hAnsi="Arial" w:cs="Arial"/>
          <w:b/>
          <w:sz w:val="22"/>
          <w:szCs w:val="22"/>
        </w:rPr>
        <w:t>Investments</w:t>
      </w:r>
      <w:bookmarkEnd w:id="394"/>
      <w:bookmarkEnd w:id="395"/>
      <w:bookmarkEnd w:id="396"/>
      <w:bookmarkEnd w:id="397"/>
      <w:bookmarkEnd w:id="398"/>
      <w:bookmarkEnd w:id="399"/>
    </w:p>
    <w:p w:rsidR="00604CBB" w:rsidRPr="00F463BC" w:rsidRDefault="00604CB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The medical scheme did not encumber its assets, allow it</w:t>
      </w:r>
      <w:r w:rsidR="00AE316D" w:rsidRPr="00F463BC">
        <w:rPr>
          <w:rFonts w:ascii="Arial" w:hAnsi="Arial" w:cs="Arial"/>
          <w:sz w:val="22"/>
          <w:szCs w:val="22"/>
        </w:rPr>
        <w:t>s</w:t>
      </w:r>
      <w:r w:rsidRPr="00F463BC">
        <w:rPr>
          <w:rFonts w:ascii="Arial" w:hAnsi="Arial" w:cs="Arial"/>
          <w:sz w:val="22"/>
          <w:szCs w:val="22"/>
        </w:rPr>
        <w:t xml:space="preserve"> assets to be held on its behalf, borrow money or g</w:t>
      </w:r>
      <w:r w:rsidR="00AE316D" w:rsidRPr="00F463BC">
        <w:rPr>
          <w:rFonts w:ascii="Arial" w:hAnsi="Arial" w:cs="Arial"/>
          <w:sz w:val="22"/>
          <w:szCs w:val="22"/>
        </w:rPr>
        <w:t>i</w:t>
      </w:r>
      <w:r w:rsidR="000833CC" w:rsidRPr="00F463BC">
        <w:rPr>
          <w:rFonts w:ascii="Arial" w:hAnsi="Arial" w:cs="Arial"/>
          <w:sz w:val="22"/>
          <w:szCs w:val="22"/>
        </w:rPr>
        <w:t>ve</w:t>
      </w:r>
      <w:r w:rsidRPr="00F463BC">
        <w:rPr>
          <w:rFonts w:ascii="Arial" w:hAnsi="Arial" w:cs="Arial"/>
          <w:sz w:val="22"/>
          <w:szCs w:val="22"/>
        </w:rPr>
        <w:t xml:space="preserve"> security to obligations between other persons without the prior approval of, or subject to directives issued by, the Council (</w:t>
      </w:r>
      <w:r w:rsidR="004C23DA" w:rsidRPr="00F463BC">
        <w:rPr>
          <w:rFonts w:ascii="Arial" w:hAnsi="Arial" w:cs="Arial"/>
          <w:sz w:val="22"/>
          <w:szCs w:val="22"/>
        </w:rPr>
        <w:t>section</w:t>
      </w:r>
      <w:r w:rsidRPr="00F463BC">
        <w:rPr>
          <w:rFonts w:ascii="Arial" w:hAnsi="Arial" w:cs="Arial"/>
          <w:sz w:val="22"/>
          <w:szCs w:val="22"/>
        </w:rPr>
        <w:t xml:space="preserve"> 35(6)); </w:t>
      </w:r>
    </w:p>
    <w:p w:rsidR="00604CBB" w:rsidRPr="00F463BC" w:rsidRDefault="00604CB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medical scheme did not invest any of its assets in the business of, or grant loans to, an employer that participates in the medical scheme, or any administrator or any arrangement associated with the medical scheme, any other medical scheme, any administrator, and any person associated with any of the </w:t>
      </w:r>
      <w:r w:rsidR="00E80C17" w:rsidRPr="00F463BC">
        <w:rPr>
          <w:rFonts w:ascii="Arial" w:hAnsi="Arial" w:cs="Arial"/>
          <w:sz w:val="22"/>
          <w:szCs w:val="22"/>
        </w:rPr>
        <w:t>above mentioned (</w:t>
      </w:r>
      <w:r w:rsidR="004C23DA" w:rsidRPr="00F463BC">
        <w:rPr>
          <w:rFonts w:ascii="Arial" w:hAnsi="Arial" w:cs="Arial"/>
          <w:sz w:val="22"/>
          <w:szCs w:val="22"/>
        </w:rPr>
        <w:t>section</w:t>
      </w:r>
      <w:r w:rsidR="00E80C17" w:rsidRPr="00F463BC">
        <w:rPr>
          <w:rFonts w:ascii="Arial" w:hAnsi="Arial" w:cs="Arial"/>
          <w:sz w:val="22"/>
          <w:szCs w:val="22"/>
        </w:rPr>
        <w:t xml:space="preserve"> 35(8));</w:t>
      </w:r>
    </w:p>
    <w:p w:rsidR="00EF02EB" w:rsidRPr="00F463BC" w:rsidRDefault="00EF02E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The scheme’s assets were invested in accordance with Regulation 30, read together with Annexure B of the Act;</w:t>
      </w:r>
    </w:p>
    <w:p w:rsidR="002F7594" w:rsidRPr="00F463BC" w:rsidRDefault="002F7594"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In the event that the scheme invested in collective investment schemes, managed funds and insurance policies, the scheme ha</w:t>
      </w:r>
      <w:r w:rsidR="000833CC" w:rsidRPr="00F463BC">
        <w:rPr>
          <w:rFonts w:ascii="Arial" w:hAnsi="Arial" w:cs="Arial"/>
          <w:sz w:val="22"/>
          <w:szCs w:val="22"/>
        </w:rPr>
        <w:t>d</w:t>
      </w:r>
      <w:r w:rsidRPr="00F463BC">
        <w:rPr>
          <w:rFonts w:ascii="Arial" w:hAnsi="Arial" w:cs="Arial"/>
          <w:sz w:val="22"/>
          <w:szCs w:val="22"/>
        </w:rPr>
        <w:t xml:space="preserve"> demonstrated on a look-through basis that these investments were not utilised to circumvent the limitations of Regulation 30 and Annexure</w:t>
      </w:r>
      <w:r w:rsidR="000833CC" w:rsidRPr="00F463BC">
        <w:rPr>
          <w:rFonts w:ascii="Arial" w:hAnsi="Arial" w:cs="Arial"/>
          <w:sz w:val="22"/>
          <w:szCs w:val="22"/>
        </w:rPr>
        <w:t> </w:t>
      </w:r>
      <w:r w:rsidRPr="00F463BC">
        <w:rPr>
          <w:rFonts w:ascii="Arial" w:hAnsi="Arial" w:cs="Arial"/>
          <w:sz w:val="22"/>
          <w:szCs w:val="22"/>
        </w:rPr>
        <w:t>B;</w:t>
      </w:r>
    </w:p>
    <w:p w:rsidR="000B6D4C" w:rsidRPr="00F463BC" w:rsidRDefault="000B6D4C"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PMSA trust </w:t>
      </w:r>
      <w:r w:rsidR="00E05AC8" w:rsidRPr="00F463BC">
        <w:rPr>
          <w:rFonts w:ascii="Arial" w:hAnsi="Arial" w:cs="Arial"/>
          <w:sz w:val="22"/>
          <w:szCs w:val="22"/>
        </w:rPr>
        <w:t>monies</w:t>
      </w:r>
      <w:r w:rsidRPr="00F463BC">
        <w:rPr>
          <w:rFonts w:ascii="Arial" w:hAnsi="Arial" w:cs="Arial"/>
          <w:sz w:val="22"/>
          <w:szCs w:val="22"/>
        </w:rPr>
        <w:t xml:space="preserve"> were separately invested from the scheme’s assets in terms of the requirements imposed by the Financial Institutions (Protection of Funds) Act 28 of 2001. These </w:t>
      </w:r>
      <w:r w:rsidR="00E05AC8" w:rsidRPr="00F463BC">
        <w:rPr>
          <w:rFonts w:ascii="Arial" w:hAnsi="Arial" w:cs="Arial"/>
          <w:sz w:val="22"/>
          <w:szCs w:val="22"/>
        </w:rPr>
        <w:t>monies</w:t>
      </w:r>
      <w:r w:rsidRPr="00F463BC">
        <w:rPr>
          <w:rFonts w:ascii="Arial" w:hAnsi="Arial" w:cs="Arial"/>
          <w:sz w:val="22"/>
          <w:szCs w:val="22"/>
        </w:rPr>
        <w:t xml:space="preserve"> were only invested in the instruments allowed for in Circular 38 of 2011</w:t>
      </w:r>
      <w:r w:rsidR="00EA2A01" w:rsidRPr="00F463BC">
        <w:rPr>
          <w:rStyle w:val="FootnoteReference"/>
          <w:rFonts w:ascii="Arial" w:hAnsi="Arial" w:cs="Arial"/>
          <w:sz w:val="22"/>
          <w:szCs w:val="22"/>
        </w:rPr>
        <w:footnoteReference w:id="76"/>
      </w:r>
      <w:r w:rsidRPr="00F463BC">
        <w:rPr>
          <w:rFonts w:ascii="Arial" w:hAnsi="Arial" w:cs="Arial"/>
          <w:sz w:val="22"/>
          <w:szCs w:val="22"/>
        </w:rPr>
        <w:t xml:space="preserve">, or in terms of the scheme’s </w:t>
      </w:r>
      <w:r w:rsidR="00EA3C6A" w:rsidRPr="00F463BC">
        <w:rPr>
          <w:rFonts w:ascii="Arial" w:hAnsi="Arial" w:cs="Arial"/>
          <w:sz w:val="22"/>
          <w:szCs w:val="22"/>
        </w:rPr>
        <w:t>Rule</w:t>
      </w:r>
      <w:r w:rsidRPr="00F463BC">
        <w:rPr>
          <w:rFonts w:ascii="Arial" w:hAnsi="Arial" w:cs="Arial"/>
          <w:sz w:val="22"/>
          <w:szCs w:val="22"/>
        </w:rPr>
        <w:t>s.</w:t>
      </w:r>
    </w:p>
    <w:p w:rsidR="006D560E" w:rsidRPr="00F463BC" w:rsidRDefault="006D560E" w:rsidP="00B82F08">
      <w:pPr>
        <w:pStyle w:val="Bulletsa"/>
        <w:spacing w:before="0" w:line="271" w:lineRule="auto"/>
        <w:ind w:left="426"/>
        <w:rPr>
          <w:rFonts w:ascii="Arial" w:hAnsi="Arial" w:cs="Arial"/>
          <w:sz w:val="22"/>
          <w:szCs w:val="22"/>
        </w:rPr>
      </w:pPr>
    </w:p>
    <w:p w:rsidR="004A19DD" w:rsidRPr="00F463BC" w:rsidRDefault="004A19DD" w:rsidP="00FF587C">
      <w:pPr>
        <w:keepNext/>
        <w:spacing w:before="0" w:line="271" w:lineRule="auto"/>
        <w:rPr>
          <w:rFonts w:ascii="Arial" w:hAnsi="Arial" w:cs="Arial"/>
          <w:sz w:val="22"/>
          <w:szCs w:val="22"/>
        </w:rPr>
      </w:pPr>
      <w:bookmarkStart w:id="400" w:name="_Toc277749836"/>
      <w:bookmarkStart w:id="401" w:name="_Toc277750707"/>
      <w:bookmarkStart w:id="402" w:name="_Toc277750888"/>
      <w:bookmarkStart w:id="403" w:name="_Toc300572999"/>
      <w:bookmarkStart w:id="404" w:name="_Toc304897966"/>
      <w:bookmarkStart w:id="405" w:name="_Toc305083394"/>
      <w:r w:rsidRPr="00F463BC">
        <w:rPr>
          <w:rFonts w:ascii="Arial" w:hAnsi="Arial" w:cs="Arial"/>
          <w:b/>
          <w:sz w:val="22"/>
          <w:szCs w:val="22"/>
        </w:rPr>
        <w:t>Bank account</w:t>
      </w:r>
      <w:bookmarkEnd w:id="400"/>
      <w:bookmarkEnd w:id="401"/>
      <w:bookmarkEnd w:id="402"/>
      <w:bookmarkEnd w:id="403"/>
      <w:bookmarkEnd w:id="404"/>
      <w:bookmarkEnd w:id="405"/>
    </w:p>
    <w:p w:rsidR="006048F2" w:rsidRPr="00F463BC" w:rsidRDefault="006048F2" w:rsidP="00FF587C">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In terms of the Act and Regulations, money flowing into a medical scheme should flow on a timely basis in order to ensure, inter alia, that returns are earned by the scheme.</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 bank account </w:t>
      </w:r>
      <w:r w:rsidR="000833CC" w:rsidRPr="00F463BC">
        <w:rPr>
          <w:rFonts w:ascii="Arial" w:hAnsi="Arial" w:cs="Arial"/>
          <w:sz w:val="22"/>
          <w:szCs w:val="22"/>
        </w:rPr>
        <w:t>was</w:t>
      </w:r>
      <w:r w:rsidRPr="00F463BC">
        <w:rPr>
          <w:rFonts w:ascii="Arial" w:hAnsi="Arial" w:cs="Arial"/>
          <w:sz w:val="22"/>
          <w:szCs w:val="22"/>
        </w:rPr>
        <w:t xml:space="preserve"> established under the scheme’s direct control in terms of </w:t>
      </w:r>
      <w:r w:rsidR="004C23DA" w:rsidRPr="00F463BC">
        <w:rPr>
          <w:rFonts w:ascii="Arial" w:hAnsi="Arial" w:cs="Arial"/>
          <w:sz w:val="22"/>
          <w:szCs w:val="22"/>
        </w:rPr>
        <w:t>section</w:t>
      </w:r>
      <w:r w:rsidRPr="00F463BC">
        <w:rPr>
          <w:rFonts w:ascii="Arial" w:hAnsi="Arial" w:cs="Arial"/>
          <w:sz w:val="22"/>
          <w:szCs w:val="22"/>
        </w:rPr>
        <w:t> 26(1)(c)</w:t>
      </w:r>
      <w:r w:rsidR="006048F2" w:rsidRPr="00F463BC">
        <w:rPr>
          <w:rFonts w:ascii="Arial" w:hAnsi="Arial" w:cs="Arial"/>
          <w:sz w:val="22"/>
          <w:szCs w:val="22"/>
        </w:rPr>
        <w:t>, into which shall be paid every amount</w:t>
      </w:r>
      <w:r w:rsidR="007D33FE" w:rsidRPr="00F463BC">
        <w:rPr>
          <w:rFonts w:ascii="Arial" w:hAnsi="Arial" w:cs="Arial"/>
          <w:sz w:val="22"/>
          <w:szCs w:val="22"/>
        </w:rPr>
        <w:t>:</w:t>
      </w:r>
    </w:p>
    <w:p w:rsidR="006048F2" w:rsidRPr="00F463BC" w:rsidRDefault="007D33FE"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lastRenderedPageBreak/>
        <w:t>R</w:t>
      </w:r>
      <w:r w:rsidR="006048F2" w:rsidRPr="00F463BC">
        <w:rPr>
          <w:rFonts w:ascii="Arial" w:hAnsi="Arial" w:cs="Arial"/>
          <w:sz w:val="22"/>
          <w:szCs w:val="22"/>
        </w:rPr>
        <w:t>eceived as subscription or contribution paid by or in respect of a member; and</w:t>
      </w:r>
    </w:p>
    <w:p w:rsidR="006048F2" w:rsidRPr="00F463BC" w:rsidRDefault="007D33FE"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R</w:t>
      </w:r>
      <w:r w:rsidR="006048F2" w:rsidRPr="00F463BC">
        <w:rPr>
          <w:rFonts w:ascii="Arial" w:hAnsi="Arial" w:cs="Arial"/>
          <w:sz w:val="22"/>
          <w:szCs w:val="22"/>
        </w:rPr>
        <w:t xml:space="preserve">eceived as income, discount, interest, accrual or payment of whatsoever kind. </w:t>
      </w:r>
    </w:p>
    <w:p w:rsidR="00E80C17"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Payments made from the bank account adhere</w:t>
      </w:r>
      <w:r w:rsidR="000833CC" w:rsidRPr="00F463BC">
        <w:rPr>
          <w:rFonts w:ascii="Arial" w:hAnsi="Arial" w:cs="Arial"/>
          <w:sz w:val="22"/>
          <w:szCs w:val="22"/>
        </w:rPr>
        <w:t>d</w:t>
      </w:r>
      <w:r w:rsidRPr="00F463BC">
        <w:rPr>
          <w:rFonts w:ascii="Arial" w:hAnsi="Arial" w:cs="Arial"/>
          <w:sz w:val="22"/>
          <w:szCs w:val="22"/>
        </w:rPr>
        <w:t xml:space="preserve"> to the requirements of </w:t>
      </w:r>
      <w:r w:rsidR="004C23DA" w:rsidRPr="00F463BC">
        <w:rPr>
          <w:rFonts w:ascii="Arial" w:hAnsi="Arial" w:cs="Arial"/>
          <w:sz w:val="22"/>
          <w:szCs w:val="22"/>
        </w:rPr>
        <w:t>section</w:t>
      </w:r>
      <w:r w:rsidRPr="00F463BC">
        <w:rPr>
          <w:rFonts w:ascii="Arial" w:hAnsi="Arial" w:cs="Arial"/>
          <w:sz w:val="22"/>
          <w:szCs w:val="22"/>
        </w:rPr>
        <w:t>s 26(4)</w:t>
      </w:r>
      <w:r w:rsidR="006048F2" w:rsidRPr="00F463BC">
        <w:rPr>
          <w:rFonts w:ascii="Arial" w:hAnsi="Arial" w:cs="Arial"/>
          <w:sz w:val="22"/>
          <w:szCs w:val="22"/>
        </w:rPr>
        <w:t>, including</w:t>
      </w:r>
      <w:r w:rsidRPr="00F463BC">
        <w:rPr>
          <w:rFonts w:ascii="Arial" w:hAnsi="Arial" w:cs="Arial"/>
          <w:sz w:val="22"/>
          <w:szCs w:val="22"/>
        </w:rPr>
        <w:t xml:space="preserve">; </w:t>
      </w:r>
    </w:p>
    <w:p w:rsidR="006048F2" w:rsidRPr="00F463BC" w:rsidRDefault="006048F2"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The payment of benefits in terms of the scheme’s </w:t>
      </w:r>
      <w:r w:rsidR="00EA3C6A" w:rsidRPr="00F463BC">
        <w:rPr>
          <w:rFonts w:ascii="Arial" w:hAnsi="Arial" w:cs="Arial"/>
          <w:sz w:val="22"/>
          <w:szCs w:val="22"/>
        </w:rPr>
        <w:t>Rule</w:t>
      </w:r>
      <w:r w:rsidRPr="00F463BC">
        <w:rPr>
          <w:rFonts w:ascii="Arial" w:hAnsi="Arial" w:cs="Arial"/>
          <w:sz w:val="22"/>
          <w:szCs w:val="22"/>
        </w:rPr>
        <w:t xml:space="preserve">s; </w:t>
      </w:r>
    </w:p>
    <w:p w:rsidR="006048F2" w:rsidRPr="00F463BC" w:rsidRDefault="006048F2"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Costs incurred in the carrying on of the business as a medical scheme; and</w:t>
      </w:r>
    </w:p>
    <w:p w:rsidR="006048F2" w:rsidRPr="00F463BC" w:rsidRDefault="006048F2"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Amounts invested b</w:t>
      </w:r>
      <w:r w:rsidR="009B0B9A" w:rsidRPr="00F463BC">
        <w:rPr>
          <w:rFonts w:ascii="Arial" w:hAnsi="Arial" w:cs="Arial"/>
          <w:sz w:val="22"/>
          <w:szCs w:val="22"/>
        </w:rPr>
        <w:t>y</w:t>
      </w:r>
      <w:r w:rsidRPr="00F463BC">
        <w:rPr>
          <w:rFonts w:ascii="Arial" w:hAnsi="Arial" w:cs="Arial"/>
          <w:sz w:val="22"/>
          <w:szCs w:val="22"/>
        </w:rPr>
        <w:t xml:space="preserve"> the </w:t>
      </w:r>
      <w:r w:rsidR="002C5032" w:rsidRPr="00F463BC">
        <w:rPr>
          <w:rFonts w:ascii="Arial" w:hAnsi="Arial" w:cs="Arial"/>
          <w:sz w:val="22"/>
          <w:szCs w:val="22"/>
        </w:rPr>
        <w:t>board of trustees</w:t>
      </w:r>
      <w:r w:rsidRPr="00F463BC">
        <w:rPr>
          <w:rFonts w:ascii="Arial" w:hAnsi="Arial" w:cs="Arial"/>
          <w:sz w:val="22"/>
          <w:szCs w:val="22"/>
        </w:rPr>
        <w:t xml:space="preserve"> in accordance with </w:t>
      </w:r>
      <w:r w:rsidR="004C23DA" w:rsidRPr="00F463BC">
        <w:rPr>
          <w:rFonts w:ascii="Arial" w:hAnsi="Arial" w:cs="Arial"/>
          <w:sz w:val="22"/>
          <w:szCs w:val="22"/>
        </w:rPr>
        <w:t>section</w:t>
      </w:r>
      <w:r w:rsidRPr="00F463BC">
        <w:rPr>
          <w:rFonts w:ascii="Arial" w:hAnsi="Arial" w:cs="Arial"/>
          <w:sz w:val="22"/>
          <w:szCs w:val="22"/>
        </w:rPr>
        <w:t xml:space="preserve"> 35(7).</w:t>
      </w:r>
    </w:p>
    <w:p w:rsidR="004A19DD" w:rsidRPr="00F463BC" w:rsidRDefault="00E80C1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N</w:t>
      </w:r>
      <w:r w:rsidR="004A19DD" w:rsidRPr="00F463BC">
        <w:rPr>
          <w:rFonts w:ascii="Arial" w:hAnsi="Arial" w:cs="Arial"/>
          <w:sz w:val="22"/>
          <w:szCs w:val="22"/>
        </w:rPr>
        <w:t xml:space="preserve">o dividends, rebates or </w:t>
      </w:r>
      <w:r w:rsidR="00144C0B" w:rsidRPr="00F463BC">
        <w:rPr>
          <w:rFonts w:ascii="Arial" w:hAnsi="Arial" w:cs="Arial"/>
          <w:sz w:val="22"/>
          <w:szCs w:val="22"/>
        </w:rPr>
        <w:t>bonuses</w:t>
      </w:r>
      <w:r w:rsidR="0064777D" w:rsidRPr="00F463BC">
        <w:rPr>
          <w:rStyle w:val="FootnoteReference"/>
          <w:rFonts w:ascii="Arial" w:hAnsi="Arial" w:cs="Arial"/>
          <w:sz w:val="22"/>
          <w:szCs w:val="22"/>
        </w:rPr>
        <w:footnoteReference w:id="77"/>
      </w:r>
      <w:r w:rsidR="004A19DD" w:rsidRPr="00F463BC">
        <w:rPr>
          <w:rFonts w:ascii="Arial" w:hAnsi="Arial" w:cs="Arial"/>
          <w:sz w:val="22"/>
          <w:szCs w:val="22"/>
        </w:rPr>
        <w:t xml:space="preserve"> were paid (</w:t>
      </w:r>
      <w:r w:rsidR="004C23DA" w:rsidRPr="00F463BC">
        <w:rPr>
          <w:rFonts w:ascii="Arial" w:hAnsi="Arial" w:cs="Arial"/>
          <w:sz w:val="22"/>
          <w:szCs w:val="22"/>
        </w:rPr>
        <w:t>section</w:t>
      </w:r>
      <w:r w:rsidR="004A19DD" w:rsidRPr="00F463BC">
        <w:rPr>
          <w:rFonts w:ascii="Arial" w:hAnsi="Arial" w:cs="Arial"/>
          <w:sz w:val="22"/>
          <w:szCs w:val="22"/>
        </w:rPr>
        <w:t xml:space="preserve"> 26(5));</w:t>
      </w:r>
    </w:p>
    <w:p w:rsidR="006D0D8C" w:rsidRPr="00F463BC" w:rsidRDefault="006D0D8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In terms of the Financial Institutions (Protection of Funds) Act 28 of 2001, PMSA </w:t>
      </w:r>
      <w:r w:rsidR="00E05AC8" w:rsidRPr="00F463BC">
        <w:rPr>
          <w:rFonts w:ascii="Arial" w:hAnsi="Arial" w:cs="Arial"/>
          <w:sz w:val="22"/>
          <w:szCs w:val="22"/>
        </w:rPr>
        <w:t>monies</w:t>
      </w:r>
      <w:r w:rsidRPr="00F463BC">
        <w:rPr>
          <w:rFonts w:ascii="Arial" w:hAnsi="Arial" w:cs="Arial"/>
          <w:sz w:val="22"/>
          <w:szCs w:val="22"/>
        </w:rPr>
        <w:t xml:space="preserve"> must be kept separately from scheme assets. Circular 38 of 2011</w:t>
      </w:r>
      <w:r w:rsidR="00EA2A01" w:rsidRPr="00F463BC">
        <w:rPr>
          <w:rStyle w:val="FootnoteReference"/>
          <w:rFonts w:ascii="Arial" w:hAnsi="Arial" w:cs="Arial"/>
          <w:sz w:val="22"/>
          <w:szCs w:val="22"/>
        </w:rPr>
        <w:footnoteReference w:id="78"/>
      </w:r>
      <w:r w:rsidRPr="00F463BC">
        <w:rPr>
          <w:rFonts w:ascii="Arial" w:hAnsi="Arial" w:cs="Arial"/>
          <w:sz w:val="22"/>
          <w:szCs w:val="22"/>
        </w:rPr>
        <w:t xml:space="preserve"> requires the scheme to open a trust bank account.</w:t>
      </w:r>
    </w:p>
    <w:p w:rsidR="006D560E" w:rsidRPr="00F463BC" w:rsidRDefault="006D560E" w:rsidP="00B82F08">
      <w:pPr>
        <w:pStyle w:val="Bulletsa"/>
        <w:spacing w:before="0" w:line="271" w:lineRule="auto"/>
        <w:ind w:left="426"/>
        <w:rPr>
          <w:rFonts w:ascii="Arial" w:hAnsi="Arial" w:cs="Arial"/>
          <w:sz w:val="22"/>
          <w:szCs w:val="22"/>
        </w:rPr>
      </w:pPr>
    </w:p>
    <w:p w:rsidR="00100CD1" w:rsidRPr="00F463BC" w:rsidRDefault="00100CD1" w:rsidP="00B82F08">
      <w:pPr>
        <w:spacing w:before="0" w:line="271" w:lineRule="auto"/>
        <w:rPr>
          <w:rFonts w:ascii="Arial" w:hAnsi="Arial" w:cs="Arial"/>
          <w:sz w:val="22"/>
          <w:szCs w:val="22"/>
        </w:rPr>
      </w:pPr>
      <w:bookmarkStart w:id="406" w:name="_Toc300573000"/>
      <w:bookmarkStart w:id="407" w:name="_Toc304897967"/>
      <w:bookmarkStart w:id="408" w:name="_Toc305083395"/>
      <w:bookmarkStart w:id="409" w:name="_Toc277749837"/>
      <w:bookmarkStart w:id="410" w:name="_Toc277750708"/>
      <w:bookmarkStart w:id="411" w:name="_Toc277750889"/>
      <w:r w:rsidRPr="00F463BC">
        <w:rPr>
          <w:rFonts w:ascii="Arial" w:hAnsi="Arial" w:cs="Arial"/>
          <w:b/>
          <w:sz w:val="22"/>
          <w:szCs w:val="22"/>
        </w:rPr>
        <w:t xml:space="preserve">Depositing of medical scheme </w:t>
      </w:r>
      <w:bookmarkEnd w:id="406"/>
      <w:bookmarkEnd w:id="407"/>
      <w:bookmarkEnd w:id="408"/>
      <w:r w:rsidR="00E05AC8" w:rsidRPr="00F463BC">
        <w:rPr>
          <w:rFonts w:ascii="Arial" w:hAnsi="Arial" w:cs="Arial"/>
          <w:b/>
          <w:sz w:val="22"/>
          <w:szCs w:val="22"/>
        </w:rPr>
        <w:t>monies</w:t>
      </w:r>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Regulation 23 further requires that;</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thereof, into a bank account opened in the name of the medical scheme.</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w:t>
      </w:r>
    </w:p>
    <w:p w:rsidR="00100CD1" w:rsidRPr="00F463BC" w:rsidRDefault="00E05AC8"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Monies</w:t>
      </w:r>
      <w:r w:rsidR="00100CD1" w:rsidRPr="00F463BC">
        <w:rPr>
          <w:rFonts w:ascii="Arial" w:hAnsi="Arial" w:cs="Arial"/>
          <w:sz w:val="22"/>
          <w:szCs w:val="22"/>
        </w:rPr>
        <w:t xml:space="preserve"> contemplated in </w:t>
      </w:r>
      <w:r w:rsidR="007662FD" w:rsidRPr="00F463BC">
        <w:rPr>
          <w:rFonts w:ascii="Arial" w:hAnsi="Arial" w:cs="Arial"/>
          <w:sz w:val="22"/>
          <w:szCs w:val="22"/>
        </w:rPr>
        <w:t>sub regulations</w:t>
      </w:r>
      <w:r w:rsidR="00100CD1" w:rsidRPr="00F463BC">
        <w:rPr>
          <w:rFonts w:ascii="Arial" w:hAnsi="Arial" w:cs="Arial"/>
          <w:sz w:val="22"/>
          <w:szCs w:val="22"/>
        </w:rPr>
        <w:t xml:space="preserve"> (1) or (2) shall at no time be deposited in any bank account other than that of the medical scheme.</w:t>
      </w:r>
    </w:p>
    <w:p w:rsidR="006D0D8C" w:rsidRPr="00F463BC" w:rsidRDefault="006D0D8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Circular 38 of 2011 allows PMSA contributions to be collected together with the risk contributions, but the savings portion must be transferred to a separate trust account within seven days of receipt.</w:t>
      </w:r>
    </w:p>
    <w:p w:rsidR="001C495E" w:rsidRPr="00F463BC" w:rsidRDefault="001C495E" w:rsidP="00B82F08">
      <w:pPr>
        <w:pStyle w:val="3rdbulleta"/>
        <w:numPr>
          <w:ilvl w:val="0"/>
          <w:numId w:val="0"/>
        </w:numPr>
        <w:tabs>
          <w:tab w:val="clear" w:pos="851"/>
          <w:tab w:val="left" w:pos="993"/>
        </w:tabs>
        <w:spacing w:before="0" w:line="271" w:lineRule="auto"/>
        <w:ind w:left="993"/>
        <w:rPr>
          <w:rFonts w:ascii="Arial" w:hAnsi="Arial" w:cs="Arial"/>
          <w:sz w:val="22"/>
          <w:szCs w:val="22"/>
          <w:lang w:eastAsia="en-US"/>
        </w:rPr>
      </w:pPr>
    </w:p>
    <w:p w:rsidR="00100CD1" w:rsidRPr="00F463BC" w:rsidRDefault="00100CD1" w:rsidP="00B82F08">
      <w:pPr>
        <w:keepNext/>
        <w:spacing w:before="0" w:line="271" w:lineRule="auto"/>
        <w:rPr>
          <w:rFonts w:ascii="Arial" w:hAnsi="Arial" w:cs="Arial"/>
          <w:sz w:val="22"/>
          <w:szCs w:val="22"/>
        </w:rPr>
      </w:pPr>
      <w:bookmarkStart w:id="412" w:name="_Toc300573001"/>
      <w:bookmarkStart w:id="413" w:name="_Toc304897968"/>
      <w:bookmarkStart w:id="414" w:name="_Toc305083396"/>
      <w:r w:rsidRPr="00F463BC">
        <w:rPr>
          <w:rFonts w:ascii="Arial" w:hAnsi="Arial" w:cs="Arial"/>
          <w:b/>
          <w:sz w:val="22"/>
          <w:szCs w:val="22"/>
        </w:rPr>
        <w:t>Guarantees</w:t>
      </w:r>
      <w:bookmarkEnd w:id="412"/>
      <w:bookmarkEnd w:id="413"/>
      <w:bookmarkEnd w:id="414"/>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In terms of the Act and Regulations thereto, guarantees may be required by the Registrar at various levels. These would be taken into account by the auditor in their assessment of the going concern assumption as well as the accounting for or disclosure thereof, as appropriate.</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lastRenderedPageBreak/>
        <w:t>Administrator</w:t>
      </w:r>
      <w:r w:rsidR="0097308A" w:rsidRPr="00F463BC">
        <w:rPr>
          <w:rFonts w:ascii="Arial" w:hAnsi="Arial" w:cs="Arial"/>
          <w:sz w:val="22"/>
          <w:szCs w:val="22"/>
        </w:rPr>
        <w:t xml:space="preserve">: </w:t>
      </w:r>
      <w:r w:rsidRPr="00F463BC">
        <w:rPr>
          <w:rFonts w:ascii="Arial" w:hAnsi="Arial" w:cs="Arial"/>
          <w:sz w:val="22"/>
          <w:szCs w:val="22"/>
        </w:rPr>
        <w:t>Section 24(5) of the Act, stipulates that the Registrar may demand from the person who manages the business of a medical scheme which is in the process of being established, such financial guarantees as will in the opinion of the Council ensure the financial stability of the medical scheme.</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Principal officer</w:t>
      </w:r>
      <w:r w:rsidR="0097308A" w:rsidRPr="00F463BC">
        <w:rPr>
          <w:rFonts w:ascii="Arial" w:hAnsi="Arial" w:cs="Arial"/>
          <w:sz w:val="22"/>
          <w:szCs w:val="22"/>
        </w:rPr>
        <w:t xml:space="preserve">: </w:t>
      </w:r>
      <w:r w:rsidRPr="00F463BC">
        <w:rPr>
          <w:rFonts w:ascii="Arial" w:hAnsi="Arial" w:cs="Arial"/>
          <w:sz w:val="22"/>
          <w:szCs w:val="22"/>
        </w:rPr>
        <w:t>In section 33 dealing with approval and withdrawal of benefit options, subsection (3) stipulates that the Registrar may demand from the principal officer such financial guarantees as will in the opinion of the Council ensure the financial soundness of benefit options.</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Medical </w:t>
      </w:r>
      <w:r w:rsidR="0035720B" w:rsidRPr="00F463BC">
        <w:rPr>
          <w:rFonts w:ascii="Arial" w:hAnsi="Arial" w:cs="Arial"/>
          <w:sz w:val="22"/>
          <w:szCs w:val="22"/>
        </w:rPr>
        <w:t>scheme</w:t>
      </w:r>
      <w:r w:rsidR="0097308A" w:rsidRPr="00F463BC">
        <w:rPr>
          <w:rFonts w:ascii="Arial" w:hAnsi="Arial" w:cs="Arial"/>
          <w:sz w:val="22"/>
          <w:szCs w:val="22"/>
        </w:rPr>
        <w:t xml:space="preserve">: </w:t>
      </w:r>
      <w:r w:rsidRPr="00F463BC">
        <w:rPr>
          <w:rFonts w:ascii="Arial" w:hAnsi="Arial" w:cs="Arial"/>
          <w:sz w:val="22"/>
          <w:szCs w:val="22"/>
        </w:rPr>
        <w:t>Further, in section 44 on inspection and reports, in terms of subsection (9), the Registrar may, if he or she is, on account of an inspection or investigation in terms of this Act or on account of any report, document, statement or information furnished to him or her under this section, of the opinion that a medical scheme is or may be rendered not financially sound at any time demand from the medical scheme such financial guarantees and guarantee deposits as will in the opinion of the Registrar ensure the financial stability of the medical scheme.</w:t>
      </w:r>
    </w:p>
    <w:p w:rsidR="001C495E" w:rsidRPr="00F463BC" w:rsidRDefault="001C495E" w:rsidP="00B82F08">
      <w:pPr>
        <w:autoSpaceDE w:val="0"/>
        <w:autoSpaceDN w:val="0"/>
        <w:adjustRightInd w:val="0"/>
        <w:spacing w:before="0" w:line="271" w:lineRule="auto"/>
        <w:rPr>
          <w:rFonts w:ascii="Arial" w:hAnsi="Arial" w:cs="Arial"/>
          <w:sz w:val="22"/>
          <w:szCs w:val="22"/>
          <w:lang w:eastAsia="en-ZA"/>
        </w:rPr>
      </w:pPr>
    </w:p>
    <w:p w:rsidR="00100CD1" w:rsidRPr="00F463BC" w:rsidRDefault="00100CD1" w:rsidP="00B82F08">
      <w:pPr>
        <w:spacing w:before="0" w:line="271" w:lineRule="auto"/>
        <w:rPr>
          <w:rFonts w:ascii="Arial" w:hAnsi="Arial" w:cs="Arial"/>
          <w:sz w:val="22"/>
          <w:szCs w:val="22"/>
        </w:rPr>
      </w:pPr>
      <w:bookmarkStart w:id="415" w:name="_Toc300573002"/>
      <w:bookmarkStart w:id="416" w:name="_Toc304897969"/>
      <w:bookmarkStart w:id="417" w:name="_Toc305083397"/>
      <w:r w:rsidRPr="00F463BC">
        <w:rPr>
          <w:rFonts w:ascii="Arial" w:hAnsi="Arial" w:cs="Arial"/>
          <w:b/>
          <w:sz w:val="22"/>
          <w:szCs w:val="22"/>
        </w:rPr>
        <w:t>Professional indemnity insurance</w:t>
      </w:r>
      <w:bookmarkEnd w:id="415"/>
      <w:bookmarkEnd w:id="416"/>
      <w:bookmarkEnd w:id="417"/>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board of trustees should in terms of section 57 </w:t>
      </w:r>
      <w:r w:rsidRPr="00F463BC">
        <w:rPr>
          <w:rFonts w:ascii="Arial" w:hAnsi="Arial" w:cs="Arial"/>
          <w:i/>
          <w:sz w:val="22"/>
          <w:szCs w:val="22"/>
        </w:rPr>
        <w:t>General provisions on governance</w:t>
      </w:r>
      <w:r w:rsidRPr="00F463BC">
        <w:rPr>
          <w:rFonts w:ascii="Arial" w:hAnsi="Arial" w:cs="Arial"/>
          <w:sz w:val="22"/>
          <w:szCs w:val="22"/>
        </w:rPr>
        <w:t>, subsection (4)(f) take out and maintain an appropriate level of professional indemnity insurance and fidelity guarantee insurance.</w:t>
      </w:r>
    </w:p>
    <w:p w:rsidR="001C495E" w:rsidRPr="00F463BC" w:rsidRDefault="001C495E" w:rsidP="00B82F08">
      <w:pPr>
        <w:keepNext/>
        <w:autoSpaceDE w:val="0"/>
        <w:autoSpaceDN w:val="0"/>
        <w:adjustRightInd w:val="0"/>
        <w:spacing w:before="0" w:line="271" w:lineRule="auto"/>
        <w:rPr>
          <w:rFonts w:ascii="Arial" w:hAnsi="Arial" w:cs="Arial"/>
          <w:sz w:val="22"/>
          <w:szCs w:val="22"/>
          <w:lang w:eastAsia="en-ZA"/>
        </w:rPr>
      </w:pPr>
    </w:p>
    <w:p w:rsidR="00100CD1" w:rsidRPr="00F463BC" w:rsidRDefault="00100CD1" w:rsidP="00B82F08">
      <w:pPr>
        <w:spacing w:before="0" w:line="271" w:lineRule="auto"/>
        <w:rPr>
          <w:rFonts w:ascii="Arial" w:hAnsi="Arial" w:cs="Arial"/>
          <w:sz w:val="22"/>
          <w:szCs w:val="22"/>
        </w:rPr>
      </w:pPr>
      <w:bookmarkStart w:id="418" w:name="_Toc300573003"/>
      <w:bookmarkStart w:id="419" w:name="_Toc304897970"/>
      <w:bookmarkStart w:id="420" w:name="_Toc305083398"/>
      <w:r w:rsidRPr="00F463BC">
        <w:rPr>
          <w:rFonts w:ascii="Arial" w:hAnsi="Arial" w:cs="Arial"/>
          <w:b/>
          <w:sz w:val="22"/>
          <w:szCs w:val="22"/>
        </w:rPr>
        <w:t>Borrowings and overdrafts</w:t>
      </w:r>
      <w:bookmarkEnd w:id="418"/>
      <w:bookmarkEnd w:id="419"/>
      <w:bookmarkEnd w:id="420"/>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In terms of section 35(6) schemes may not encumber its assets, allow its assets to be held by another person on its behalf, borrow money or provide suretyships without the prior approval of the Council.</w:t>
      </w:r>
    </w:p>
    <w:p w:rsidR="001C495E" w:rsidRPr="00F463BC" w:rsidRDefault="001C495E" w:rsidP="00B82F08">
      <w:pPr>
        <w:pStyle w:val="Bulletsa"/>
        <w:spacing w:before="0" w:line="271" w:lineRule="auto"/>
        <w:ind w:left="426"/>
        <w:rPr>
          <w:rFonts w:ascii="Arial" w:hAnsi="Arial" w:cs="Arial"/>
          <w:sz w:val="22"/>
          <w:szCs w:val="22"/>
        </w:rPr>
      </w:pPr>
    </w:p>
    <w:bookmarkEnd w:id="409"/>
    <w:bookmarkEnd w:id="410"/>
    <w:bookmarkEnd w:id="411"/>
    <w:p w:rsidR="004A19DD" w:rsidRPr="00F463BC" w:rsidRDefault="00227896" w:rsidP="00B82F08">
      <w:pPr>
        <w:keepNext/>
        <w:spacing w:before="0" w:line="271" w:lineRule="auto"/>
        <w:rPr>
          <w:rFonts w:ascii="Arial" w:hAnsi="Arial" w:cs="Arial"/>
          <w:sz w:val="22"/>
          <w:szCs w:val="22"/>
        </w:rPr>
      </w:pPr>
      <w:r w:rsidRPr="00F463BC">
        <w:rPr>
          <w:rFonts w:ascii="Arial" w:hAnsi="Arial" w:cs="Arial"/>
          <w:b/>
          <w:sz w:val="22"/>
          <w:szCs w:val="22"/>
        </w:rPr>
        <w:t>Personal medical savings accounts</w:t>
      </w:r>
    </w:p>
    <w:p w:rsidR="006D0D8C" w:rsidRPr="00F463BC" w:rsidRDefault="006D0D8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PMSAs must be kept separately from scheme funds </w:t>
      </w:r>
      <w:r w:rsidR="004F217C" w:rsidRPr="00F463BC">
        <w:rPr>
          <w:rFonts w:ascii="Arial" w:hAnsi="Arial" w:cs="Arial"/>
          <w:sz w:val="22"/>
          <w:szCs w:val="22"/>
        </w:rPr>
        <w:t>in</w:t>
      </w:r>
      <w:r w:rsidRPr="00F463BC">
        <w:rPr>
          <w:rFonts w:ascii="Arial" w:hAnsi="Arial" w:cs="Arial"/>
          <w:sz w:val="22"/>
          <w:szCs w:val="22"/>
        </w:rPr>
        <w:t xml:space="preserve"> terms of</w:t>
      </w:r>
      <w:r w:rsidR="00750486" w:rsidRPr="00F463BC">
        <w:rPr>
          <w:rFonts w:ascii="Arial" w:hAnsi="Arial" w:cs="Arial"/>
          <w:sz w:val="22"/>
          <w:szCs w:val="22"/>
        </w:rPr>
        <w:t xml:space="preserve"> s</w:t>
      </w:r>
      <w:r w:rsidRPr="00F463BC">
        <w:rPr>
          <w:rFonts w:ascii="Arial" w:hAnsi="Arial" w:cs="Arial"/>
          <w:sz w:val="22"/>
          <w:szCs w:val="22"/>
        </w:rPr>
        <w:t>ection 4(5) of the Financial Institutions (Prote</w:t>
      </w:r>
      <w:r w:rsidR="004F217C" w:rsidRPr="00F463BC">
        <w:rPr>
          <w:rFonts w:ascii="Arial" w:hAnsi="Arial" w:cs="Arial"/>
          <w:sz w:val="22"/>
          <w:szCs w:val="22"/>
        </w:rPr>
        <w:t>ction of Funds) Act 28 of 2001.</w:t>
      </w:r>
      <w:r w:rsidRPr="00F463BC">
        <w:rPr>
          <w:rFonts w:ascii="Arial" w:hAnsi="Arial" w:cs="Arial"/>
          <w:sz w:val="22"/>
          <w:szCs w:val="22"/>
        </w:rPr>
        <w:t xml:space="preserve"> Interest earned on these funds must be credited to </w:t>
      </w:r>
      <w:r w:rsidR="004F217C" w:rsidRPr="00F463BC">
        <w:rPr>
          <w:rFonts w:ascii="Arial" w:hAnsi="Arial" w:cs="Arial"/>
          <w:sz w:val="22"/>
          <w:szCs w:val="22"/>
        </w:rPr>
        <w:t>a member’s</w:t>
      </w:r>
      <w:r w:rsidRPr="00F463BC">
        <w:rPr>
          <w:rFonts w:ascii="Arial" w:hAnsi="Arial" w:cs="Arial"/>
          <w:sz w:val="22"/>
          <w:szCs w:val="22"/>
        </w:rPr>
        <w:t xml:space="preserve"> </w:t>
      </w:r>
      <w:r w:rsidR="004F217C" w:rsidRPr="00F463BC">
        <w:rPr>
          <w:rFonts w:ascii="Arial" w:hAnsi="Arial" w:cs="Arial"/>
          <w:sz w:val="22"/>
          <w:szCs w:val="22"/>
        </w:rPr>
        <w:t>individual PMSA</w:t>
      </w:r>
      <w:r w:rsidRPr="00F463BC">
        <w:rPr>
          <w:rFonts w:ascii="Arial" w:hAnsi="Arial" w:cs="Arial"/>
          <w:sz w:val="22"/>
          <w:szCs w:val="22"/>
        </w:rPr>
        <w:t>. Circular 38 of 2011</w:t>
      </w:r>
      <w:r w:rsidR="00EA2A01" w:rsidRPr="00F463BC">
        <w:rPr>
          <w:rStyle w:val="FootnoteReference"/>
          <w:rFonts w:ascii="Arial" w:hAnsi="Arial" w:cs="Arial"/>
          <w:sz w:val="22"/>
          <w:szCs w:val="22"/>
        </w:rPr>
        <w:footnoteReference w:id="79"/>
      </w:r>
      <w:r w:rsidRPr="00F463BC">
        <w:rPr>
          <w:rFonts w:ascii="Arial" w:hAnsi="Arial" w:cs="Arial"/>
          <w:sz w:val="22"/>
          <w:szCs w:val="22"/>
        </w:rPr>
        <w:t xml:space="preserve"> also clarified that no advances may be made out of these trust </w:t>
      </w:r>
      <w:r w:rsidR="00E05AC8" w:rsidRPr="00F463BC">
        <w:rPr>
          <w:rFonts w:ascii="Arial" w:hAnsi="Arial" w:cs="Arial"/>
          <w:sz w:val="22"/>
          <w:szCs w:val="22"/>
        </w:rPr>
        <w:t>monies</w:t>
      </w:r>
      <w:r w:rsidRPr="00F463BC">
        <w:rPr>
          <w:rFonts w:ascii="Arial" w:hAnsi="Arial" w:cs="Arial"/>
          <w:sz w:val="22"/>
          <w:szCs w:val="22"/>
        </w:rPr>
        <w:t>;</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 adhered to its </w:t>
      </w:r>
      <w:r w:rsidR="00EA3C6A" w:rsidRPr="00F463BC">
        <w:rPr>
          <w:rFonts w:ascii="Arial" w:hAnsi="Arial" w:cs="Arial"/>
          <w:sz w:val="22"/>
          <w:szCs w:val="22"/>
        </w:rPr>
        <w:t>Rule</w:t>
      </w:r>
      <w:r w:rsidRPr="00F463BC">
        <w:rPr>
          <w:rFonts w:ascii="Arial" w:hAnsi="Arial" w:cs="Arial"/>
          <w:sz w:val="22"/>
          <w:szCs w:val="22"/>
        </w:rPr>
        <w:t xml:space="preserve">s in respect of the allocation of a </w:t>
      </w:r>
      <w:r w:rsidR="00227896" w:rsidRPr="00F463BC">
        <w:rPr>
          <w:rFonts w:ascii="Arial" w:hAnsi="Arial" w:cs="Arial"/>
          <w:sz w:val="22"/>
          <w:szCs w:val="22"/>
        </w:rPr>
        <w:t>PMSA</w:t>
      </w:r>
      <w:r w:rsidRPr="00F463BC">
        <w:rPr>
          <w:rFonts w:ascii="Arial" w:hAnsi="Arial" w:cs="Arial"/>
          <w:sz w:val="22"/>
          <w:szCs w:val="22"/>
        </w:rPr>
        <w:t xml:space="preserve"> to a member for payment of any relevant health service in terms of </w:t>
      </w:r>
      <w:r w:rsidR="004C23DA" w:rsidRPr="00F463BC">
        <w:rPr>
          <w:rFonts w:ascii="Arial" w:hAnsi="Arial" w:cs="Arial"/>
          <w:sz w:val="22"/>
          <w:szCs w:val="22"/>
        </w:rPr>
        <w:t>section</w:t>
      </w:r>
      <w:r w:rsidR="00E80C17" w:rsidRPr="00F463BC">
        <w:rPr>
          <w:rFonts w:ascii="Arial" w:hAnsi="Arial" w:cs="Arial"/>
          <w:sz w:val="22"/>
          <w:szCs w:val="22"/>
        </w:rPr>
        <w:t> </w:t>
      </w:r>
      <w:r w:rsidRPr="00F463BC">
        <w:rPr>
          <w:rFonts w:ascii="Arial" w:hAnsi="Arial" w:cs="Arial"/>
          <w:sz w:val="22"/>
          <w:szCs w:val="22"/>
        </w:rPr>
        <w:t>30(1)(e);</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contribution allocated to the </w:t>
      </w:r>
      <w:r w:rsidR="00227896" w:rsidRPr="00F463BC">
        <w:rPr>
          <w:rFonts w:ascii="Arial" w:hAnsi="Arial" w:cs="Arial"/>
          <w:sz w:val="22"/>
          <w:szCs w:val="22"/>
        </w:rPr>
        <w:t>PMSA</w:t>
      </w:r>
      <w:r w:rsidR="000833CC" w:rsidRPr="00F463BC">
        <w:rPr>
          <w:rFonts w:ascii="Arial" w:hAnsi="Arial" w:cs="Arial"/>
          <w:sz w:val="22"/>
          <w:szCs w:val="22"/>
        </w:rPr>
        <w:t xml:space="preserve"> of each individual member</w:t>
      </w:r>
      <w:r w:rsidRPr="00F463BC">
        <w:rPr>
          <w:rFonts w:ascii="Arial" w:hAnsi="Arial" w:cs="Arial"/>
          <w:sz w:val="22"/>
          <w:szCs w:val="22"/>
        </w:rPr>
        <w:t xml:space="preserve"> d</w:t>
      </w:r>
      <w:r w:rsidR="000833CC" w:rsidRPr="00F463BC">
        <w:rPr>
          <w:rFonts w:ascii="Arial" w:hAnsi="Arial" w:cs="Arial"/>
          <w:sz w:val="22"/>
          <w:szCs w:val="22"/>
        </w:rPr>
        <w:t>id</w:t>
      </w:r>
      <w:r w:rsidRPr="00F463BC">
        <w:rPr>
          <w:rFonts w:ascii="Arial" w:hAnsi="Arial" w:cs="Arial"/>
          <w:sz w:val="22"/>
          <w:szCs w:val="22"/>
        </w:rPr>
        <w:t xml:space="preserve"> not exceed 25% of the total gross contribution</w:t>
      </w:r>
      <w:r w:rsidR="000833CC" w:rsidRPr="00F463BC">
        <w:rPr>
          <w:rFonts w:ascii="Arial" w:hAnsi="Arial" w:cs="Arial"/>
          <w:sz w:val="22"/>
          <w:szCs w:val="22"/>
        </w:rPr>
        <w:t xml:space="preserve"> per said individual</w:t>
      </w:r>
      <w:r w:rsidRPr="00F463BC">
        <w:rPr>
          <w:rFonts w:ascii="Arial" w:hAnsi="Arial" w:cs="Arial"/>
          <w:sz w:val="22"/>
          <w:szCs w:val="22"/>
        </w:rPr>
        <w:t xml:space="preserve"> (Regulation 10(1));</w:t>
      </w:r>
    </w:p>
    <w:p w:rsidR="004A19DD" w:rsidRPr="00F463BC" w:rsidRDefault="005C3B1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lastRenderedPageBreak/>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transferred to another medical scheme or benefit option with a personal medical savings account, as the case may be, when such member change</w:t>
      </w:r>
      <w:r w:rsidR="000833CC" w:rsidRPr="00F463BC">
        <w:rPr>
          <w:rFonts w:ascii="Arial" w:hAnsi="Arial" w:cs="Arial"/>
          <w:sz w:val="22"/>
          <w:szCs w:val="22"/>
        </w:rPr>
        <w:t>d</w:t>
      </w:r>
      <w:r w:rsidR="004A19DD" w:rsidRPr="00F463BC">
        <w:rPr>
          <w:rFonts w:ascii="Arial" w:hAnsi="Arial" w:cs="Arial"/>
          <w:sz w:val="22"/>
          <w:szCs w:val="22"/>
        </w:rPr>
        <w:t xml:space="preserve"> medical schemes or benefit options (Regulation 10(4));</w:t>
      </w:r>
    </w:p>
    <w:p w:rsidR="004A19DD" w:rsidRPr="00F463BC" w:rsidRDefault="005C3B1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taken as a cash benefit, subject to applicable laws, when the member terminate</w:t>
      </w:r>
      <w:r w:rsidR="000833CC" w:rsidRPr="00F463BC">
        <w:rPr>
          <w:rFonts w:ascii="Arial" w:hAnsi="Arial" w:cs="Arial"/>
          <w:sz w:val="22"/>
          <w:szCs w:val="22"/>
        </w:rPr>
        <w:t>d</w:t>
      </w:r>
      <w:r w:rsidR="004A19DD" w:rsidRPr="00F463BC">
        <w:rPr>
          <w:rFonts w:ascii="Arial" w:hAnsi="Arial" w:cs="Arial"/>
          <w:sz w:val="22"/>
          <w:szCs w:val="22"/>
        </w:rPr>
        <w:t xml:space="preserve"> his or her membership of a medical scheme or benefit option without enrolling in another medical scheme or enrol</w:t>
      </w:r>
      <w:r w:rsidR="000833CC" w:rsidRPr="00F463BC">
        <w:rPr>
          <w:rFonts w:ascii="Arial" w:hAnsi="Arial" w:cs="Arial"/>
          <w:sz w:val="22"/>
          <w:szCs w:val="22"/>
        </w:rPr>
        <w:t>l</w:t>
      </w:r>
      <w:r w:rsidR="00E80C17" w:rsidRPr="00F463BC">
        <w:rPr>
          <w:rFonts w:ascii="Arial" w:hAnsi="Arial" w:cs="Arial"/>
          <w:sz w:val="22"/>
          <w:szCs w:val="22"/>
        </w:rPr>
        <w:t>ing</w:t>
      </w:r>
      <w:r w:rsidR="004A19DD" w:rsidRPr="00F463BC">
        <w:rPr>
          <w:rFonts w:ascii="Arial" w:hAnsi="Arial" w:cs="Arial"/>
          <w:sz w:val="22"/>
          <w:szCs w:val="22"/>
        </w:rPr>
        <w:t xml:space="preserve"> in another medical scheme without a </w:t>
      </w:r>
      <w:r w:rsidR="00227896" w:rsidRPr="00F463BC">
        <w:rPr>
          <w:rFonts w:ascii="Arial" w:hAnsi="Arial" w:cs="Arial"/>
          <w:sz w:val="22"/>
          <w:szCs w:val="22"/>
        </w:rPr>
        <w:t>PMSA</w:t>
      </w:r>
      <w:r w:rsidR="004A19DD" w:rsidRPr="00F463BC">
        <w:rPr>
          <w:rFonts w:ascii="Arial" w:hAnsi="Arial" w:cs="Arial"/>
          <w:sz w:val="22"/>
          <w:szCs w:val="22"/>
        </w:rPr>
        <w:t xml:space="preserve"> provision or select</w:t>
      </w:r>
      <w:r w:rsidR="000833CC" w:rsidRPr="00F463BC">
        <w:rPr>
          <w:rFonts w:ascii="Arial" w:hAnsi="Arial" w:cs="Arial"/>
          <w:sz w:val="22"/>
          <w:szCs w:val="22"/>
        </w:rPr>
        <w:t>ed</w:t>
      </w:r>
      <w:r w:rsidR="004A19DD" w:rsidRPr="00F463BC">
        <w:rPr>
          <w:rFonts w:ascii="Arial" w:hAnsi="Arial" w:cs="Arial"/>
          <w:sz w:val="22"/>
          <w:szCs w:val="22"/>
        </w:rPr>
        <w:t xml:space="preserve"> a benefit option without a savings plan</w:t>
      </w:r>
      <w:r w:rsidRPr="00F463BC">
        <w:rPr>
          <w:rFonts w:ascii="Arial" w:hAnsi="Arial" w:cs="Arial"/>
          <w:sz w:val="22"/>
          <w:szCs w:val="22"/>
        </w:rPr>
        <w:t xml:space="preserve"> (Regulation 10(5));</w:t>
      </w:r>
    </w:p>
    <w:p w:rsidR="00951A3E" w:rsidRPr="00F463BC" w:rsidRDefault="004F217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Circular 5 of 2012</w:t>
      </w:r>
      <w:r w:rsidR="0032037C" w:rsidRPr="00F463BC">
        <w:rPr>
          <w:rStyle w:val="FootnoteReference"/>
          <w:rFonts w:ascii="Arial" w:hAnsi="Arial" w:cs="Arial"/>
          <w:sz w:val="22"/>
          <w:szCs w:val="22"/>
        </w:rPr>
        <w:footnoteReference w:id="80"/>
      </w:r>
      <w:r w:rsidRPr="00F463BC">
        <w:rPr>
          <w:rFonts w:ascii="Arial" w:hAnsi="Arial" w:cs="Arial"/>
          <w:sz w:val="22"/>
          <w:szCs w:val="22"/>
        </w:rPr>
        <w:t xml:space="preserve"> clarif</w:t>
      </w:r>
      <w:r w:rsidR="00750486" w:rsidRPr="00F463BC">
        <w:rPr>
          <w:rFonts w:ascii="Arial" w:hAnsi="Arial" w:cs="Arial"/>
          <w:sz w:val="22"/>
          <w:szCs w:val="22"/>
        </w:rPr>
        <w:t>ied that in terms of s</w:t>
      </w:r>
      <w:r w:rsidRPr="00F463BC">
        <w:rPr>
          <w:rFonts w:ascii="Arial" w:hAnsi="Arial" w:cs="Arial"/>
          <w:sz w:val="22"/>
          <w:szCs w:val="22"/>
        </w:rPr>
        <w:t>ection 93 of the Administration of Estates Act 66 of 1965, schemes must pay PMSAs that have remained unclaimed for a period of five years or more over to the Guardian’s Fund</w:t>
      </w:r>
      <w:r w:rsidR="00951A3E" w:rsidRPr="00F463BC">
        <w:rPr>
          <w:rFonts w:ascii="Arial" w:hAnsi="Arial" w:cs="Arial"/>
          <w:sz w:val="22"/>
          <w:szCs w:val="22"/>
        </w:rPr>
        <w:t>;</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Savings plan account facilities </w:t>
      </w:r>
      <w:r w:rsidR="000833CC" w:rsidRPr="00F463BC">
        <w:rPr>
          <w:rFonts w:ascii="Arial" w:hAnsi="Arial" w:cs="Arial"/>
          <w:sz w:val="22"/>
          <w:szCs w:val="22"/>
        </w:rPr>
        <w:t>were</w:t>
      </w:r>
      <w:r w:rsidRPr="00F463BC">
        <w:rPr>
          <w:rFonts w:ascii="Arial" w:hAnsi="Arial" w:cs="Arial"/>
          <w:sz w:val="22"/>
          <w:szCs w:val="22"/>
        </w:rPr>
        <w:t xml:space="preserve"> not utilised to provide for benefits and co-payments relating to PMBs (Regulation 10(6));</w:t>
      </w:r>
    </w:p>
    <w:p w:rsidR="004F217C" w:rsidRPr="00F463BC" w:rsidRDefault="004F217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adhered to the minimum disclosure requirements relating to PMSA trust investments and trust liabilities imposed by Circular 5 of 2012.</w:t>
      </w:r>
    </w:p>
    <w:p w:rsidR="001C495E" w:rsidRPr="00F463BC" w:rsidRDefault="001C495E" w:rsidP="00B82F08">
      <w:pPr>
        <w:pStyle w:val="Bulletsa"/>
        <w:spacing w:before="0" w:line="271" w:lineRule="auto"/>
        <w:ind w:left="426"/>
        <w:rPr>
          <w:rFonts w:ascii="Arial" w:hAnsi="Arial" w:cs="Arial"/>
          <w:sz w:val="22"/>
          <w:szCs w:val="22"/>
        </w:rPr>
      </w:pPr>
    </w:p>
    <w:p w:rsidR="00EF02EB" w:rsidRPr="00F463BC" w:rsidRDefault="00EF02EB" w:rsidP="00B82F08">
      <w:pPr>
        <w:spacing w:before="0" w:line="271" w:lineRule="auto"/>
        <w:rPr>
          <w:rFonts w:ascii="Arial" w:hAnsi="Arial" w:cs="Arial"/>
          <w:sz w:val="22"/>
          <w:szCs w:val="22"/>
        </w:rPr>
      </w:pPr>
      <w:bookmarkStart w:id="421" w:name="_Toc277749838"/>
      <w:bookmarkStart w:id="422" w:name="_Toc277750709"/>
      <w:bookmarkStart w:id="423" w:name="_Toc277750890"/>
      <w:bookmarkStart w:id="424" w:name="_Toc300573005"/>
      <w:bookmarkStart w:id="425" w:name="_Toc304897972"/>
      <w:bookmarkStart w:id="426" w:name="_Toc305083400"/>
      <w:r w:rsidRPr="00F463BC">
        <w:rPr>
          <w:rFonts w:ascii="Arial" w:hAnsi="Arial" w:cs="Arial"/>
          <w:b/>
          <w:sz w:val="22"/>
          <w:szCs w:val="22"/>
        </w:rPr>
        <w:t>Solvency</w:t>
      </w:r>
      <w:bookmarkEnd w:id="421"/>
      <w:bookmarkEnd w:id="422"/>
      <w:bookmarkEnd w:id="423"/>
      <w:bookmarkEnd w:id="424"/>
      <w:bookmarkEnd w:id="425"/>
      <w:bookmarkEnd w:id="426"/>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maintained the minimum accumulated funds as re</w:t>
      </w:r>
      <w:r w:rsidR="006D59CC" w:rsidRPr="00F463BC">
        <w:rPr>
          <w:rFonts w:ascii="Arial" w:hAnsi="Arial" w:cs="Arial"/>
          <w:sz w:val="22"/>
          <w:szCs w:val="22"/>
        </w:rPr>
        <w:t>quired by per Regulation 29;</w:t>
      </w:r>
    </w:p>
    <w:p w:rsidR="00EF02EB" w:rsidRPr="00F463BC" w:rsidRDefault="00EF02E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Failure for any period of 90 days to meet the solvency ratio required in terms of the </w:t>
      </w:r>
      <w:r w:rsidR="00167D32" w:rsidRPr="00F463BC">
        <w:rPr>
          <w:rFonts w:ascii="Arial" w:hAnsi="Arial" w:cs="Arial"/>
          <w:sz w:val="22"/>
          <w:szCs w:val="22"/>
        </w:rPr>
        <w:t>R</w:t>
      </w:r>
      <w:r w:rsidRPr="00F463BC">
        <w:rPr>
          <w:rFonts w:ascii="Arial" w:hAnsi="Arial" w:cs="Arial"/>
          <w:sz w:val="22"/>
          <w:szCs w:val="22"/>
        </w:rPr>
        <w:t xml:space="preserve">egulations, </w:t>
      </w:r>
      <w:r w:rsidR="006D59CC" w:rsidRPr="00F463BC">
        <w:rPr>
          <w:rFonts w:ascii="Arial" w:hAnsi="Arial" w:cs="Arial"/>
          <w:sz w:val="22"/>
          <w:szCs w:val="22"/>
        </w:rPr>
        <w:t>were</w:t>
      </w:r>
      <w:r w:rsidRPr="00F463BC">
        <w:rPr>
          <w:rFonts w:ascii="Arial" w:hAnsi="Arial" w:cs="Arial"/>
          <w:sz w:val="22"/>
          <w:szCs w:val="22"/>
        </w:rPr>
        <w:t xml:space="preserve"> repor</w:t>
      </w:r>
      <w:r w:rsidR="006D59CC" w:rsidRPr="00F463BC">
        <w:rPr>
          <w:rFonts w:ascii="Arial" w:hAnsi="Arial" w:cs="Arial"/>
          <w:sz w:val="22"/>
          <w:szCs w:val="22"/>
        </w:rPr>
        <w:t>ted to the Registrar in writing; and</w:t>
      </w:r>
    </w:p>
    <w:p w:rsidR="001C495E" w:rsidRPr="00F463BC" w:rsidRDefault="001C495E" w:rsidP="00B82F08">
      <w:pPr>
        <w:pStyle w:val="Bulletsa"/>
        <w:spacing w:before="0" w:line="271" w:lineRule="auto"/>
        <w:ind w:left="426"/>
        <w:rPr>
          <w:rFonts w:ascii="Arial" w:hAnsi="Arial" w:cs="Arial"/>
          <w:sz w:val="22"/>
          <w:szCs w:val="22"/>
        </w:rPr>
      </w:pPr>
    </w:p>
    <w:p w:rsidR="002F7594" w:rsidRPr="00F463BC" w:rsidRDefault="002F7594" w:rsidP="00944A95">
      <w:pPr>
        <w:keepNext/>
        <w:spacing w:before="0" w:line="271" w:lineRule="auto"/>
        <w:rPr>
          <w:rFonts w:ascii="Arial" w:hAnsi="Arial" w:cs="Arial"/>
          <w:sz w:val="22"/>
          <w:szCs w:val="22"/>
        </w:rPr>
      </w:pPr>
      <w:bookmarkStart w:id="427" w:name="_Toc277749839"/>
      <w:bookmarkStart w:id="428" w:name="_Toc277750710"/>
      <w:bookmarkStart w:id="429" w:name="_Toc277750891"/>
      <w:bookmarkStart w:id="430" w:name="_Toc300573006"/>
      <w:bookmarkStart w:id="431" w:name="_Toc304897973"/>
      <w:bookmarkStart w:id="432" w:name="_Toc305083401"/>
      <w:r w:rsidRPr="00F463BC">
        <w:rPr>
          <w:rFonts w:ascii="Arial" w:hAnsi="Arial" w:cs="Arial"/>
          <w:b/>
          <w:sz w:val="22"/>
          <w:szCs w:val="22"/>
        </w:rPr>
        <w:t>Amalgamation</w:t>
      </w:r>
      <w:bookmarkEnd w:id="427"/>
      <w:bookmarkEnd w:id="428"/>
      <w:bookmarkEnd w:id="429"/>
      <w:bookmarkEnd w:id="430"/>
      <w:bookmarkEnd w:id="431"/>
      <w:bookmarkEnd w:id="432"/>
    </w:p>
    <w:p w:rsidR="00791CF6" w:rsidRPr="00F463BC" w:rsidRDefault="002F7594" w:rsidP="00944A95">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w:t>
      </w:r>
      <w:r w:rsidR="006D59CC" w:rsidRPr="00F463BC">
        <w:rPr>
          <w:rFonts w:ascii="Arial" w:hAnsi="Arial" w:cs="Arial"/>
          <w:sz w:val="22"/>
          <w:szCs w:val="22"/>
        </w:rPr>
        <w:t xml:space="preserve">amalgamating </w:t>
      </w:r>
      <w:r w:rsidRPr="00F463BC">
        <w:rPr>
          <w:rFonts w:ascii="Arial" w:hAnsi="Arial" w:cs="Arial"/>
          <w:sz w:val="22"/>
          <w:szCs w:val="22"/>
        </w:rPr>
        <w:t xml:space="preserve">scheme </w:t>
      </w:r>
      <w:r w:rsidR="006D59CC" w:rsidRPr="00F463BC">
        <w:rPr>
          <w:rFonts w:ascii="Arial" w:hAnsi="Arial" w:cs="Arial"/>
          <w:sz w:val="22"/>
          <w:szCs w:val="22"/>
        </w:rPr>
        <w:t xml:space="preserve">(the scheme ceasing to exist after the amalgamation) </w:t>
      </w:r>
      <w:r w:rsidRPr="00F463BC">
        <w:rPr>
          <w:rFonts w:ascii="Arial" w:hAnsi="Arial" w:cs="Arial"/>
          <w:sz w:val="22"/>
          <w:szCs w:val="22"/>
        </w:rPr>
        <w:t>submitted its audited annual financial statements and its annual return for the period to the date of transfer to the Registrar.</w:t>
      </w:r>
    </w:p>
    <w:p w:rsidR="004D16D5" w:rsidRPr="00F463BC" w:rsidRDefault="004D16D5" w:rsidP="00944A95">
      <w:pPr>
        <w:pStyle w:val="Heading1"/>
        <w:keepNext/>
        <w:spacing w:line="271" w:lineRule="auto"/>
        <w:sectPr w:rsidR="004D16D5" w:rsidRPr="00F463BC" w:rsidSect="001B129E">
          <w:headerReference w:type="default" r:id="rId32"/>
          <w:headerReference w:type="first" r:id="rId33"/>
          <w:type w:val="continuous"/>
          <w:pgSz w:w="11909" w:h="16834" w:code="9"/>
          <w:pgMar w:top="1440" w:right="1440" w:bottom="1440" w:left="1440" w:header="720" w:footer="720" w:gutter="0"/>
          <w:cols w:space="720"/>
          <w:noEndnote/>
          <w:docGrid w:linePitch="326"/>
        </w:sectPr>
      </w:pPr>
      <w:bookmarkStart w:id="433" w:name="_Appendix_7_-"/>
      <w:bookmarkStart w:id="434" w:name="_Ref299641786"/>
      <w:bookmarkEnd w:id="433"/>
    </w:p>
    <w:p w:rsidR="00983F08" w:rsidRPr="00F463BC" w:rsidRDefault="00983F08" w:rsidP="00B82F08">
      <w:pPr>
        <w:pStyle w:val="Heading1"/>
        <w:spacing w:line="271" w:lineRule="auto"/>
      </w:pPr>
      <w:bookmarkStart w:id="435" w:name="_Appendix_8_–"/>
      <w:bookmarkStart w:id="436" w:name="_Toc300573007"/>
      <w:bookmarkStart w:id="437" w:name="_Ref300580599"/>
      <w:bookmarkStart w:id="438" w:name="_Toc304897974"/>
      <w:bookmarkStart w:id="439" w:name="_Toc305083402"/>
      <w:bookmarkStart w:id="440" w:name="_Toc455582244"/>
      <w:bookmarkEnd w:id="435"/>
      <w:r w:rsidRPr="00F463BC">
        <w:lastRenderedPageBreak/>
        <w:t xml:space="preserve">Appendix </w:t>
      </w:r>
      <w:r w:rsidR="00F65104" w:rsidRPr="00F463BC">
        <w:t>10</w:t>
      </w:r>
      <w:r w:rsidR="00366643" w:rsidRPr="00F463BC">
        <w:t xml:space="preserve"> </w:t>
      </w:r>
      <w:r w:rsidR="00591965" w:rsidRPr="00F463BC">
        <w:t>–</w:t>
      </w:r>
      <w:r w:rsidR="00366643" w:rsidRPr="00F463BC">
        <w:t xml:space="preserve"> </w:t>
      </w:r>
      <w:r w:rsidR="00AE5BF8" w:rsidRPr="00F463BC">
        <w:t xml:space="preserve">Claims </w:t>
      </w:r>
      <w:r w:rsidR="00366643" w:rsidRPr="00F463BC">
        <w:t>CAATS</w:t>
      </w:r>
      <w:bookmarkEnd w:id="434"/>
      <w:bookmarkEnd w:id="436"/>
      <w:bookmarkEnd w:id="437"/>
      <w:bookmarkEnd w:id="438"/>
      <w:bookmarkEnd w:id="439"/>
      <w:bookmarkEnd w:id="440"/>
    </w:p>
    <w:p w:rsidR="00591965" w:rsidRPr="00F463BC" w:rsidRDefault="00591965" w:rsidP="00B82F08">
      <w:pPr>
        <w:pStyle w:val="Bulletsa"/>
        <w:spacing w:before="0" w:line="271" w:lineRule="auto"/>
        <w:rPr>
          <w:rFonts w:ascii="Arial" w:hAnsi="Arial" w:cs="Arial"/>
          <w:sz w:val="22"/>
          <w:szCs w:val="22"/>
        </w:rPr>
      </w:pPr>
      <w:r w:rsidRPr="00F463BC">
        <w:rPr>
          <w:rFonts w:ascii="Arial" w:hAnsi="Arial" w:cs="Arial"/>
          <w:sz w:val="22"/>
          <w:szCs w:val="22"/>
        </w:rPr>
        <w:t xml:space="preserve">The examples of </w:t>
      </w:r>
      <w:r w:rsidR="00AE5BF8" w:rsidRPr="00F463BC">
        <w:rPr>
          <w:rFonts w:ascii="Arial" w:hAnsi="Arial" w:cs="Arial"/>
          <w:sz w:val="22"/>
          <w:szCs w:val="22"/>
        </w:rPr>
        <w:t xml:space="preserve">claims </w:t>
      </w:r>
      <w:r w:rsidRPr="00F463BC">
        <w:rPr>
          <w:rFonts w:ascii="Arial" w:hAnsi="Arial" w:cs="Arial"/>
          <w:sz w:val="22"/>
          <w:szCs w:val="22"/>
        </w:rPr>
        <w:t xml:space="preserve">CAATS </w:t>
      </w:r>
      <w:r w:rsidR="00AE5BF8" w:rsidRPr="00F463BC">
        <w:rPr>
          <w:rFonts w:ascii="Arial" w:hAnsi="Arial" w:cs="Arial"/>
          <w:sz w:val="22"/>
          <w:szCs w:val="22"/>
        </w:rPr>
        <w:t xml:space="preserve">which may be typically performed </w:t>
      </w:r>
      <w:r w:rsidRPr="00F463BC">
        <w:rPr>
          <w:rFonts w:ascii="Arial" w:hAnsi="Arial" w:cs="Arial"/>
          <w:sz w:val="22"/>
          <w:szCs w:val="22"/>
        </w:rPr>
        <w:t>in a medical scheme environment</w:t>
      </w:r>
      <w:r w:rsidR="00AE603D" w:rsidRPr="00F463BC">
        <w:rPr>
          <w:rFonts w:ascii="Arial" w:hAnsi="Arial" w:cs="Arial"/>
          <w:sz w:val="22"/>
          <w:szCs w:val="22"/>
        </w:rPr>
        <w:t xml:space="preserve"> are </w:t>
      </w:r>
      <w:r w:rsidRPr="00F463BC">
        <w:rPr>
          <w:rFonts w:ascii="Arial" w:hAnsi="Arial" w:cs="Arial"/>
          <w:sz w:val="22"/>
          <w:szCs w:val="22"/>
        </w:rPr>
        <w:t>set out below:</w:t>
      </w:r>
    </w:p>
    <w:p w:rsidR="00C7502F" w:rsidRPr="00F463BC" w:rsidRDefault="00C7502F" w:rsidP="00B82F08">
      <w:pPr>
        <w:pStyle w:val="Bulletsa"/>
        <w:spacing w:before="0" w:line="271" w:lineRule="auto"/>
        <w:rPr>
          <w:rFonts w:ascii="Arial" w:hAnsi="Arial" w:cs="Arial"/>
          <w:sz w:val="22"/>
          <w:szCs w:val="22"/>
        </w:rPr>
      </w:pPr>
    </w:p>
    <w:tbl>
      <w:tblPr>
        <w:tblStyle w:val="TableGrid"/>
        <w:tblW w:w="0" w:type="auto"/>
        <w:tblLook w:val="04A0" w:firstRow="1" w:lastRow="0" w:firstColumn="1" w:lastColumn="0" w:noHBand="0" w:noVBand="1"/>
      </w:tblPr>
      <w:tblGrid>
        <w:gridCol w:w="3652"/>
        <w:gridCol w:w="10490"/>
      </w:tblGrid>
      <w:tr w:rsidR="00C7502F" w:rsidRPr="00FF2B5F" w:rsidTr="00944A95">
        <w:trPr>
          <w:cantSplit/>
          <w:tblHeader/>
        </w:trPr>
        <w:tc>
          <w:tcPr>
            <w:tcW w:w="3652" w:type="dxa"/>
            <w:shd w:val="clear" w:color="auto" w:fill="D9D9D9" w:themeFill="background1" w:themeFillShade="D9"/>
          </w:tcPr>
          <w:p w:rsidR="00C7502F" w:rsidRPr="00F463BC" w:rsidRDefault="00C7502F" w:rsidP="0032037C">
            <w:pPr>
              <w:pStyle w:val="Bulletsa"/>
              <w:spacing w:before="40" w:after="40"/>
              <w:jc w:val="center"/>
              <w:rPr>
                <w:rFonts w:ascii="Arial" w:hAnsi="Arial" w:cs="Arial"/>
                <w:b/>
                <w:sz w:val="22"/>
                <w:szCs w:val="22"/>
              </w:rPr>
            </w:pPr>
            <w:r w:rsidRPr="00F463BC">
              <w:rPr>
                <w:rFonts w:ascii="Arial" w:hAnsi="Arial" w:cs="Arial"/>
                <w:b/>
                <w:sz w:val="22"/>
                <w:szCs w:val="22"/>
              </w:rPr>
              <w:t>CAAT name</w:t>
            </w:r>
          </w:p>
        </w:tc>
        <w:tc>
          <w:tcPr>
            <w:tcW w:w="10490" w:type="dxa"/>
            <w:shd w:val="clear" w:color="auto" w:fill="D9D9D9" w:themeFill="background1" w:themeFillShade="D9"/>
          </w:tcPr>
          <w:p w:rsidR="00C7502F" w:rsidRPr="00F463BC" w:rsidRDefault="00C7502F" w:rsidP="0032037C">
            <w:pPr>
              <w:pStyle w:val="Bulletsa"/>
              <w:spacing w:before="40" w:after="40"/>
              <w:jc w:val="center"/>
              <w:rPr>
                <w:rFonts w:ascii="Arial" w:hAnsi="Arial" w:cs="Arial"/>
                <w:b/>
                <w:sz w:val="22"/>
                <w:szCs w:val="22"/>
              </w:rPr>
            </w:pPr>
            <w:r w:rsidRPr="00F463BC">
              <w:rPr>
                <w:rFonts w:ascii="Arial" w:hAnsi="Arial" w:cs="Arial"/>
                <w:b/>
                <w:sz w:val="22"/>
                <w:szCs w:val="22"/>
              </w:rPr>
              <w:t>Description</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Duplicate claims</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 xml:space="preserve">This CAAT lists all the records from the medical claim file in </w:t>
            </w:r>
            <w:r w:rsidRPr="00F463BC">
              <w:rPr>
                <w:rFonts w:ascii="Arial" w:hAnsi="Arial" w:cs="Arial"/>
                <w:color w:val="000000"/>
                <w:sz w:val="22"/>
                <w:szCs w:val="22"/>
              </w:rPr>
              <w:t>which the claim reference number, claim line number and invoice amount have</w:t>
            </w:r>
            <w:r w:rsidRPr="00F463BC">
              <w:rPr>
                <w:rFonts w:ascii="Arial" w:hAnsi="Arial" w:cs="Arial"/>
                <w:sz w:val="22"/>
                <w:szCs w:val="22"/>
              </w:rPr>
              <w:t xml:space="preserve"> been duplicated.</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Duplicate active member numbers</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This CAAT lists all those cases in which the member numbers have been duplicated and their termination date is less than the date on which the CAAT is run or where the date field is blank.</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Duplicate surname and dates of birth</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This CAAT lists all members in the membership table with the same surnames and dates of birth.</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these records and their details.</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Claims paid to blank membership number</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 xml:space="preserve">This CAAT lists all cases in which claims have been made but in which the membership number is blank. </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Table provides a listing of such transactions and their details, with the total amounts paid per processing date.</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Claims paid to invalid membership number</w:t>
            </w:r>
          </w:p>
        </w:tc>
        <w:tc>
          <w:tcPr>
            <w:tcW w:w="10490" w:type="dxa"/>
          </w:tcPr>
          <w:p w:rsidR="00C7502F" w:rsidRPr="00F463BC" w:rsidRDefault="00C7502F" w:rsidP="0032037C">
            <w:pPr>
              <w:spacing w:before="40" w:after="40"/>
              <w:rPr>
                <w:rFonts w:ascii="Arial" w:hAnsi="Arial" w:cs="Arial"/>
                <w:color w:val="000000"/>
                <w:sz w:val="22"/>
                <w:szCs w:val="22"/>
                <w:lang w:val="en-GB" w:eastAsia="en-US"/>
              </w:rPr>
            </w:pPr>
            <w:r w:rsidRPr="00F463BC">
              <w:rPr>
                <w:rFonts w:ascii="Arial" w:hAnsi="Arial" w:cs="Arial"/>
                <w:sz w:val="22"/>
                <w:szCs w:val="22"/>
              </w:rPr>
              <w:t xml:space="preserve">This CAAT extracts all cases in which claims have been made to members whose membership </w:t>
            </w:r>
            <w:r w:rsidRPr="00F463BC">
              <w:rPr>
                <w:rFonts w:ascii="Arial" w:hAnsi="Arial" w:cs="Arial"/>
                <w:color w:val="000000"/>
                <w:sz w:val="22"/>
                <w:szCs w:val="22"/>
              </w:rPr>
              <w:t>number does not exist on the members’ master file.</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the details of such payments.</w:t>
            </w:r>
          </w:p>
        </w:tc>
      </w:tr>
      <w:tr w:rsidR="005A71AA" w:rsidRPr="00FF2B5F" w:rsidTr="00944A95">
        <w:trPr>
          <w:cantSplit/>
        </w:trPr>
        <w:tc>
          <w:tcPr>
            <w:tcW w:w="3652" w:type="dxa"/>
          </w:tcPr>
          <w:p w:rsidR="005A71AA" w:rsidRPr="00F463BC" w:rsidRDefault="005A71AA" w:rsidP="0032037C">
            <w:pPr>
              <w:pStyle w:val="Bulletsa"/>
              <w:spacing w:before="40" w:after="40"/>
              <w:rPr>
                <w:rFonts w:ascii="Arial" w:hAnsi="Arial" w:cs="Arial"/>
                <w:sz w:val="22"/>
                <w:szCs w:val="22"/>
              </w:rPr>
            </w:pPr>
            <w:r w:rsidRPr="00F463BC">
              <w:rPr>
                <w:rFonts w:ascii="Arial" w:hAnsi="Arial" w:cs="Arial"/>
                <w:sz w:val="22"/>
                <w:szCs w:val="22"/>
              </w:rPr>
              <w:t>Claims paid exceeding scheme tariff</w:t>
            </w:r>
          </w:p>
        </w:tc>
        <w:tc>
          <w:tcPr>
            <w:tcW w:w="10490" w:type="dxa"/>
          </w:tcPr>
          <w:p w:rsidR="005A71AA" w:rsidRPr="00F463BC" w:rsidRDefault="005A71AA" w:rsidP="0032037C">
            <w:pPr>
              <w:pStyle w:val="Bulletsa"/>
              <w:spacing w:before="40" w:after="40"/>
              <w:rPr>
                <w:rFonts w:ascii="Arial" w:hAnsi="Arial" w:cs="Arial"/>
                <w:sz w:val="22"/>
                <w:szCs w:val="22"/>
              </w:rPr>
            </w:pPr>
            <w:r w:rsidRPr="00F463BC">
              <w:rPr>
                <w:rFonts w:ascii="Arial" w:hAnsi="Arial" w:cs="Arial"/>
                <w:sz w:val="22"/>
                <w:szCs w:val="22"/>
              </w:rPr>
              <w:t>This CAAT lists claims paid that are greater than the scheme tariff amount.</w:t>
            </w:r>
          </w:p>
        </w:tc>
      </w:tr>
      <w:tr w:rsidR="00C7502F" w:rsidRPr="00FF2B5F" w:rsidTr="00944A95">
        <w:trPr>
          <w:cantSplit/>
        </w:trPr>
        <w:tc>
          <w:tcPr>
            <w:tcW w:w="3652" w:type="dxa"/>
          </w:tcPr>
          <w:p w:rsidR="00C8114E" w:rsidRPr="00F463BC" w:rsidRDefault="00C8114E" w:rsidP="0032037C">
            <w:pPr>
              <w:spacing w:before="40" w:after="40"/>
              <w:jc w:val="left"/>
              <w:rPr>
                <w:rFonts w:ascii="Arial" w:hAnsi="Arial" w:cs="Arial"/>
                <w:sz w:val="22"/>
                <w:szCs w:val="22"/>
                <w:lang w:val="en-GB" w:eastAsia="en-US"/>
              </w:rPr>
            </w:pPr>
            <w:r w:rsidRPr="00F463BC">
              <w:rPr>
                <w:rFonts w:ascii="Arial" w:hAnsi="Arial" w:cs="Arial"/>
                <w:sz w:val="22"/>
                <w:szCs w:val="22"/>
              </w:rPr>
              <w:t>Claims paid for treatment after end date</w:t>
            </w:r>
          </w:p>
          <w:p w:rsidR="00C7502F" w:rsidRPr="00F463BC" w:rsidRDefault="00C7502F" w:rsidP="0032037C">
            <w:pPr>
              <w:pStyle w:val="Bulletsa"/>
              <w:spacing w:before="40" w:after="40"/>
              <w:rPr>
                <w:rFonts w:ascii="Arial" w:hAnsi="Arial" w:cs="Arial"/>
                <w:sz w:val="22"/>
                <w:szCs w:val="22"/>
              </w:rPr>
            </w:pPr>
          </w:p>
        </w:tc>
        <w:tc>
          <w:tcPr>
            <w:tcW w:w="10490" w:type="dxa"/>
          </w:tcPr>
          <w:p w:rsidR="00C8114E" w:rsidRPr="00F463BC" w:rsidRDefault="00C8114E" w:rsidP="0032037C">
            <w:pPr>
              <w:spacing w:before="40" w:after="40"/>
              <w:jc w:val="left"/>
              <w:rPr>
                <w:rFonts w:ascii="Arial" w:hAnsi="Arial" w:cs="Arial"/>
                <w:sz w:val="22"/>
                <w:szCs w:val="22"/>
                <w:lang w:val="en-GB" w:eastAsia="en-US"/>
              </w:rPr>
            </w:pPr>
            <w:r w:rsidRPr="00F463BC">
              <w:rPr>
                <w:rFonts w:ascii="Arial" w:hAnsi="Arial" w:cs="Arial"/>
                <w:sz w:val="22"/>
                <w:szCs w:val="22"/>
              </w:rPr>
              <w:t>This CAAT lists all claims that have been paid for treatments occurring after the member’s termination date.</w:t>
            </w:r>
          </w:p>
          <w:p w:rsidR="00C7502F" w:rsidRPr="00F463BC" w:rsidRDefault="00C8114E" w:rsidP="0032037C">
            <w:pPr>
              <w:pStyle w:val="Bulletsa"/>
              <w:spacing w:before="40" w:after="40"/>
              <w:rPr>
                <w:rFonts w:ascii="Arial" w:hAnsi="Arial" w:cs="Arial"/>
                <w:sz w:val="22"/>
                <w:szCs w:val="22"/>
              </w:rPr>
            </w:pPr>
            <w:r w:rsidRPr="00F463BC">
              <w:rPr>
                <w:rFonts w:ascii="Arial" w:hAnsi="Arial" w:cs="Arial"/>
                <w:sz w:val="22"/>
                <w:szCs w:val="22"/>
              </w:rPr>
              <w:t>A table is provided that gives the details of such payments, including the termination date of members.</w:t>
            </w:r>
          </w:p>
        </w:tc>
      </w:tr>
      <w:tr w:rsidR="005A71AA" w:rsidRPr="00FF2B5F" w:rsidTr="00944A95">
        <w:trPr>
          <w:cantSplit/>
        </w:trPr>
        <w:tc>
          <w:tcPr>
            <w:tcW w:w="3652" w:type="dxa"/>
          </w:tcPr>
          <w:p w:rsidR="005A71AA" w:rsidRPr="00F463BC" w:rsidRDefault="005A71AA" w:rsidP="0032037C">
            <w:pPr>
              <w:spacing w:before="40" w:after="40"/>
              <w:jc w:val="left"/>
              <w:rPr>
                <w:rFonts w:ascii="Arial" w:hAnsi="Arial" w:cs="Arial"/>
                <w:sz w:val="22"/>
                <w:szCs w:val="22"/>
              </w:rPr>
            </w:pPr>
            <w:r w:rsidRPr="00F463BC">
              <w:rPr>
                <w:rFonts w:ascii="Arial" w:hAnsi="Arial" w:cs="Arial"/>
                <w:sz w:val="22"/>
                <w:szCs w:val="22"/>
              </w:rPr>
              <w:lastRenderedPageBreak/>
              <w:t>Stale claims</w:t>
            </w:r>
          </w:p>
        </w:tc>
        <w:tc>
          <w:tcPr>
            <w:tcW w:w="10490" w:type="dxa"/>
          </w:tcPr>
          <w:p w:rsidR="005A71AA" w:rsidRPr="00F463BC" w:rsidRDefault="005A71AA" w:rsidP="00651E81">
            <w:pPr>
              <w:spacing w:before="40" w:after="40"/>
              <w:jc w:val="left"/>
              <w:rPr>
                <w:rFonts w:ascii="Arial" w:hAnsi="Arial" w:cs="Arial"/>
                <w:sz w:val="22"/>
                <w:szCs w:val="22"/>
              </w:rPr>
            </w:pPr>
            <w:r w:rsidRPr="00F463BC">
              <w:rPr>
                <w:rFonts w:ascii="Arial" w:hAnsi="Arial" w:cs="Arial"/>
                <w:sz w:val="22"/>
                <w:szCs w:val="22"/>
              </w:rPr>
              <w:t xml:space="preserve">All claims where the claims received date is later than 4 months after </w:t>
            </w:r>
            <w:r w:rsidR="00651E81" w:rsidRPr="00F463BC">
              <w:rPr>
                <w:rFonts w:ascii="Arial" w:hAnsi="Arial" w:cs="Arial"/>
                <w:sz w:val="22"/>
                <w:szCs w:val="22"/>
              </w:rPr>
              <w:t xml:space="preserve">date </w:t>
            </w:r>
            <w:r w:rsidRPr="00F463BC">
              <w:rPr>
                <w:rFonts w:ascii="Arial" w:hAnsi="Arial" w:cs="Arial"/>
                <w:sz w:val="22"/>
                <w:szCs w:val="22"/>
              </w:rPr>
              <w:t>of treatment</w:t>
            </w:r>
            <w:r w:rsidR="001D7A63">
              <w:rPr>
                <w:rFonts w:ascii="Arial" w:hAnsi="Arial" w:cs="Arial"/>
                <w:sz w:val="22"/>
                <w:szCs w:val="22"/>
              </w:rPr>
              <w:t xml:space="preserve"> or longer period as determined by the Rules.</w:t>
            </w:r>
          </w:p>
        </w:tc>
      </w:tr>
      <w:tr w:rsidR="00C7502F" w:rsidRPr="00FF2B5F" w:rsidTr="00944A95">
        <w:trPr>
          <w:cantSplit/>
        </w:trPr>
        <w:tc>
          <w:tcPr>
            <w:tcW w:w="3652" w:type="dxa"/>
          </w:tcPr>
          <w:p w:rsidR="00C7502F"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Claims paid later than 30 days</w:t>
            </w:r>
          </w:p>
        </w:tc>
        <w:tc>
          <w:tcPr>
            <w:tcW w:w="10490" w:type="dxa"/>
          </w:tcPr>
          <w:p w:rsidR="006F0726" w:rsidRPr="00F463BC" w:rsidRDefault="006F0726" w:rsidP="0032037C">
            <w:pPr>
              <w:spacing w:before="40" w:after="40"/>
              <w:jc w:val="left"/>
              <w:rPr>
                <w:rFonts w:ascii="Arial" w:hAnsi="Arial" w:cs="Arial"/>
                <w:sz w:val="22"/>
                <w:szCs w:val="22"/>
              </w:rPr>
            </w:pPr>
            <w:r w:rsidRPr="00F463BC">
              <w:rPr>
                <w:rFonts w:ascii="Arial" w:hAnsi="Arial" w:cs="Arial"/>
                <w:sz w:val="22"/>
                <w:szCs w:val="22"/>
              </w:rPr>
              <w:t>This CAAT lists the claims paid more than 30 days after processed date.</w:t>
            </w:r>
          </w:p>
          <w:p w:rsidR="00C7502F"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A table lists the details of these claims.</w:t>
            </w:r>
          </w:p>
        </w:tc>
      </w:tr>
      <w:tr w:rsidR="006F0726" w:rsidRPr="00FF2B5F" w:rsidTr="00944A95">
        <w:trPr>
          <w:cantSplit/>
        </w:trPr>
        <w:tc>
          <w:tcPr>
            <w:tcW w:w="3652" w:type="dxa"/>
          </w:tcPr>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Negative claims</w:t>
            </w:r>
          </w:p>
        </w:tc>
        <w:tc>
          <w:tcPr>
            <w:tcW w:w="10490" w:type="dxa"/>
          </w:tcPr>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This CAAT checks for "negative benefits" that have been paid (i.e. reversals).</w:t>
            </w:r>
          </w:p>
        </w:tc>
      </w:tr>
      <w:tr w:rsidR="005A71AA" w:rsidRPr="00FF2B5F" w:rsidTr="00944A95">
        <w:trPr>
          <w:cantSplit/>
        </w:trPr>
        <w:tc>
          <w:tcPr>
            <w:tcW w:w="3652" w:type="dxa"/>
          </w:tcPr>
          <w:p w:rsidR="005A71AA" w:rsidRPr="00F463BC" w:rsidRDefault="005A71AA" w:rsidP="0032037C">
            <w:pPr>
              <w:pStyle w:val="Bulletsa"/>
              <w:spacing w:before="40" w:after="40"/>
              <w:rPr>
                <w:rFonts w:ascii="Arial" w:hAnsi="Arial" w:cs="Arial"/>
                <w:sz w:val="22"/>
                <w:szCs w:val="22"/>
              </w:rPr>
            </w:pPr>
            <w:r w:rsidRPr="00F463BC">
              <w:rPr>
                <w:rFonts w:ascii="Arial" w:hAnsi="Arial" w:cs="Arial"/>
                <w:sz w:val="22"/>
                <w:szCs w:val="22"/>
              </w:rPr>
              <w:t>PMB claims paid from savings account</w:t>
            </w:r>
          </w:p>
        </w:tc>
        <w:tc>
          <w:tcPr>
            <w:tcW w:w="10490" w:type="dxa"/>
          </w:tcPr>
          <w:p w:rsidR="005A71AA" w:rsidRPr="00F463BC" w:rsidRDefault="005A71AA" w:rsidP="0032037C">
            <w:pPr>
              <w:spacing w:before="40" w:after="40"/>
              <w:ind w:right="-112"/>
              <w:jc w:val="left"/>
              <w:rPr>
                <w:rFonts w:ascii="Arial" w:hAnsi="Arial" w:cs="Arial"/>
                <w:dstrike/>
                <w:sz w:val="22"/>
                <w:szCs w:val="22"/>
              </w:rPr>
            </w:pPr>
            <w:r w:rsidRPr="00F463BC">
              <w:rPr>
                <w:rFonts w:ascii="Arial" w:hAnsi="Arial" w:cs="Arial"/>
                <w:sz w:val="22"/>
                <w:szCs w:val="22"/>
              </w:rPr>
              <w:t>This CAAT lists PMB claims paid from the member's savings account portion which is in contravention of the Act.</w:t>
            </w:r>
          </w:p>
          <w:p w:rsidR="005A71AA" w:rsidRPr="00F463BC" w:rsidRDefault="005A71AA" w:rsidP="0032037C">
            <w:pPr>
              <w:pStyle w:val="Bulletsa"/>
              <w:spacing w:before="40" w:after="40"/>
              <w:rPr>
                <w:rFonts w:ascii="Arial" w:hAnsi="Arial" w:cs="Arial"/>
                <w:sz w:val="22"/>
                <w:szCs w:val="22"/>
              </w:rPr>
            </w:pPr>
          </w:p>
        </w:tc>
      </w:tr>
      <w:tr w:rsidR="006F0726" w:rsidRPr="00FF2B5F" w:rsidTr="00944A95">
        <w:trPr>
          <w:cantSplit/>
        </w:trPr>
        <w:tc>
          <w:tcPr>
            <w:tcW w:w="3652" w:type="dxa"/>
          </w:tcPr>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Process dates prior to service dates</w:t>
            </w:r>
          </w:p>
        </w:tc>
        <w:tc>
          <w:tcPr>
            <w:tcW w:w="10490" w:type="dxa"/>
          </w:tcPr>
          <w:p w:rsidR="006F0726" w:rsidRPr="00F463BC" w:rsidRDefault="006F0726" w:rsidP="0032037C">
            <w:pPr>
              <w:spacing w:before="40" w:after="40"/>
              <w:ind w:right="-112"/>
              <w:jc w:val="left"/>
              <w:rPr>
                <w:rFonts w:ascii="Arial" w:hAnsi="Arial" w:cs="Arial"/>
                <w:sz w:val="22"/>
                <w:szCs w:val="22"/>
              </w:rPr>
            </w:pPr>
            <w:r w:rsidRPr="00F463BC">
              <w:rPr>
                <w:rFonts w:ascii="Arial" w:hAnsi="Arial" w:cs="Arial"/>
                <w:sz w:val="22"/>
                <w:szCs w:val="22"/>
              </w:rPr>
              <w:t>This CAAT performs a review of the service dates and capturing dates to ensure that no claim is captured prior to the service being rendered.</w:t>
            </w:r>
          </w:p>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The resulting table could indicate fraudulent claims or incorrectly manually processed claims.</w:t>
            </w:r>
          </w:p>
        </w:tc>
      </w:tr>
    </w:tbl>
    <w:p w:rsidR="00362B7C" w:rsidRPr="00F463BC" w:rsidRDefault="00362B7C" w:rsidP="00B82F08">
      <w:pPr>
        <w:pStyle w:val="Heading1"/>
        <w:spacing w:line="271" w:lineRule="auto"/>
        <w:sectPr w:rsidR="00362B7C" w:rsidRPr="00F463BC" w:rsidSect="001B129E">
          <w:headerReference w:type="default" r:id="rId34"/>
          <w:headerReference w:type="first" r:id="rId35"/>
          <w:type w:val="continuous"/>
          <w:pgSz w:w="16834" w:h="11909" w:orient="landscape" w:code="9"/>
          <w:pgMar w:top="1440" w:right="1440" w:bottom="1440" w:left="1440" w:header="720" w:footer="720" w:gutter="0"/>
          <w:cols w:space="720"/>
          <w:noEndnote/>
          <w:docGrid w:linePitch="326"/>
        </w:sectPr>
      </w:pPr>
      <w:bookmarkStart w:id="441" w:name="_Ref300042401"/>
    </w:p>
    <w:p w:rsidR="00AD4E39" w:rsidRDefault="00AD4E39">
      <w:pPr>
        <w:spacing w:before="0" w:after="0"/>
        <w:jc w:val="left"/>
        <w:rPr>
          <w:rFonts w:ascii="Arial" w:hAnsi="Arial" w:cs="Arial"/>
          <w:b/>
          <w:spacing w:val="-2"/>
          <w:sz w:val="28"/>
          <w:szCs w:val="28"/>
          <w:lang w:eastAsia="en-US"/>
        </w:rPr>
      </w:pPr>
      <w:bookmarkStart w:id="442" w:name="_Appendix_9_–"/>
      <w:bookmarkStart w:id="443" w:name="_Appendix_11_–"/>
      <w:bookmarkStart w:id="444" w:name="_Toc300573008"/>
      <w:bookmarkStart w:id="445" w:name="_Ref300580329"/>
      <w:bookmarkStart w:id="446" w:name="_Toc304897975"/>
      <w:bookmarkStart w:id="447" w:name="_Toc305083403"/>
      <w:bookmarkEnd w:id="442"/>
      <w:bookmarkEnd w:id="443"/>
      <w:r>
        <w:br w:type="page"/>
      </w:r>
    </w:p>
    <w:p w:rsidR="003F5755" w:rsidRPr="00F463BC" w:rsidRDefault="003F5755" w:rsidP="00B82F08">
      <w:pPr>
        <w:pStyle w:val="Heading1"/>
        <w:spacing w:line="271" w:lineRule="auto"/>
      </w:pPr>
      <w:bookmarkStart w:id="448" w:name="_Appendix_11_–_1"/>
      <w:bookmarkStart w:id="449" w:name="_Toc455582245"/>
      <w:bookmarkEnd w:id="448"/>
      <w:r w:rsidRPr="00F463BC">
        <w:lastRenderedPageBreak/>
        <w:t xml:space="preserve">Appendix </w:t>
      </w:r>
      <w:r w:rsidR="00753A17" w:rsidRPr="00F463BC">
        <w:t>1</w:t>
      </w:r>
      <w:r w:rsidR="00F65104" w:rsidRPr="00F463BC">
        <w:t>1</w:t>
      </w:r>
      <w:r w:rsidRPr="00F463BC">
        <w:t xml:space="preserve"> – Contribution CAATS</w:t>
      </w:r>
      <w:bookmarkEnd w:id="441"/>
      <w:bookmarkEnd w:id="444"/>
      <w:bookmarkEnd w:id="445"/>
      <w:bookmarkEnd w:id="446"/>
      <w:bookmarkEnd w:id="447"/>
      <w:bookmarkEnd w:id="449"/>
    </w:p>
    <w:p w:rsidR="003F5755" w:rsidRPr="00F463BC" w:rsidRDefault="003F5755" w:rsidP="00B82F08">
      <w:pPr>
        <w:pStyle w:val="Bulletsa"/>
        <w:spacing w:before="0" w:line="271" w:lineRule="auto"/>
        <w:rPr>
          <w:rFonts w:ascii="Arial" w:hAnsi="Arial" w:cs="Arial"/>
          <w:sz w:val="22"/>
          <w:szCs w:val="22"/>
        </w:rPr>
      </w:pPr>
      <w:r w:rsidRPr="00F463BC">
        <w:rPr>
          <w:rFonts w:ascii="Arial" w:hAnsi="Arial" w:cs="Arial"/>
          <w:sz w:val="22"/>
          <w:szCs w:val="22"/>
        </w:rPr>
        <w:t>The examples of contribution CAATS which may be typically performed in a medical scheme environment are set out below:</w:t>
      </w:r>
    </w:p>
    <w:p w:rsidR="00A724D5" w:rsidRPr="00F463BC" w:rsidRDefault="00A724D5" w:rsidP="00B82F08">
      <w:pPr>
        <w:pStyle w:val="Bulletsa"/>
        <w:spacing w:before="0" w:line="271" w:lineRule="auto"/>
        <w:rPr>
          <w:rFonts w:ascii="Arial" w:hAnsi="Arial" w:cs="Arial"/>
          <w:sz w:val="22"/>
          <w:szCs w:val="22"/>
        </w:rPr>
      </w:pPr>
    </w:p>
    <w:tbl>
      <w:tblPr>
        <w:tblStyle w:val="TableGrid"/>
        <w:tblW w:w="0" w:type="auto"/>
        <w:tblLook w:val="04A0" w:firstRow="1" w:lastRow="0" w:firstColumn="1" w:lastColumn="0" w:noHBand="0" w:noVBand="1"/>
      </w:tblPr>
      <w:tblGrid>
        <w:gridCol w:w="3652"/>
        <w:gridCol w:w="10518"/>
      </w:tblGrid>
      <w:tr w:rsidR="00A724D5" w:rsidRPr="00FF2B5F" w:rsidTr="001C495E">
        <w:tc>
          <w:tcPr>
            <w:tcW w:w="3652" w:type="dxa"/>
            <w:shd w:val="clear" w:color="auto" w:fill="BFBFBF" w:themeFill="background1" w:themeFillShade="BF"/>
          </w:tcPr>
          <w:p w:rsidR="00A724D5" w:rsidRPr="00F463BC" w:rsidRDefault="00A724D5" w:rsidP="0032037C">
            <w:pPr>
              <w:pStyle w:val="Bulletsa"/>
              <w:spacing w:before="40" w:after="40"/>
              <w:jc w:val="center"/>
              <w:rPr>
                <w:rFonts w:ascii="Arial" w:hAnsi="Arial" w:cs="Arial"/>
                <w:b/>
                <w:sz w:val="22"/>
                <w:szCs w:val="22"/>
              </w:rPr>
            </w:pPr>
            <w:r w:rsidRPr="00F463BC">
              <w:rPr>
                <w:rFonts w:ascii="Arial" w:hAnsi="Arial" w:cs="Arial"/>
                <w:b/>
                <w:sz w:val="22"/>
                <w:szCs w:val="22"/>
              </w:rPr>
              <w:t>CAAT name</w:t>
            </w:r>
          </w:p>
        </w:tc>
        <w:tc>
          <w:tcPr>
            <w:tcW w:w="10518" w:type="dxa"/>
            <w:shd w:val="clear" w:color="auto" w:fill="BFBFBF" w:themeFill="background1" w:themeFillShade="BF"/>
          </w:tcPr>
          <w:p w:rsidR="00A724D5" w:rsidRPr="00F463BC" w:rsidRDefault="00A724D5" w:rsidP="0032037C">
            <w:pPr>
              <w:pStyle w:val="Bulletsa"/>
              <w:spacing w:before="40" w:after="40"/>
              <w:jc w:val="center"/>
              <w:rPr>
                <w:rFonts w:ascii="Arial" w:hAnsi="Arial" w:cs="Arial"/>
                <w:b/>
                <w:sz w:val="22"/>
                <w:szCs w:val="22"/>
              </w:rPr>
            </w:pPr>
            <w:r w:rsidRPr="00F463BC">
              <w:rPr>
                <w:rFonts w:ascii="Arial" w:hAnsi="Arial" w:cs="Arial"/>
                <w:b/>
                <w:sz w:val="22"/>
                <w:szCs w:val="22"/>
              </w:rPr>
              <w:t>Description</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Subscriptions with a negative value within subscriptions raised</w:t>
            </w:r>
          </w:p>
        </w:tc>
        <w:tc>
          <w:tcPr>
            <w:tcW w:w="10518"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This CAAT lists all the "invoices" being raised for subscriptions due that are "negative" and may indicate invalid journals.</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Subscriptions with a “negative” value within subscriptions paid</w:t>
            </w:r>
          </w:p>
        </w:tc>
        <w:tc>
          <w:tcPr>
            <w:tcW w:w="10518"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This CAAT lists all the "invoices" being paid for subscriptions due that are "negative" and may indicate invalid cash reversals.</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Test for subscriptions with zero values</w:t>
            </w:r>
          </w:p>
        </w:tc>
        <w:tc>
          <w:tcPr>
            <w:tcW w:w="10518" w:type="dxa"/>
          </w:tcPr>
          <w:p w:rsidR="00A724D5" w:rsidRPr="00F463BC" w:rsidRDefault="00A724D5" w:rsidP="0032037C">
            <w:pPr>
              <w:spacing w:before="40" w:after="40"/>
              <w:jc w:val="left"/>
              <w:rPr>
                <w:rFonts w:ascii="Arial" w:hAnsi="Arial" w:cs="Arial"/>
                <w:sz w:val="22"/>
                <w:szCs w:val="22"/>
              </w:rPr>
            </w:pPr>
            <w:r w:rsidRPr="00F463BC">
              <w:rPr>
                <w:rFonts w:ascii="Arial" w:hAnsi="Arial" w:cs="Arial"/>
                <w:sz w:val="22"/>
                <w:szCs w:val="22"/>
              </w:rPr>
              <w:t>This CAAT lists all contributions "invoiced" and "received" with no amounts.</w:t>
            </w:r>
          </w:p>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The resulting list will indicate possible option changes per member that need to be validated.</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All membership codes are valid</w:t>
            </w:r>
          </w:p>
        </w:tc>
        <w:tc>
          <w:tcPr>
            <w:tcW w:w="10518" w:type="dxa"/>
          </w:tcPr>
          <w:p w:rsidR="00A724D5" w:rsidRPr="00F463BC" w:rsidRDefault="00A724D5" w:rsidP="0032037C">
            <w:pPr>
              <w:spacing w:before="40" w:after="40"/>
              <w:jc w:val="left"/>
              <w:rPr>
                <w:rFonts w:ascii="Arial" w:hAnsi="Arial" w:cs="Arial"/>
                <w:sz w:val="22"/>
                <w:szCs w:val="22"/>
              </w:rPr>
            </w:pPr>
            <w:r w:rsidRPr="00F463BC">
              <w:rPr>
                <w:rFonts w:ascii="Arial" w:hAnsi="Arial" w:cs="Arial"/>
                <w:sz w:val="22"/>
                <w:szCs w:val="22"/>
              </w:rPr>
              <w:t>This CAAT tests that subscriptions are only "invoiced" and "received" for individuals that are valid members of the scheme based on the membership master file.</w:t>
            </w:r>
          </w:p>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The resulting table lists possible invalid contributions received or receivable and should be considered for possible over statement of contribution income.</w:t>
            </w:r>
          </w:p>
        </w:tc>
      </w:tr>
    </w:tbl>
    <w:p w:rsidR="003F5755" w:rsidRPr="00F463BC" w:rsidRDefault="003F5755" w:rsidP="00B82F08">
      <w:pPr>
        <w:spacing w:before="0" w:line="271" w:lineRule="auto"/>
        <w:rPr>
          <w:rFonts w:ascii="Arial" w:hAnsi="Arial" w:cs="Arial"/>
          <w:sz w:val="22"/>
          <w:szCs w:val="22"/>
          <w:lang w:eastAsia="en-US"/>
        </w:rPr>
      </w:pPr>
    </w:p>
    <w:p w:rsidR="004D16D5" w:rsidRPr="00F463BC" w:rsidRDefault="004D16D5" w:rsidP="00B82F08">
      <w:pPr>
        <w:pStyle w:val="Heading1"/>
        <w:spacing w:line="271" w:lineRule="auto"/>
        <w:sectPr w:rsidR="004D16D5" w:rsidRPr="00F463BC" w:rsidSect="001B129E">
          <w:headerReference w:type="default" r:id="rId36"/>
          <w:headerReference w:type="first" r:id="rId37"/>
          <w:type w:val="continuous"/>
          <w:pgSz w:w="16834" w:h="11909" w:orient="landscape" w:code="9"/>
          <w:pgMar w:top="1440" w:right="1440" w:bottom="1440" w:left="1440" w:header="720" w:footer="720" w:gutter="0"/>
          <w:cols w:space="720"/>
          <w:noEndnote/>
          <w:docGrid w:linePitch="326"/>
        </w:sectPr>
      </w:pPr>
    </w:p>
    <w:p w:rsidR="00F84136" w:rsidRPr="00F463BC" w:rsidRDefault="00A44526" w:rsidP="00B82F08">
      <w:pPr>
        <w:pStyle w:val="Heading1"/>
        <w:spacing w:line="271" w:lineRule="auto"/>
      </w:pPr>
      <w:bookmarkStart w:id="450" w:name="_Appendix_10_–"/>
      <w:bookmarkStart w:id="451" w:name="_Toc300573009"/>
      <w:bookmarkStart w:id="452" w:name="_Toc304897976"/>
      <w:bookmarkStart w:id="453" w:name="_Toc305083404"/>
      <w:bookmarkStart w:id="454" w:name="_Toc455582246"/>
      <w:bookmarkEnd w:id="450"/>
      <w:r w:rsidRPr="00F463BC">
        <w:lastRenderedPageBreak/>
        <w:t xml:space="preserve">Appendix </w:t>
      </w:r>
      <w:r w:rsidR="00A50012" w:rsidRPr="00F463BC">
        <w:t>1</w:t>
      </w:r>
      <w:r w:rsidR="00165D74" w:rsidRPr="00F463BC">
        <w:t>2</w:t>
      </w:r>
      <w:r w:rsidRPr="00F463BC">
        <w:t xml:space="preserve"> – List of resources</w:t>
      </w:r>
      <w:bookmarkEnd w:id="451"/>
      <w:bookmarkEnd w:id="452"/>
      <w:bookmarkEnd w:id="453"/>
      <w:bookmarkEnd w:id="454"/>
    </w:p>
    <w:p w:rsidR="00A44526" w:rsidRPr="00F463BC" w:rsidRDefault="00A44526" w:rsidP="002D6014">
      <w:pPr>
        <w:spacing w:before="0" w:line="271" w:lineRule="auto"/>
        <w:rPr>
          <w:rFonts w:ascii="Arial" w:hAnsi="Arial" w:cs="Arial"/>
          <w:sz w:val="22"/>
          <w:szCs w:val="22"/>
          <w:lang w:eastAsia="en-US"/>
        </w:rPr>
      </w:pPr>
    </w:p>
    <w:p w:rsidR="002D6014" w:rsidRPr="00F463BC" w:rsidRDefault="002D6014" w:rsidP="002D6014">
      <w:pPr>
        <w:spacing w:before="0" w:line="271" w:lineRule="auto"/>
        <w:rPr>
          <w:rFonts w:ascii="Arial" w:hAnsi="Arial" w:cs="Arial"/>
          <w:sz w:val="22"/>
          <w:szCs w:val="22"/>
          <w:lang w:eastAsia="en-US"/>
        </w:rPr>
      </w:pPr>
    </w:p>
    <w:p w:rsidR="002D6014" w:rsidRPr="00F463BC" w:rsidRDefault="002D6014" w:rsidP="00B82F08">
      <w:pPr>
        <w:spacing w:before="0" w:line="271" w:lineRule="auto"/>
        <w:rPr>
          <w:rFonts w:ascii="Arial" w:hAnsi="Arial" w:cs="Arial"/>
          <w:sz w:val="22"/>
          <w:szCs w:val="22"/>
          <w:lang w:eastAsia="en-US"/>
        </w:rPr>
      </w:pPr>
    </w:p>
    <w:p w:rsidR="00CA7AAF" w:rsidRPr="00F463BC" w:rsidRDefault="00CA7AAF" w:rsidP="00B82F08">
      <w:pPr>
        <w:spacing w:before="0" w:line="271" w:lineRule="auto"/>
        <w:rPr>
          <w:rFonts w:ascii="Arial" w:hAnsi="Arial" w:cs="Arial"/>
          <w:sz w:val="22"/>
          <w:szCs w:val="22"/>
          <w:lang w:eastAsia="en-US"/>
        </w:rPr>
      </w:pPr>
      <w:r w:rsidRPr="00F463BC">
        <w:rPr>
          <w:rFonts w:ascii="Arial" w:hAnsi="Arial" w:cs="Arial"/>
          <w:sz w:val="22"/>
          <w:szCs w:val="22"/>
          <w:lang w:eastAsia="en-US"/>
        </w:rPr>
        <w:t>Useful websites for further information:</w:t>
      </w:r>
    </w:p>
    <w:p w:rsidR="00CA7AAF" w:rsidRPr="00F463BC" w:rsidRDefault="00CA7AAF" w:rsidP="00B82F08">
      <w:pPr>
        <w:spacing w:before="0" w:line="271" w:lineRule="auto"/>
        <w:rPr>
          <w:rFonts w:ascii="Arial" w:hAnsi="Arial" w:cs="Arial"/>
          <w:sz w:val="22"/>
          <w:szCs w:val="22"/>
          <w:lang w:eastAsia="en-US"/>
        </w:rPr>
      </w:pPr>
    </w:p>
    <w:p w:rsidR="006E522B" w:rsidRPr="00F463BC" w:rsidRDefault="0032037C" w:rsidP="00B82F08">
      <w:pPr>
        <w:spacing w:before="0" w:line="271" w:lineRule="auto"/>
        <w:rPr>
          <w:rFonts w:ascii="Arial" w:hAnsi="Arial" w:cs="Arial"/>
          <w:b/>
          <w:sz w:val="22"/>
          <w:szCs w:val="22"/>
          <w:lang w:eastAsia="en-US"/>
        </w:rPr>
      </w:pPr>
      <w:r w:rsidRPr="00F463BC">
        <w:rPr>
          <w:rFonts w:ascii="Arial" w:hAnsi="Arial" w:cs="Arial"/>
          <w:b/>
          <w:sz w:val="22"/>
          <w:szCs w:val="22"/>
          <w:lang w:eastAsia="en-US"/>
        </w:rPr>
        <w:t>Independent Regulatory Board for Auditor (IRBA)</w:t>
      </w:r>
    </w:p>
    <w:p w:rsidR="006E522B" w:rsidRPr="00F463BC" w:rsidRDefault="00C86F03" w:rsidP="00B82F08">
      <w:pPr>
        <w:spacing w:before="0" w:line="271" w:lineRule="auto"/>
        <w:rPr>
          <w:rStyle w:val="Hyperlink"/>
          <w:rFonts w:ascii="Arial" w:hAnsi="Arial" w:cs="Arial"/>
          <w:sz w:val="22"/>
          <w:szCs w:val="22"/>
          <w:lang w:eastAsia="en-US"/>
        </w:rPr>
      </w:pPr>
      <w:hyperlink r:id="rId38" w:history="1">
        <w:r w:rsidR="006E522B" w:rsidRPr="00F463BC">
          <w:rPr>
            <w:rStyle w:val="Hyperlink"/>
            <w:rFonts w:ascii="Arial" w:hAnsi="Arial" w:cs="Arial"/>
            <w:sz w:val="22"/>
            <w:szCs w:val="22"/>
            <w:lang w:eastAsia="en-US"/>
          </w:rPr>
          <w:t>http://www.irba.co.za/index.php/regulated-industries-functions-74/98?task=view</w:t>
        </w:r>
      </w:hyperlink>
    </w:p>
    <w:p w:rsidR="002D6014" w:rsidRPr="00F463BC" w:rsidRDefault="002D6014" w:rsidP="002D6014">
      <w:pPr>
        <w:spacing w:before="0" w:line="271" w:lineRule="auto"/>
        <w:rPr>
          <w:rFonts w:ascii="Arial" w:hAnsi="Arial" w:cs="Arial"/>
          <w:sz w:val="22"/>
          <w:szCs w:val="22"/>
          <w:lang w:eastAsia="en-US"/>
        </w:rPr>
      </w:pPr>
    </w:p>
    <w:p w:rsidR="006E522B" w:rsidRPr="00F463BC" w:rsidRDefault="006E522B" w:rsidP="00B82F08">
      <w:pPr>
        <w:spacing w:before="0" w:line="271" w:lineRule="auto"/>
        <w:rPr>
          <w:rFonts w:ascii="Arial" w:hAnsi="Arial" w:cs="Arial"/>
          <w:sz w:val="22"/>
          <w:szCs w:val="22"/>
          <w:lang w:eastAsia="en-US"/>
        </w:rPr>
      </w:pPr>
    </w:p>
    <w:p w:rsidR="006E522B" w:rsidRPr="00F463BC" w:rsidRDefault="0032037C" w:rsidP="00B82F08">
      <w:pPr>
        <w:spacing w:before="0" w:line="271" w:lineRule="auto"/>
        <w:rPr>
          <w:rFonts w:ascii="Arial" w:hAnsi="Arial" w:cs="Arial"/>
          <w:b/>
          <w:sz w:val="22"/>
          <w:szCs w:val="22"/>
          <w:lang w:eastAsia="en-US"/>
        </w:rPr>
      </w:pPr>
      <w:r w:rsidRPr="00F463BC">
        <w:rPr>
          <w:rFonts w:ascii="Arial" w:hAnsi="Arial" w:cs="Arial"/>
          <w:b/>
          <w:sz w:val="22"/>
          <w:szCs w:val="22"/>
          <w:lang w:eastAsia="en-US"/>
        </w:rPr>
        <w:t>South African Institute of Chartered Accountants (SAICA)</w:t>
      </w:r>
    </w:p>
    <w:p w:rsidR="006E522B" w:rsidRPr="00F463BC" w:rsidRDefault="00C86F03" w:rsidP="00B82F08">
      <w:pPr>
        <w:spacing w:before="0" w:line="271" w:lineRule="auto"/>
        <w:rPr>
          <w:rStyle w:val="Hyperlink"/>
          <w:rFonts w:ascii="Arial" w:hAnsi="Arial" w:cs="Arial"/>
          <w:sz w:val="22"/>
          <w:szCs w:val="22"/>
          <w:lang w:eastAsia="en-US"/>
        </w:rPr>
      </w:pPr>
      <w:hyperlink r:id="rId39" w:history="1">
        <w:r w:rsidR="006E522B" w:rsidRPr="00F463BC">
          <w:rPr>
            <w:rStyle w:val="Hyperlink"/>
            <w:rFonts w:ascii="Arial" w:hAnsi="Arial" w:cs="Arial"/>
            <w:sz w:val="22"/>
            <w:szCs w:val="22"/>
            <w:lang w:eastAsia="en-US"/>
          </w:rPr>
          <w:t>https://www.saica.co.za/TechnicalInformation/Assurance/Guides/tabid/538/language/en-ZA/Default.aspx</w:t>
        </w:r>
      </w:hyperlink>
    </w:p>
    <w:p w:rsidR="002D6014" w:rsidRPr="00F463BC" w:rsidRDefault="002D6014" w:rsidP="002D6014">
      <w:pPr>
        <w:spacing w:before="0" w:line="271" w:lineRule="auto"/>
        <w:rPr>
          <w:rFonts w:ascii="Arial" w:hAnsi="Arial" w:cs="Arial"/>
          <w:sz w:val="22"/>
          <w:szCs w:val="22"/>
          <w:lang w:eastAsia="en-US"/>
        </w:rPr>
      </w:pPr>
    </w:p>
    <w:p w:rsidR="006E522B" w:rsidRPr="00F463BC" w:rsidRDefault="006E522B" w:rsidP="00B82F08">
      <w:pPr>
        <w:spacing w:before="0" w:line="271" w:lineRule="auto"/>
        <w:rPr>
          <w:rFonts w:ascii="Arial" w:hAnsi="Arial" w:cs="Arial"/>
          <w:sz w:val="22"/>
          <w:szCs w:val="22"/>
          <w:lang w:eastAsia="en-US"/>
        </w:rPr>
      </w:pPr>
    </w:p>
    <w:p w:rsidR="006E522B" w:rsidRPr="00F463BC" w:rsidRDefault="0032037C" w:rsidP="00B82F08">
      <w:pPr>
        <w:spacing w:before="0" w:line="271" w:lineRule="auto"/>
        <w:rPr>
          <w:rFonts w:ascii="Arial" w:hAnsi="Arial" w:cs="Arial"/>
          <w:b/>
          <w:sz w:val="22"/>
          <w:szCs w:val="22"/>
          <w:lang w:eastAsia="en-US"/>
        </w:rPr>
      </w:pPr>
      <w:r w:rsidRPr="00F463BC">
        <w:rPr>
          <w:rFonts w:ascii="Arial" w:hAnsi="Arial" w:cs="Arial"/>
          <w:b/>
          <w:sz w:val="22"/>
          <w:szCs w:val="22"/>
          <w:lang w:eastAsia="en-US"/>
        </w:rPr>
        <w:t>Council for Medical Schemes (the Council)</w:t>
      </w:r>
    </w:p>
    <w:p w:rsidR="00A44526" w:rsidRPr="00F463BC" w:rsidRDefault="00C86F03" w:rsidP="00B82F08">
      <w:pPr>
        <w:spacing w:before="0" w:line="271" w:lineRule="auto"/>
        <w:rPr>
          <w:rStyle w:val="Hyperlink"/>
          <w:rFonts w:ascii="Arial" w:hAnsi="Arial" w:cs="Arial"/>
          <w:sz w:val="22"/>
          <w:szCs w:val="22"/>
          <w:lang w:eastAsia="en-US"/>
        </w:rPr>
      </w:pPr>
      <w:hyperlink r:id="rId40" w:history="1">
        <w:r w:rsidR="00A44526" w:rsidRPr="00F463BC">
          <w:rPr>
            <w:rStyle w:val="Hyperlink"/>
            <w:rFonts w:ascii="Arial" w:hAnsi="Arial" w:cs="Arial"/>
            <w:sz w:val="22"/>
            <w:szCs w:val="22"/>
            <w:lang w:eastAsia="en-US"/>
          </w:rPr>
          <w:t>www.medicalschemes.com</w:t>
        </w:r>
      </w:hyperlink>
    </w:p>
    <w:p w:rsidR="002D6014" w:rsidRPr="00F463BC" w:rsidRDefault="002D6014" w:rsidP="002D6014">
      <w:pPr>
        <w:spacing w:before="0" w:line="271" w:lineRule="auto"/>
        <w:rPr>
          <w:rStyle w:val="Hyperlink"/>
          <w:rFonts w:ascii="Arial" w:hAnsi="Arial" w:cs="Arial"/>
          <w:sz w:val="22"/>
          <w:szCs w:val="22"/>
          <w:lang w:eastAsia="en-US"/>
        </w:rPr>
      </w:pPr>
    </w:p>
    <w:p w:rsidR="006E522B" w:rsidRPr="00F463BC" w:rsidRDefault="006E522B" w:rsidP="00B82F08">
      <w:pPr>
        <w:spacing w:before="0" w:line="271" w:lineRule="auto"/>
        <w:rPr>
          <w:rStyle w:val="Hyperlink"/>
          <w:rFonts w:ascii="Arial" w:hAnsi="Arial" w:cs="Arial"/>
          <w:sz w:val="22"/>
          <w:szCs w:val="22"/>
          <w:lang w:eastAsia="en-US"/>
        </w:rPr>
      </w:pPr>
    </w:p>
    <w:p w:rsidR="006E522B" w:rsidRPr="00F463BC" w:rsidRDefault="006E522B" w:rsidP="00B82F08">
      <w:pPr>
        <w:spacing w:before="0" w:line="271" w:lineRule="auto"/>
        <w:rPr>
          <w:rFonts w:ascii="Arial" w:hAnsi="Arial" w:cs="Arial"/>
          <w:b/>
          <w:sz w:val="22"/>
          <w:szCs w:val="22"/>
          <w:lang w:eastAsia="en-US"/>
        </w:rPr>
      </w:pPr>
      <w:r w:rsidRPr="00F463BC">
        <w:rPr>
          <w:rFonts w:ascii="Arial" w:hAnsi="Arial" w:cs="Arial"/>
          <w:b/>
        </w:rPr>
        <w:t>Financial Services Board</w:t>
      </w:r>
      <w:r w:rsidR="0032037C" w:rsidRPr="00F463BC">
        <w:rPr>
          <w:rFonts w:ascii="Arial" w:hAnsi="Arial" w:cs="Arial"/>
          <w:b/>
        </w:rPr>
        <w:t xml:space="preserve"> (FSB)</w:t>
      </w:r>
    </w:p>
    <w:p w:rsidR="00A44526" w:rsidRPr="00F463BC" w:rsidRDefault="00C86F03" w:rsidP="00B82F08">
      <w:pPr>
        <w:spacing w:before="0" w:line="271" w:lineRule="auto"/>
        <w:rPr>
          <w:rFonts w:ascii="Arial" w:hAnsi="Arial" w:cs="Arial"/>
          <w:sz w:val="22"/>
          <w:szCs w:val="22"/>
          <w:lang w:eastAsia="en-US"/>
        </w:rPr>
      </w:pPr>
      <w:hyperlink r:id="rId41" w:history="1">
        <w:r w:rsidR="00A44526" w:rsidRPr="00F463BC">
          <w:rPr>
            <w:rStyle w:val="Hyperlink"/>
            <w:rFonts w:ascii="Arial" w:hAnsi="Arial" w:cs="Arial"/>
            <w:sz w:val="22"/>
            <w:szCs w:val="22"/>
            <w:lang w:eastAsia="en-US"/>
          </w:rPr>
          <w:t>www.fsb.co.za</w:t>
        </w:r>
      </w:hyperlink>
    </w:p>
    <w:sectPr w:rsidR="00A44526" w:rsidRPr="00F463BC" w:rsidSect="001B129E">
      <w:headerReference w:type="default" r:id="rId42"/>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670" w:rsidRPr="004077D6" w:rsidRDefault="00C82670">
      <w:pPr>
        <w:rPr>
          <w:sz w:val="23"/>
          <w:szCs w:val="23"/>
        </w:rPr>
      </w:pPr>
      <w:r w:rsidRPr="004077D6">
        <w:rPr>
          <w:sz w:val="23"/>
          <w:szCs w:val="23"/>
        </w:rPr>
        <w:separator/>
      </w:r>
    </w:p>
  </w:endnote>
  <w:endnote w:type="continuationSeparator" w:id="0">
    <w:p w:rsidR="00C82670" w:rsidRPr="004077D6" w:rsidRDefault="00C82670">
      <w:pPr>
        <w:rPr>
          <w:sz w:val="23"/>
          <w:szCs w:val="23"/>
        </w:rPr>
      </w:pPr>
      <w:r w:rsidRPr="004077D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Pr="004077D6" w:rsidRDefault="00C82670" w:rsidP="00B74100">
    <w:pPr>
      <w:pStyle w:val="Footer"/>
      <w:framePr w:wrap="around" w:vAnchor="text" w:hAnchor="margin" w:xAlign="right" w:y="1"/>
      <w:rPr>
        <w:rStyle w:val="PageNumber"/>
        <w:sz w:val="23"/>
        <w:szCs w:val="23"/>
      </w:rPr>
    </w:pPr>
    <w:r w:rsidRPr="004077D6">
      <w:rPr>
        <w:rStyle w:val="PageNumber"/>
        <w:sz w:val="23"/>
        <w:szCs w:val="23"/>
      </w:rPr>
      <w:fldChar w:fldCharType="begin"/>
    </w:r>
    <w:r w:rsidRPr="004077D6">
      <w:rPr>
        <w:rStyle w:val="PageNumber"/>
        <w:sz w:val="23"/>
        <w:szCs w:val="23"/>
      </w:rPr>
      <w:instrText xml:space="preserve">PAGE  </w:instrText>
    </w:r>
    <w:r w:rsidRPr="004077D6">
      <w:rPr>
        <w:rStyle w:val="PageNumber"/>
        <w:sz w:val="23"/>
        <w:szCs w:val="23"/>
      </w:rPr>
      <w:fldChar w:fldCharType="end"/>
    </w:r>
  </w:p>
  <w:p w:rsidR="00C82670" w:rsidRPr="004077D6" w:rsidRDefault="00C82670" w:rsidP="00DA382E">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Pr="00255B81" w:rsidRDefault="00C82670"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sidR="00C86F03">
      <w:fldChar w:fldCharType="begin"/>
    </w:r>
    <w:r w:rsidR="00C86F03">
      <w:instrText xml:space="preserve"> NUMPAGES   \* MERGEFORMAT </w:instrText>
    </w:r>
    <w:r w:rsidR="00C86F03">
      <w:fldChar w:fldCharType="separate"/>
    </w:r>
    <w:r w:rsidR="00C86F03" w:rsidRPr="00C86F03">
      <w:rPr>
        <w:rFonts w:ascii="Arial" w:hAnsi="Arial" w:cs="Arial"/>
        <w:noProof/>
        <w:sz w:val="22"/>
        <w:szCs w:val="22"/>
      </w:rPr>
      <w:t>92</w:t>
    </w:r>
    <w:r w:rsidR="00C86F03">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Pr="00255B81" w:rsidRDefault="00C82670"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sidR="00C86F03">
      <w:fldChar w:fldCharType="begin"/>
    </w:r>
    <w:r w:rsidR="00C86F03">
      <w:instrText xml:space="preserve"> NUMPAGES   \* MERGEFORMAT </w:instrText>
    </w:r>
    <w:r w:rsidR="00C86F03">
      <w:fldChar w:fldCharType="separate"/>
    </w:r>
    <w:r w:rsidR="00C86F03" w:rsidRPr="00C86F03">
      <w:rPr>
        <w:rFonts w:ascii="Arial" w:hAnsi="Arial" w:cs="Arial"/>
        <w:noProof/>
        <w:sz w:val="22"/>
        <w:szCs w:val="22"/>
      </w:rPr>
      <w:t>92</w:t>
    </w:r>
    <w:r w:rsidR="00C86F03">
      <w:rPr>
        <w:rFonts w:ascii="Arial" w:hAnsi="Arial" w:cs="Arial"/>
        <w:noProof/>
        <w:sz w:val="22"/>
        <w:szCs w:val="22"/>
      </w:rPr>
      <w:fldChar w:fldCharType="end"/>
    </w:r>
    <w:bookmarkStart w:id="207" w:name="_Toc231027705"/>
    <w:bookmarkEnd w:id="20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670" w:rsidRPr="004077D6" w:rsidRDefault="00C82670">
      <w:pPr>
        <w:rPr>
          <w:sz w:val="23"/>
          <w:szCs w:val="23"/>
        </w:rPr>
      </w:pPr>
      <w:r w:rsidRPr="004077D6">
        <w:rPr>
          <w:sz w:val="23"/>
          <w:szCs w:val="23"/>
        </w:rPr>
        <w:separator/>
      </w:r>
    </w:p>
  </w:footnote>
  <w:footnote w:type="continuationSeparator" w:id="0">
    <w:p w:rsidR="00C82670" w:rsidRPr="004077D6" w:rsidRDefault="00C82670">
      <w:pPr>
        <w:rPr>
          <w:sz w:val="23"/>
          <w:szCs w:val="23"/>
        </w:rPr>
      </w:pPr>
      <w:r w:rsidRPr="004077D6">
        <w:rPr>
          <w:sz w:val="23"/>
          <w:szCs w:val="23"/>
        </w:rPr>
        <w:continuationSeparator/>
      </w:r>
    </w:p>
  </w:footnote>
  <w:footnote w:id="1">
    <w:p w:rsidR="00C82670" w:rsidRPr="00935785" w:rsidRDefault="00C82670" w:rsidP="00AB1ED5">
      <w:pPr>
        <w:pStyle w:val="FootnoteText"/>
        <w:tabs>
          <w:tab w:val="left" w:pos="426"/>
        </w:tabs>
        <w:ind w:left="426" w:hanging="426"/>
        <w:rPr>
          <w:rFonts w:ascii="Arial" w:hAnsi="Arial" w:cs="Arial"/>
        </w:rPr>
      </w:pPr>
      <w:r w:rsidRPr="00935785">
        <w:rPr>
          <w:rStyle w:val="FootnoteReference"/>
          <w:rFonts w:ascii="Arial" w:hAnsi="Arial" w:cs="Arial"/>
        </w:rPr>
        <w:footnoteRef/>
      </w:r>
      <w:r>
        <w:rPr>
          <w:rFonts w:ascii="Arial" w:hAnsi="Arial" w:cs="Arial"/>
        </w:rPr>
        <w:t xml:space="preserve"> </w:t>
      </w:r>
      <w:r>
        <w:rPr>
          <w:rFonts w:ascii="Arial" w:hAnsi="Arial" w:cs="Arial"/>
        </w:rPr>
        <w:tab/>
        <w:t xml:space="preserve">Refer to the SAICA website, </w:t>
      </w:r>
      <w:hyperlink r:id="rId1" w:history="1">
        <w:r w:rsidRPr="00FF09BA">
          <w:rPr>
            <w:rStyle w:val="Hyperlink"/>
            <w:rFonts w:ascii="Arial" w:hAnsi="Arial" w:cs="Arial"/>
          </w:rPr>
          <w:t>www.saica.co.za</w:t>
        </w:r>
      </w:hyperlink>
      <w:r>
        <w:rPr>
          <w:rFonts w:ascii="Arial" w:hAnsi="Arial" w:cs="Arial"/>
        </w:rPr>
        <w:t xml:space="preserve"> </w:t>
      </w:r>
    </w:p>
  </w:footnote>
  <w:footnote w:id="2">
    <w:p w:rsidR="00C82670" w:rsidRPr="00731299" w:rsidRDefault="00C82670" w:rsidP="00EC797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 700, </w:t>
      </w:r>
      <w:r w:rsidRPr="00731299">
        <w:rPr>
          <w:rFonts w:ascii="Arial" w:hAnsi="Arial" w:cs="Arial"/>
          <w:i/>
        </w:rPr>
        <w:t>Forming an Opinion and Reporting on Financial Statements.</w:t>
      </w:r>
    </w:p>
  </w:footnote>
  <w:footnote w:id="3">
    <w:p w:rsidR="00C82670" w:rsidRPr="00731299" w:rsidRDefault="00C82670"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B82F08">
        <w:rPr>
          <w:rFonts w:ascii="Arial" w:hAnsi="Arial" w:cs="Arial"/>
        </w:rPr>
        <w:t>ISAE 3000</w:t>
      </w:r>
      <w:r>
        <w:rPr>
          <w:rFonts w:ascii="Arial" w:hAnsi="Arial" w:cs="Arial"/>
        </w:rPr>
        <w:t xml:space="preserve"> (Revised)</w:t>
      </w:r>
      <w:r w:rsidRPr="00731299">
        <w:rPr>
          <w:rFonts w:ascii="Arial" w:hAnsi="Arial" w:cs="Arial"/>
        </w:rPr>
        <w:t xml:space="preserve">, </w:t>
      </w:r>
      <w:r w:rsidRPr="00B82F08">
        <w:rPr>
          <w:rFonts w:ascii="Arial" w:hAnsi="Arial" w:cs="Arial"/>
          <w:i/>
          <w:iCs/>
        </w:rPr>
        <w:t>Assurance Engagements Other Than Audits or Reviews of Historic</w:t>
      </w:r>
      <w:r>
        <w:rPr>
          <w:rFonts w:ascii="Arial" w:hAnsi="Arial" w:cs="Arial"/>
          <w:i/>
          <w:iCs/>
        </w:rPr>
        <w:t>al</w:t>
      </w:r>
      <w:r w:rsidRPr="00B82F08">
        <w:rPr>
          <w:rFonts w:ascii="Arial" w:hAnsi="Arial" w:cs="Arial"/>
          <w:i/>
          <w:iCs/>
        </w:rPr>
        <w:t xml:space="preserve"> Financial Information</w:t>
      </w:r>
      <w:r w:rsidRPr="00731299">
        <w:rPr>
          <w:rFonts w:ascii="Arial" w:hAnsi="Arial" w:cs="Arial"/>
          <w:i/>
          <w:iCs/>
        </w:rPr>
        <w:t>.</w:t>
      </w:r>
    </w:p>
  </w:footnote>
  <w:footnote w:id="4">
    <w:p w:rsidR="00C82670" w:rsidRDefault="00C82670" w:rsidP="00EB17A4">
      <w:pPr>
        <w:pStyle w:val="FootnoteText"/>
        <w:tabs>
          <w:tab w:val="left" w:pos="426"/>
        </w:tabs>
        <w:ind w:left="426" w:hanging="426"/>
      </w:pPr>
      <w:r>
        <w:rPr>
          <w:rStyle w:val="FootnoteReference"/>
        </w:rPr>
        <w:footnoteRef/>
      </w:r>
      <w:r>
        <w:t xml:space="preserve"> </w:t>
      </w:r>
      <w:r>
        <w:tab/>
      </w:r>
      <w:r w:rsidRPr="00766953">
        <w:rPr>
          <w:rFonts w:ascii="Arial" w:hAnsi="Arial" w:cs="Arial"/>
        </w:rPr>
        <w:t xml:space="preserve">ISA 800, </w:t>
      </w:r>
      <w:r w:rsidRPr="00935785">
        <w:rPr>
          <w:rFonts w:ascii="Arial" w:hAnsi="Arial" w:cs="Arial"/>
          <w:i/>
        </w:rPr>
        <w:t>Special Considerations – Audits of Financial Statements Prepared in Accordance with Special Purpose Frameworks</w:t>
      </w:r>
      <w:r>
        <w:rPr>
          <w:rFonts w:ascii="Arial" w:hAnsi="Arial" w:cs="Arial"/>
          <w:i/>
        </w:rPr>
        <w:t>.</w:t>
      </w:r>
    </w:p>
  </w:footnote>
  <w:footnote w:id="5">
    <w:p w:rsidR="00C82670" w:rsidRDefault="00C82670" w:rsidP="00EB17A4">
      <w:pPr>
        <w:pStyle w:val="FootnoteText"/>
        <w:tabs>
          <w:tab w:val="left" w:pos="426"/>
        </w:tabs>
        <w:ind w:left="426" w:hanging="426"/>
      </w:pPr>
      <w:r>
        <w:rPr>
          <w:rStyle w:val="FootnoteReference"/>
        </w:rPr>
        <w:footnoteRef/>
      </w:r>
      <w:r>
        <w:t xml:space="preserve"> </w:t>
      </w:r>
      <w:r>
        <w:tab/>
      </w:r>
      <w:r w:rsidRPr="00766953">
        <w:rPr>
          <w:rFonts w:ascii="Arial" w:hAnsi="Arial" w:cs="Arial"/>
        </w:rPr>
        <w:t xml:space="preserve">ISRE 2410, </w:t>
      </w:r>
      <w:r w:rsidRPr="00935785">
        <w:rPr>
          <w:rFonts w:ascii="Arial" w:hAnsi="Arial" w:cs="Arial"/>
          <w:i/>
        </w:rPr>
        <w:t>Review of Interim Financial Information Performed by the Independent Auditor of the Entity</w:t>
      </w:r>
      <w:r>
        <w:rPr>
          <w:rFonts w:ascii="Arial" w:hAnsi="Arial" w:cs="Arial"/>
          <w:i/>
        </w:rPr>
        <w:t>.</w:t>
      </w:r>
    </w:p>
  </w:footnote>
  <w:footnote w:id="6">
    <w:p w:rsidR="00C82670" w:rsidRPr="00766953" w:rsidRDefault="00C82670" w:rsidP="00944A95">
      <w:pPr>
        <w:pStyle w:val="FootnoteText"/>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6 of 2013, </w:t>
      </w:r>
      <w:r w:rsidRPr="00935785">
        <w:rPr>
          <w:rFonts w:ascii="Arial" w:hAnsi="Arial" w:cs="Arial"/>
          <w:i/>
        </w:rPr>
        <w:t>Annual financial information provided to members.</w:t>
      </w:r>
    </w:p>
  </w:footnote>
  <w:footnote w:id="7">
    <w:p w:rsidR="00C82670" w:rsidRPr="00935785" w:rsidRDefault="00C82670" w:rsidP="00944A95">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ISA 810, </w:t>
      </w:r>
      <w:r w:rsidRPr="00935785">
        <w:rPr>
          <w:rFonts w:ascii="Arial" w:hAnsi="Arial" w:cs="Arial"/>
          <w:i/>
        </w:rPr>
        <w:t>Engagements to Report on Summary Financial Statements</w:t>
      </w:r>
      <w:r w:rsidRPr="00935785">
        <w:rPr>
          <w:rFonts w:ascii="Arial" w:hAnsi="Arial" w:cs="Arial"/>
        </w:rPr>
        <w:t>.</w:t>
      </w:r>
    </w:p>
  </w:footnote>
  <w:footnote w:id="8">
    <w:p w:rsidR="00C82670" w:rsidRPr="00731299" w:rsidRDefault="00C82670" w:rsidP="00AB1ED5">
      <w:pPr>
        <w:pStyle w:val="Footnote"/>
        <w:tabs>
          <w:tab w:val="left" w:pos="426"/>
        </w:tabs>
        <w:ind w:left="426" w:hanging="426"/>
      </w:pPr>
      <w:r w:rsidRPr="00731299">
        <w:rPr>
          <w:rStyle w:val="FootnoteReference"/>
        </w:rPr>
        <w:footnoteRef/>
      </w:r>
      <w:r w:rsidRPr="00731299">
        <w:t xml:space="preserve"> </w:t>
      </w:r>
      <w:r>
        <w:tab/>
      </w:r>
      <w:r w:rsidRPr="00731299">
        <w:t xml:space="preserve">See Circular 25 of 2007, </w:t>
      </w:r>
      <w:r w:rsidRPr="00731299">
        <w:rPr>
          <w:i/>
        </w:rPr>
        <w:t>Auditor Approval in Terms of Section 36(2) of the Medical Schemes Act</w:t>
      </w:r>
      <w:r w:rsidRPr="00731299">
        <w:t xml:space="preserve">, for guidance on the revised auditor approval process from 2007 onwards. The </w:t>
      </w:r>
      <w:r w:rsidRPr="0077295C">
        <w:rPr>
          <w:i/>
        </w:rPr>
        <w:t>Auditor Approval Questionnaire</w:t>
      </w:r>
      <w:r w:rsidRPr="00731299">
        <w:t xml:space="preserve"> is available on the Council’s website, </w:t>
      </w:r>
      <w:hyperlink r:id="rId2" w:history="1">
        <w:r w:rsidRPr="00731299">
          <w:rPr>
            <w:rStyle w:val="Hyperlink"/>
          </w:rPr>
          <w:t>www.medicalschemes.com</w:t>
        </w:r>
      </w:hyperlink>
      <w:r w:rsidRPr="00731299">
        <w:t xml:space="preserve">.   </w:t>
      </w:r>
    </w:p>
  </w:footnote>
  <w:footnote w:id="9">
    <w:p w:rsidR="00C82670" w:rsidRPr="00731299" w:rsidRDefault="00C82670" w:rsidP="00AB1ED5">
      <w:pPr>
        <w:pStyle w:val="FootnoteText"/>
        <w:tabs>
          <w:tab w:val="left" w:pos="426"/>
        </w:tabs>
        <w:ind w:left="426" w:hanging="426"/>
        <w:rPr>
          <w:rFonts w:ascii="Arial" w:hAnsi="Arial" w:cs="Arial"/>
        </w:rPr>
      </w:pPr>
      <w:r w:rsidRPr="00B82F08">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 300, </w:t>
      </w:r>
      <w:r w:rsidRPr="00731299">
        <w:rPr>
          <w:rFonts w:ascii="Arial" w:hAnsi="Arial" w:cs="Arial"/>
          <w:i/>
        </w:rPr>
        <w:t>Planning an Audit of Financial Statements</w:t>
      </w:r>
      <w:r w:rsidRPr="00731299">
        <w:rPr>
          <w:rFonts w:ascii="Arial" w:hAnsi="Arial" w:cs="Arial"/>
        </w:rPr>
        <w:t>.</w:t>
      </w:r>
    </w:p>
  </w:footnote>
  <w:footnote w:id="10">
    <w:p w:rsidR="00C82670" w:rsidRPr="00731299" w:rsidRDefault="00C82670"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ISA 402, </w:t>
      </w:r>
      <w:r w:rsidRPr="00731299">
        <w:rPr>
          <w:rFonts w:ascii="Arial" w:hAnsi="Arial" w:cs="Arial"/>
          <w:i/>
        </w:rPr>
        <w:t>Audit Considerations Relating to an Entity Using a Service Organization.</w:t>
      </w:r>
    </w:p>
  </w:footnote>
  <w:footnote w:id="11">
    <w:p w:rsidR="00C82670" w:rsidRPr="00731299" w:rsidRDefault="00C82670"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ISAE 3402 – </w:t>
      </w:r>
      <w:r w:rsidRPr="00731299">
        <w:rPr>
          <w:rFonts w:ascii="Arial" w:hAnsi="Arial" w:cs="Arial"/>
          <w:i/>
        </w:rPr>
        <w:t>Assurance Reports on Controls at a Service Organization.</w:t>
      </w:r>
    </w:p>
  </w:footnote>
  <w:footnote w:id="12">
    <w:p w:rsidR="00C82670" w:rsidRPr="00731299" w:rsidRDefault="00C82670"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Calculated at scheme and at option level.</w:t>
      </w:r>
    </w:p>
  </w:footnote>
  <w:footnote w:id="13">
    <w:p w:rsidR="00C82670" w:rsidRPr="00F02A11" w:rsidRDefault="00C82670" w:rsidP="00AB1ED5">
      <w:pPr>
        <w:pStyle w:val="FootnoteText"/>
        <w:tabs>
          <w:tab w:val="left" w:pos="426"/>
        </w:tabs>
        <w:ind w:left="426" w:hanging="426"/>
        <w:rPr>
          <w:rFonts w:ascii="Arial" w:hAnsi="Arial" w:cs="Arial"/>
          <w:i/>
        </w:rPr>
      </w:pPr>
      <w:r w:rsidRPr="00F02A11">
        <w:rPr>
          <w:rStyle w:val="FootnoteReference"/>
          <w:rFonts w:ascii="Arial" w:hAnsi="Arial" w:cs="Arial"/>
        </w:rPr>
        <w:footnoteRef/>
      </w:r>
      <w:r w:rsidRPr="00F02A11">
        <w:rPr>
          <w:rFonts w:ascii="Arial" w:hAnsi="Arial" w:cs="Arial"/>
        </w:rPr>
        <w:t xml:space="preserve"> </w:t>
      </w:r>
      <w:r>
        <w:rPr>
          <w:rFonts w:ascii="Arial" w:hAnsi="Arial" w:cs="Arial"/>
        </w:rPr>
        <w:tab/>
      </w:r>
      <w:r w:rsidRPr="00F02A11">
        <w:rPr>
          <w:rFonts w:ascii="Arial" w:hAnsi="Arial" w:cs="Arial"/>
        </w:rPr>
        <w:t xml:space="preserve">Circular 38 of 2011, </w:t>
      </w:r>
      <w:r w:rsidRPr="00F02A11">
        <w:rPr>
          <w:rFonts w:ascii="Arial" w:hAnsi="Arial" w:cs="Arial"/>
          <w:i/>
        </w:rPr>
        <w:t>Personal Medical Savings Accounts.</w:t>
      </w:r>
    </w:p>
  </w:footnote>
  <w:footnote w:id="14">
    <w:p w:rsidR="00C82670" w:rsidRPr="00C721DC" w:rsidRDefault="00C82670" w:rsidP="00C721DC">
      <w:pPr>
        <w:pStyle w:val="FootnoteText"/>
        <w:tabs>
          <w:tab w:val="left" w:pos="426"/>
        </w:tabs>
        <w:ind w:left="426" w:hanging="426"/>
        <w:rPr>
          <w:rFonts w:ascii="Arial" w:hAnsi="Arial" w:cs="Arial"/>
        </w:rPr>
      </w:pPr>
      <w:r w:rsidRPr="00C721DC">
        <w:rPr>
          <w:rStyle w:val="FootnoteReference"/>
          <w:rFonts w:ascii="Arial" w:hAnsi="Arial" w:cs="Arial"/>
        </w:rPr>
        <w:footnoteRef/>
      </w:r>
      <w:r w:rsidRPr="00C721DC">
        <w:rPr>
          <w:rFonts w:ascii="Arial" w:hAnsi="Arial" w:cs="Arial"/>
        </w:rPr>
        <w:t xml:space="preserve"> </w:t>
      </w:r>
      <w:r>
        <w:rPr>
          <w:rFonts w:ascii="Arial" w:hAnsi="Arial" w:cs="Arial"/>
        </w:rPr>
        <w:tab/>
      </w:r>
      <w:r w:rsidRPr="00C721DC">
        <w:rPr>
          <w:rFonts w:ascii="Arial" w:hAnsi="Arial" w:cs="Arial"/>
        </w:rPr>
        <w:t xml:space="preserve">IFRS 4, </w:t>
      </w:r>
      <w:r w:rsidRPr="00C721DC">
        <w:rPr>
          <w:rFonts w:ascii="Arial" w:hAnsi="Arial" w:cs="Arial"/>
          <w:i/>
        </w:rPr>
        <w:t>Insurance Contracts</w:t>
      </w:r>
      <w:r w:rsidRPr="00C721DC">
        <w:rPr>
          <w:rFonts w:ascii="Arial" w:hAnsi="Arial" w:cs="Arial"/>
        </w:rPr>
        <w:t>.</w:t>
      </w:r>
    </w:p>
  </w:footnote>
  <w:footnote w:id="15">
    <w:p w:rsidR="00C82670" w:rsidRPr="00731299" w:rsidRDefault="00C82670" w:rsidP="00AB1ED5">
      <w:pPr>
        <w:pStyle w:val="FootnoteText"/>
        <w:tabs>
          <w:tab w:val="left" w:pos="426"/>
        </w:tabs>
        <w:ind w:left="426" w:hanging="426"/>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7, </w:t>
      </w:r>
      <w:r w:rsidRPr="00731299">
        <w:rPr>
          <w:rFonts w:ascii="Arial" w:hAnsi="Arial" w:cs="Arial"/>
          <w:i/>
        </w:rPr>
        <w:t>Financial Instruments: Disclosures.</w:t>
      </w:r>
    </w:p>
  </w:footnote>
  <w:footnote w:id="16">
    <w:p w:rsidR="00C82670" w:rsidRPr="00731299" w:rsidRDefault="00C82670" w:rsidP="00AB1ED5">
      <w:pPr>
        <w:pStyle w:val="FootnoteText"/>
        <w:tabs>
          <w:tab w:val="left" w:pos="426"/>
        </w:tabs>
        <w:ind w:left="426" w:hanging="426"/>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4, </w:t>
      </w:r>
      <w:r w:rsidRPr="00731299">
        <w:rPr>
          <w:rFonts w:ascii="Arial" w:hAnsi="Arial" w:cs="Arial"/>
          <w:i/>
        </w:rPr>
        <w:t>Insurance Contracts.</w:t>
      </w:r>
    </w:p>
  </w:footnote>
  <w:footnote w:id="17">
    <w:p w:rsidR="00C82670" w:rsidRPr="00944A95" w:rsidRDefault="00C82670" w:rsidP="00AB1ED5">
      <w:pPr>
        <w:pStyle w:val="FootnoteText"/>
        <w:tabs>
          <w:tab w:val="left" w:pos="426"/>
        </w:tabs>
        <w:ind w:left="426" w:hanging="426"/>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r>
      <w:r w:rsidRPr="00F463BC">
        <w:rPr>
          <w:rFonts w:ascii="Arial" w:hAnsi="Arial" w:cs="Arial"/>
        </w:rPr>
        <w:t xml:space="preserve">IFRS 7, </w:t>
      </w:r>
      <w:r w:rsidRPr="00F463BC">
        <w:rPr>
          <w:rFonts w:ascii="Arial" w:hAnsi="Arial" w:cs="Arial"/>
          <w:i/>
        </w:rPr>
        <w:t>Financial Instruments: Disclosures.</w:t>
      </w:r>
    </w:p>
  </w:footnote>
  <w:footnote w:id="18">
    <w:p w:rsidR="00C82670" w:rsidRPr="00944A95" w:rsidRDefault="00C82670" w:rsidP="00944A95">
      <w:pPr>
        <w:pStyle w:val="FootnoteText"/>
        <w:ind w:left="284" w:hanging="284"/>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t>Refer to Regulation 6(4) which specifies the different time frames for invalid claims.</w:t>
      </w:r>
    </w:p>
  </w:footnote>
  <w:footnote w:id="19">
    <w:p w:rsidR="00C82670" w:rsidRPr="00944A95" w:rsidRDefault="00C82670" w:rsidP="00944A95">
      <w:pPr>
        <w:pStyle w:val="FootnoteText"/>
        <w:ind w:left="426" w:hanging="426"/>
        <w:rPr>
          <w:rFonts w:ascii="Arial" w:hAnsi="Arial" w:cs="Arial"/>
        </w:rPr>
      </w:pPr>
      <w:r w:rsidRPr="00944A95">
        <w:rPr>
          <w:rStyle w:val="FootnoteReference"/>
          <w:rFonts w:ascii="Arial" w:hAnsi="Arial" w:cs="Arial"/>
        </w:rPr>
        <w:footnoteRef/>
      </w:r>
      <w:r w:rsidRPr="00944A95">
        <w:rPr>
          <w:rFonts w:ascii="Arial" w:hAnsi="Arial" w:cs="Arial"/>
        </w:rPr>
        <w:t xml:space="preserve"> </w:t>
      </w:r>
      <w:r>
        <w:rPr>
          <w:rFonts w:ascii="Arial" w:hAnsi="Arial" w:cs="Arial"/>
        </w:rPr>
        <w:tab/>
      </w:r>
      <w:r w:rsidRPr="00944A95">
        <w:rPr>
          <w:rFonts w:ascii="Arial" w:hAnsi="Arial" w:cs="Arial"/>
        </w:rPr>
        <w:t>Cognisance should be taken of any guidance issued by the Council in this regard.</w:t>
      </w:r>
    </w:p>
  </w:footnote>
  <w:footnote w:id="20">
    <w:p w:rsidR="00C82670" w:rsidRPr="002004A8" w:rsidRDefault="00C82670" w:rsidP="00AB1ED5">
      <w:pPr>
        <w:pStyle w:val="FootnoteText"/>
        <w:tabs>
          <w:tab w:val="left" w:pos="426"/>
        </w:tabs>
        <w:ind w:left="426" w:hanging="426"/>
        <w:rPr>
          <w:rFonts w:ascii="Arial" w:hAnsi="Arial" w:cs="Arial"/>
          <w:i/>
        </w:rPr>
      </w:pPr>
      <w:r w:rsidRPr="002004A8">
        <w:rPr>
          <w:rStyle w:val="FootnoteReference"/>
          <w:rFonts w:ascii="Arial" w:hAnsi="Arial" w:cs="Arial"/>
        </w:rPr>
        <w:footnoteRef/>
      </w:r>
      <w:r w:rsidRPr="002004A8">
        <w:rPr>
          <w:rFonts w:ascii="Arial" w:hAnsi="Arial" w:cs="Arial"/>
        </w:rPr>
        <w:t xml:space="preserve"> </w:t>
      </w:r>
      <w:r>
        <w:rPr>
          <w:rFonts w:ascii="Arial" w:hAnsi="Arial" w:cs="Arial"/>
        </w:rPr>
        <w:tab/>
      </w:r>
      <w:r w:rsidRPr="002004A8">
        <w:rPr>
          <w:rFonts w:ascii="Arial" w:hAnsi="Arial" w:cs="Arial"/>
        </w:rPr>
        <w:t xml:space="preserve">Circular 38 of 2011, </w:t>
      </w:r>
      <w:r w:rsidRPr="002004A8">
        <w:rPr>
          <w:rFonts w:ascii="Arial" w:hAnsi="Arial" w:cs="Arial"/>
          <w:i/>
        </w:rPr>
        <w:t>Personal Medical Savings Accounts.</w:t>
      </w:r>
    </w:p>
  </w:footnote>
  <w:footnote w:id="21">
    <w:p w:rsidR="00C82670" w:rsidRPr="00226802" w:rsidRDefault="00C82670" w:rsidP="00AB1ED5">
      <w:pPr>
        <w:pStyle w:val="FootnoteText"/>
        <w:tabs>
          <w:tab w:val="left" w:pos="426"/>
        </w:tabs>
        <w:ind w:left="426" w:hanging="426"/>
        <w:rPr>
          <w:rFonts w:ascii="Arial" w:hAnsi="Arial" w:cs="Arial"/>
        </w:rPr>
      </w:pPr>
      <w:r w:rsidRPr="00226802">
        <w:rPr>
          <w:rStyle w:val="FootnoteReference"/>
          <w:rFonts w:ascii="Arial" w:hAnsi="Arial" w:cs="Arial"/>
        </w:rPr>
        <w:footnoteRef/>
      </w:r>
      <w:r w:rsidRPr="00226802">
        <w:rPr>
          <w:rFonts w:ascii="Arial" w:hAnsi="Arial" w:cs="Arial"/>
        </w:rPr>
        <w:t xml:space="preserve"> </w:t>
      </w:r>
      <w:r>
        <w:rPr>
          <w:rFonts w:ascii="Arial" w:hAnsi="Arial" w:cs="Arial"/>
        </w:rPr>
        <w:tab/>
      </w:r>
      <w:r w:rsidRPr="00226802">
        <w:rPr>
          <w:rFonts w:ascii="Arial" w:hAnsi="Arial" w:cs="Arial"/>
        </w:rPr>
        <w:t xml:space="preserve">Circular 5 of 2012, </w:t>
      </w:r>
      <w:r w:rsidRPr="00226802">
        <w:rPr>
          <w:rFonts w:ascii="Arial" w:hAnsi="Arial" w:cs="Arial"/>
          <w:i/>
        </w:rPr>
        <w:t>Clarification of Circular 38 of 2011 regarding personal medical savings accounts</w:t>
      </w:r>
      <w:r w:rsidRPr="00226802">
        <w:rPr>
          <w:rFonts w:ascii="Arial" w:hAnsi="Arial" w:cs="Arial"/>
        </w:rPr>
        <w:t>.</w:t>
      </w:r>
    </w:p>
  </w:footnote>
  <w:footnote w:id="22">
    <w:p w:rsidR="00C82670" w:rsidRPr="005A590B" w:rsidRDefault="00C82670" w:rsidP="00AB1ED5">
      <w:pPr>
        <w:pStyle w:val="CommentText"/>
        <w:tabs>
          <w:tab w:val="left" w:pos="426"/>
        </w:tabs>
        <w:ind w:left="426" w:hanging="426"/>
        <w:rPr>
          <w:rFonts w:ascii="Arial" w:hAnsi="Arial" w:cs="Arial"/>
          <w:lang w:eastAsia="en-US"/>
        </w:rPr>
      </w:pPr>
      <w:r w:rsidRPr="00C721DC">
        <w:rPr>
          <w:rStyle w:val="FootnoteReference"/>
          <w:rFonts w:ascii="Arial" w:hAnsi="Arial" w:cs="Arial"/>
        </w:rPr>
        <w:footnoteRef/>
      </w:r>
      <w:r w:rsidRPr="00C721DC">
        <w:rPr>
          <w:rFonts w:ascii="Arial" w:hAnsi="Arial" w:cs="Arial"/>
        </w:rPr>
        <w:t xml:space="preserve"> </w:t>
      </w:r>
      <w:r w:rsidRPr="00C721DC">
        <w:rPr>
          <w:rFonts w:ascii="Arial" w:hAnsi="Arial" w:cs="Arial"/>
        </w:rPr>
        <w:tab/>
      </w:r>
      <w:r w:rsidRPr="005A590B">
        <w:rPr>
          <w:rFonts w:ascii="Arial" w:hAnsi="Arial" w:cs="Arial"/>
          <w:lang w:eastAsia="en-US"/>
        </w:rPr>
        <w:t xml:space="preserve">Per Circular 33 of 2013, </w:t>
      </w:r>
      <w:r w:rsidRPr="005A590B">
        <w:rPr>
          <w:rFonts w:ascii="Arial" w:hAnsi="Arial" w:cs="Arial"/>
          <w:i/>
          <w:lang w:eastAsia="en-US"/>
        </w:rPr>
        <w:t xml:space="preserve">Guidance on benefit changes and contribution increases for 2014, </w:t>
      </w:r>
      <w:r w:rsidRPr="005A590B">
        <w:rPr>
          <w:rFonts w:ascii="Arial" w:hAnsi="Arial" w:cs="Arial"/>
          <w:lang w:eastAsia="en-US"/>
        </w:rPr>
        <w:t>the scheme is not required to use an actuary in the pricing of their benefits:</w:t>
      </w:r>
    </w:p>
    <w:p w:rsidR="00C82670" w:rsidRPr="00935785" w:rsidRDefault="00C82670" w:rsidP="00AB1ED5">
      <w:pPr>
        <w:pStyle w:val="CommentText"/>
        <w:tabs>
          <w:tab w:val="left" w:pos="426"/>
        </w:tabs>
        <w:spacing w:before="0" w:after="0"/>
        <w:ind w:left="426" w:hanging="426"/>
        <w:rPr>
          <w:rFonts w:ascii="Arial" w:hAnsi="Arial" w:cs="Arial"/>
          <w:lang w:eastAsia="en-US"/>
        </w:rPr>
      </w:pPr>
      <w:r w:rsidRPr="005A590B">
        <w:rPr>
          <w:rFonts w:ascii="Arial" w:hAnsi="Arial" w:cs="Arial"/>
          <w:lang w:eastAsia="en-US"/>
        </w:rPr>
        <w:tab/>
        <w:t xml:space="preserve">“As indicated in Circular 29 of 2012, a report that is sent together with the proposed amendments must take into account the requirements of the Advisory Practice Note (APN) published by the Actuarial Society of South Africa, and specifically APN303 – Advice to South African Medical Schemes on Adequacy of Contributions (replaces PGN303). This report must be prepared by a </w:t>
      </w:r>
      <w:r w:rsidRPr="00935785">
        <w:rPr>
          <w:rFonts w:ascii="Arial" w:hAnsi="Arial" w:cs="Arial"/>
          <w:lang w:eastAsia="en-US"/>
        </w:rPr>
        <w:t>person with the appropriate actuarial and/or statistical skills and should include the following detailed information:</w:t>
      </w:r>
    </w:p>
    <w:p w:rsidR="00C82670" w:rsidRPr="00935785" w:rsidRDefault="00C82670"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benefit changes</w:t>
      </w:r>
    </w:p>
    <w:p w:rsidR="00C82670" w:rsidRPr="00935785" w:rsidRDefault="00C82670"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contributions increases</w:t>
      </w:r>
    </w:p>
    <w:p w:rsidR="00C82670" w:rsidRPr="00935785" w:rsidRDefault="00C82670" w:rsidP="00F1319F">
      <w:pPr>
        <w:pStyle w:val="CommentText"/>
        <w:numPr>
          <w:ilvl w:val="0"/>
          <w:numId w:val="216"/>
        </w:numPr>
        <w:spacing w:before="0" w:after="0"/>
        <w:rPr>
          <w:rFonts w:ascii="Arial" w:hAnsi="Arial" w:cs="Arial"/>
          <w:lang w:eastAsia="en-US"/>
        </w:rPr>
      </w:pPr>
      <w:r w:rsidRPr="00935785">
        <w:rPr>
          <w:rFonts w:ascii="Arial" w:hAnsi="Arial" w:cs="Arial"/>
          <w:lang w:eastAsia="en-US"/>
        </w:rPr>
        <w:t>non-healthcare expenses</w:t>
      </w:r>
    </w:p>
    <w:p w:rsidR="00C82670" w:rsidRPr="00935785" w:rsidRDefault="00C82670"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assumptions</w:t>
      </w:r>
    </w:p>
    <w:p w:rsidR="00C82670" w:rsidRPr="00935785" w:rsidRDefault="00C82670"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financial projections</w:t>
      </w:r>
    </w:p>
    <w:p w:rsidR="00C82670" w:rsidRPr="00935785" w:rsidRDefault="00C82670" w:rsidP="00F1319F">
      <w:pPr>
        <w:pStyle w:val="FootnoteText"/>
        <w:ind w:left="360"/>
        <w:rPr>
          <w:rFonts w:ascii="Arial" w:hAnsi="Arial" w:cs="Arial"/>
        </w:rPr>
      </w:pPr>
      <w:r w:rsidRPr="00935785">
        <w:rPr>
          <w:rFonts w:ascii="Arial" w:hAnsi="Arial" w:cs="Arial"/>
        </w:rPr>
        <w:t xml:space="preserve">This Advisory Practice Note is published by the Actuarial Society of South Africa and can be found on their website, </w:t>
      </w:r>
      <w:hyperlink r:id="rId3" w:history="1">
        <w:r w:rsidRPr="00935785">
          <w:rPr>
            <w:rStyle w:val="Hyperlink"/>
            <w:rFonts w:ascii="Arial" w:hAnsi="Arial" w:cs="Arial"/>
          </w:rPr>
          <w:t>www.actuarialsociety.org.za</w:t>
        </w:r>
      </w:hyperlink>
      <w:r w:rsidRPr="00935785">
        <w:rPr>
          <w:rFonts w:ascii="Arial" w:hAnsi="Arial" w:cs="Arial"/>
        </w:rPr>
        <w:t xml:space="preserve">. </w:t>
      </w:r>
    </w:p>
  </w:footnote>
  <w:footnote w:id="23">
    <w:p w:rsidR="00C82670" w:rsidRPr="00935785" w:rsidRDefault="00C82670" w:rsidP="00F1319F">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ISAE 3402, </w:t>
      </w:r>
      <w:r w:rsidRPr="00935785">
        <w:rPr>
          <w:rFonts w:ascii="Arial" w:hAnsi="Arial" w:cs="Arial"/>
          <w:i/>
        </w:rPr>
        <w:t>Assurance Reports on Controls at a Service Organization.</w:t>
      </w:r>
    </w:p>
  </w:footnote>
  <w:footnote w:id="24">
    <w:p w:rsidR="00C82670" w:rsidRPr="00935785" w:rsidRDefault="00C82670" w:rsidP="00F1319F">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Refer to the SAICA website, </w:t>
      </w:r>
      <w:hyperlink r:id="rId4" w:history="1">
        <w:r w:rsidRPr="00935785">
          <w:rPr>
            <w:rStyle w:val="Hyperlink"/>
            <w:rFonts w:ascii="Arial" w:hAnsi="Arial" w:cs="Arial"/>
          </w:rPr>
          <w:t>www.saica.co.za</w:t>
        </w:r>
      </w:hyperlink>
      <w:r w:rsidRPr="00935785">
        <w:rPr>
          <w:rStyle w:val="Hyperlink"/>
          <w:rFonts w:ascii="Arial" w:hAnsi="Arial" w:cs="Arial"/>
        </w:rPr>
        <w:t>.</w:t>
      </w:r>
    </w:p>
  </w:footnote>
  <w:footnote w:id="25">
    <w:p w:rsidR="00C82670" w:rsidRPr="00F1319F" w:rsidRDefault="00C82670" w:rsidP="00F1319F">
      <w:pPr>
        <w:pStyle w:val="FootnoteText"/>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ab/>
      </w:r>
      <w:r w:rsidRPr="00F1319F">
        <w:rPr>
          <w:rFonts w:ascii="Arial" w:hAnsi="Arial" w:cs="Arial"/>
        </w:rPr>
        <w:t xml:space="preserve">International Accounting Standard 24, </w:t>
      </w:r>
      <w:r w:rsidRPr="00F1319F">
        <w:rPr>
          <w:rFonts w:ascii="Arial" w:hAnsi="Arial" w:cs="Arial"/>
          <w:i/>
        </w:rPr>
        <w:t>Related Party Disclosures.</w:t>
      </w:r>
    </w:p>
  </w:footnote>
  <w:footnote w:id="26">
    <w:p w:rsidR="00C82670" w:rsidRPr="002A76A1" w:rsidRDefault="00C82670" w:rsidP="00085C12">
      <w:pPr>
        <w:pStyle w:val="FootnoteText"/>
        <w:tabs>
          <w:tab w:val="left" w:pos="426"/>
        </w:tabs>
        <w:ind w:left="426" w:hanging="426"/>
        <w:rPr>
          <w:rFonts w:ascii="Arial" w:hAnsi="Arial" w:cs="Arial"/>
        </w:rPr>
      </w:pPr>
      <w:r w:rsidRPr="002A76A1">
        <w:rPr>
          <w:rStyle w:val="FootnoteReference"/>
          <w:rFonts w:ascii="Arial" w:hAnsi="Arial" w:cs="Arial"/>
        </w:rPr>
        <w:footnoteRef/>
      </w:r>
      <w:r w:rsidRPr="002A76A1">
        <w:rPr>
          <w:rFonts w:ascii="Arial" w:hAnsi="Arial" w:cs="Arial"/>
        </w:rPr>
        <w:t xml:space="preserve"> </w:t>
      </w:r>
      <w:r>
        <w:rPr>
          <w:rFonts w:ascii="Arial" w:hAnsi="Arial" w:cs="Arial"/>
        </w:rPr>
        <w:tab/>
      </w:r>
      <w:r w:rsidRPr="002A76A1">
        <w:rPr>
          <w:rFonts w:ascii="Arial" w:hAnsi="Arial" w:cs="Arial"/>
        </w:rPr>
        <w:t xml:space="preserve">Circular 13 of 2001, </w:t>
      </w:r>
      <w:r w:rsidRPr="002A76A1">
        <w:rPr>
          <w:rFonts w:ascii="Arial" w:hAnsi="Arial" w:cs="Arial"/>
          <w:i/>
        </w:rPr>
        <w:t>Non-Distributable Reserves in Solvency Calculation.</w:t>
      </w:r>
    </w:p>
  </w:footnote>
  <w:footnote w:id="27">
    <w:p w:rsidR="00C82670" w:rsidRPr="001F4D71" w:rsidRDefault="00C82670" w:rsidP="00085C12">
      <w:pPr>
        <w:pStyle w:val="FootnoteText"/>
        <w:tabs>
          <w:tab w:val="left" w:pos="426"/>
        </w:tabs>
        <w:ind w:left="426" w:hanging="426"/>
        <w:rPr>
          <w:rFonts w:ascii="Arial" w:hAnsi="Arial" w:cs="Arial"/>
        </w:rPr>
      </w:pPr>
      <w:r w:rsidRPr="001F4D71">
        <w:rPr>
          <w:rStyle w:val="FootnoteReference"/>
          <w:rFonts w:ascii="Arial" w:hAnsi="Arial" w:cs="Arial"/>
        </w:rPr>
        <w:footnoteRef/>
      </w:r>
      <w:r w:rsidRPr="001F4D71">
        <w:rPr>
          <w:rFonts w:ascii="Arial" w:hAnsi="Arial" w:cs="Arial"/>
        </w:rPr>
        <w:t xml:space="preserve"> </w:t>
      </w:r>
      <w:r>
        <w:rPr>
          <w:rFonts w:ascii="Arial" w:hAnsi="Arial" w:cs="Arial"/>
        </w:rPr>
        <w:tab/>
      </w:r>
      <w:r w:rsidRPr="001F4D71">
        <w:rPr>
          <w:rFonts w:ascii="Arial" w:hAnsi="Arial" w:cs="Arial"/>
        </w:rPr>
        <w:t xml:space="preserve">Circular 4 of 2008, </w:t>
      </w:r>
      <w:r w:rsidRPr="001F4D71">
        <w:rPr>
          <w:rFonts w:ascii="Arial" w:hAnsi="Arial" w:cs="Arial"/>
          <w:i/>
        </w:rPr>
        <w:t>Inclusion of Benefit Options Results in the Annual Financial Statements.</w:t>
      </w:r>
    </w:p>
  </w:footnote>
  <w:footnote w:id="28">
    <w:p w:rsidR="00C82670" w:rsidRPr="00F1319F" w:rsidRDefault="00C82670" w:rsidP="00F1319F">
      <w:pPr>
        <w:pStyle w:val="FootnoteText"/>
        <w:spacing w:before="0" w:after="0"/>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ab/>
      </w:r>
      <w:r w:rsidRPr="00F1319F">
        <w:rPr>
          <w:rFonts w:ascii="Arial" w:hAnsi="Arial" w:cs="Arial"/>
        </w:rPr>
        <w:t>Although the purpose of this section is to aid an auditor of a medical scheme in understanding auditor reporting, the reporting responsibilities of a board of trustees is included:</w:t>
      </w:r>
    </w:p>
    <w:p w:rsidR="00C82670" w:rsidRPr="00F1319F" w:rsidRDefault="00C82670" w:rsidP="00F1319F">
      <w:pPr>
        <w:pStyle w:val="FootnoteText"/>
        <w:numPr>
          <w:ilvl w:val="0"/>
          <w:numId w:val="296"/>
        </w:numPr>
        <w:spacing w:before="0" w:after="0"/>
        <w:ind w:left="851" w:hanging="425"/>
        <w:rPr>
          <w:rFonts w:ascii="Arial" w:hAnsi="Arial" w:cs="Arial"/>
        </w:rPr>
      </w:pPr>
      <w:r w:rsidRPr="00F1319F">
        <w:rPr>
          <w:rFonts w:ascii="Arial" w:hAnsi="Arial" w:cs="Arial"/>
        </w:rPr>
        <w:t xml:space="preserve">In order for an auditor to distinguish between the relative reporting responsibilities; </w:t>
      </w:r>
    </w:p>
    <w:p w:rsidR="00C82670" w:rsidRPr="00F1319F" w:rsidRDefault="00C82670" w:rsidP="00F1319F">
      <w:pPr>
        <w:pStyle w:val="FootnoteText"/>
        <w:numPr>
          <w:ilvl w:val="0"/>
          <w:numId w:val="296"/>
        </w:numPr>
        <w:spacing w:before="0" w:after="0"/>
        <w:ind w:left="851" w:hanging="425"/>
        <w:rPr>
          <w:rFonts w:ascii="Arial" w:hAnsi="Arial" w:cs="Arial"/>
        </w:rPr>
      </w:pPr>
      <w:r w:rsidRPr="00F1319F">
        <w:rPr>
          <w:rFonts w:ascii="Arial" w:hAnsi="Arial" w:cs="Arial"/>
        </w:rPr>
        <w:t>In order for an auditor to understand how to report on non-compliance which has been reported in the report of the board of trustees; and</w:t>
      </w:r>
    </w:p>
    <w:p w:rsidR="00C82670" w:rsidRPr="00F1319F" w:rsidRDefault="00C82670" w:rsidP="00F1319F">
      <w:pPr>
        <w:pStyle w:val="FootnoteText"/>
        <w:numPr>
          <w:ilvl w:val="0"/>
          <w:numId w:val="296"/>
        </w:numPr>
        <w:spacing w:before="0" w:after="0"/>
        <w:ind w:left="851" w:hanging="425"/>
        <w:rPr>
          <w:rFonts w:ascii="Arial" w:hAnsi="Arial" w:cs="Arial"/>
        </w:rPr>
      </w:pPr>
      <w:r w:rsidRPr="00F1319F">
        <w:rPr>
          <w:rFonts w:ascii="Arial" w:hAnsi="Arial" w:cs="Arial"/>
        </w:rPr>
        <w:t>For the sake of completeness.</w:t>
      </w:r>
    </w:p>
  </w:footnote>
  <w:footnote w:id="29">
    <w:p w:rsidR="00C82670" w:rsidRPr="00935785" w:rsidRDefault="00C82670" w:rsidP="00F1319F">
      <w:pPr>
        <w:pStyle w:val="FootnoteText"/>
        <w:tabs>
          <w:tab w:val="left" w:pos="426"/>
        </w:tabs>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Refer to the SAICA website, </w:t>
      </w:r>
      <w:hyperlink r:id="rId5" w:history="1">
        <w:r w:rsidRPr="00935785">
          <w:rPr>
            <w:rStyle w:val="Hyperlink"/>
            <w:rFonts w:ascii="Arial" w:hAnsi="Arial" w:cs="Arial"/>
          </w:rPr>
          <w:t>www.saica.co.za</w:t>
        </w:r>
      </w:hyperlink>
      <w:r w:rsidRPr="00935785">
        <w:rPr>
          <w:rStyle w:val="Hyperlink"/>
          <w:rFonts w:ascii="Arial" w:hAnsi="Arial" w:cs="Arial"/>
        </w:rPr>
        <w:t>.</w:t>
      </w:r>
    </w:p>
  </w:footnote>
  <w:footnote w:id="30">
    <w:p w:rsidR="00C82670" w:rsidRPr="00935785" w:rsidRDefault="00C82670" w:rsidP="00F1319F">
      <w:pPr>
        <w:pStyle w:val="FootnoteText"/>
        <w:tabs>
          <w:tab w:val="left" w:pos="426"/>
        </w:tabs>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Circular 41 of 2012, </w:t>
      </w:r>
      <w:r w:rsidRPr="00935785">
        <w:rPr>
          <w:rFonts w:ascii="Arial" w:hAnsi="Arial" w:cs="Arial"/>
          <w:i/>
        </w:rPr>
        <w:t>Prescribed format for the Statement of Comprehensive Income and disclosures required in respect of PMSA.</w:t>
      </w:r>
    </w:p>
  </w:footnote>
  <w:footnote w:id="31">
    <w:p w:rsidR="00C82670" w:rsidRPr="00731299" w:rsidRDefault="00C82670" w:rsidP="00F1319F">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720</w:t>
      </w:r>
      <w:r>
        <w:rPr>
          <w:rFonts w:ascii="Arial" w:hAnsi="Arial" w:cs="Arial"/>
        </w:rPr>
        <w:t xml:space="preserve">, </w:t>
      </w:r>
      <w:r w:rsidRPr="00731299">
        <w:rPr>
          <w:rFonts w:ascii="Arial" w:hAnsi="Arial" w:cs="Arial"/>
          <w:i/>
        </w:rPr>
        <w:t>The Auditor’s Responsibilities Relating to Other Information in Documents Containing Audited Financial Statements.</w:t>
      </w:r>
    </w:p>
  </w:footnote>
  <w:footnote w:id="32">
    <w:p w:rsidR="00C82670" w:rsidRPr="00DB5ADD" w:rsidRDefault="00C82670" w:rsidP="00F1319F">
      <w:pPr>
        <w:pStyle w:val="FootnoteText"/>
        <w:tabs>
          <w:tab w:val="left" w:pos="426"/>
        </w:tabs>
        <w:ind w:left="426" w:hanging="426"/>
        <w:rPr>
          <w:rFonts w:ascii="Arial" w:hAnsi="Arial" w:cs="Arial"/>
        </w:rPr>
      </w:pPr>
      <w:r w:rsidRPr="00DB5ADD">
        <w:rPr>
          <w:rStyle w:val="FootnoteReference"/>
          <w:rFonts w:ascii="Arial" w:hAnsi="Arial" w:cs="Arial"/>
        </w:rPr>
        <w:footnoteRef/>
      </w:r>
      <w:r w:rsidRPr="00DB5ADD">
        <w:rPr>
          <w:rFonts w:ascii="Arial" w:hAnsi="Arial" w:cs="Arial"/>
        </w:rPr>
        <w:t xml:space="preserve">  </w:t>
      </w:r>
      <w:r>
        <w:rPr>
          <w:rFonts w:ascii="Arial" w:hAnsi="Arial" w:cs="Arial"/>
        </w:rPr>
        <w:tab/>
      </w:r>
      <w:r w:rsidRPr="00DB5ADD">
        <w:rPr>
          <w:rFonts w:ascii="Arial" w:hAnsi="Arial" w:cs="Arial"/>
        </w:rPr>
        <w:t xml:space="preserve">ISA 700, </w:t>
      </w:r>
      <w:r w:rsidRPr="00B82F08">
        <w:rPr>
          <w:rFonts w:ascii="Arial" w:hAnsi="Arial" w:cs="Arial"/>
          <w:i/>
        </w:rPr>
        <w:t>Forming an Opinion and Reporting on Financial Statements</w:t>
      </w:r>
      <w:r w:rsidRPr="00DB5ADD">
        <w:rPr>
          <w:rFonts w:ascii="Arial" w:hAnsi="Arial" w:cs="Arial"/>
          <w:i/>
        </w:rPr>
        <w:t>.</w:t>
      </w:r>
    </w:p>
  </w:footnote>
  <w:footnote w:id="33">
    <w:p w:rsidR="00C82670" w:rsidRPr="001B129E" w:rsidRDefault="00C82670" w:rsidP="001B129E">
      <w:pPr>
        <w:pStyle w:val="FootnoteText"/>
        <w:ind w:left="426" w:hanging="426"/>
        <w:rPr>
          <w:rFonts w:ascii="Arial" w:hAnsi="Arial" w:cs="Arial"/>
        </w:rPr>
      </w:pPr>
      <w:r w:rsidRPr="001B129E">
        <w:rPr>
          <w:rStyle w:val="FootnoteReference"/>
          <w:rFonts w:ascii="Arial" w:hAnsi="Arial" w:cs="Arial"/>
        </w:rPr>
        <w:footnoteRef/>
      </w:r>
      <w:r w:rsidRPr="001B129E">
        <w:rPr>
          <w:rFonts w:ascii="Arial" w:hAnsi="Arial" w:cs="Arial"/>
        </w:rPr>
        <w:t xml:space="preserve"> </w:t>
      </w:r>
      <w:r>
        <w:rPr>
          <w:rFonts w:ascii="Arial" w:hAnsi="Arial" w:cs="Arial"/>
        </w:rPr>
        <w:tab/>
      </w:r>
      <w:r w:rsidRPr="001B129E">
        <w:rPr>
          <w:rFonts w:ascii="Arial" w:hAnsi="Arial" w:cs="Arial"/>
        </w:rPr>
        <w:t xml:space="preserve">Refer also to ISA 705, </w:t>
      </w:r>
      <w:r w:rsidRPr="001B129E">
        <w:rPr>
          <w:rFonts w:ascii="Arial" w:hAnsi="Arial" w:cs="Arial"/>
          <w:i/>
        </w:rPr>
        <w:t>Modifications to the Opinion in the Independent Auditor’s Report</w:t>
      </w:r>
      <w:r w:rsidRPr="001B129E">
        <w:rPr>
          <w:rFonts w:ascii="Arial" w:hAnsi="Arial" w:cs="Arial"/>
        </w:rPr>
        <w:t xml:space="preserve"> and ISA 706, </w:t>
      </w:r>
      <w:r w:rsidRPr="001B129E">
        <w:rPr>
          <w:rFonts w:ascii="Arial" w:hAnsi="Arial" w:cs="Arial"/>
          <w:i/>
        </w:rPr>
        <w:t>Emphasis of Matter Paragraphs and Other Matter Paragraphs in the Independent Auditor’s Report</w:t>
      </w:r>
      <w:r w:rsidRPr="001B129E">
        <w:rPr>
          <w:rFonts w:ascii="Arial" w:hAnsi="Arial" w:cs="Arial"/>
        </w:rPr>
        <w:t>.</w:t>
      </w:r>
    </w:p>
  </w:footnote>
  <w:footnote w:id="34">
    <w:p w:rsidR="00C82670" w:rsidRPr="00766953" w:rsidRDefault="00C82670" w:rsidP="00CB6F30">
      <w:pPr>
        <w:pStyle w:val="FootnoteText"/>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ISA 800, </w:t>
      </w:r>
      <w:r w:rsidRPr="00935785">
        <w:rPr>
          <w:rFonts w:ascii="Arial" w:hAnsi="Arial" w:cs="Arial"/>
          <w:i/>
        </w:rPr>
        <w:t>Special Considerations – Audits of Financial Statements Prepared in Accordance with Special Purpose Frameworks.</w:t>
      </w:r>
    </w:p>
  </w:footnote>
  <w:footnote w:id="35">
    <w:p w:rsidR="00C82670" w:rsidRPr="00766953" w:rsidRDefault="00C82670" w:rsidP="00CB6F30">
      <w:pPr>
        <w:pStyle w:val="FootnoteText"/>
        <w:tabs>
          <w:tab w:val="left" w:pos="284"/>
        </w:tabs>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ISRE 2410, </w:t>
      </w:r>
      <w:r w:rsidRPr="00935785">
        <w:rPr>
          <w:rFonts w:ascii="Arial" w:hAnsi="Arial" w:cs="Arial"/>
          <w:i/>
        </w:rPr>
        <w:t>Review of Interim Financial Information Performed by the Independent Auditor of the Entity.</w:t>
      </w:r>
    </w:p>
  </w:footnote>
  <w:footnote w:id="36">
    <w:p w:rsidR="00C82670" w:rsidRPr="008F49EB" w:rsidRDefault="00C82670" w:rsidP="007D50A3">
      <w:pPr>
        <w:pStyle w:val="FootnoteText"/>
        <w:tabs>
          <w:tab w:val="left" w:pos="426"/>
        </w:tabs>
        <w:ind w:left="426" w:hanging="426"/>
        <w:rPr>
          <w:rFonts w:ascii="Arial" w:hAnsi="Arial" w:cs="Arial"/>
        </w:rPr>
      </w:pPr>
      <w:r w:rsidRPr="008F49EB">
        <w:rPr>
          <w:rStyle w:val="FootnoteReference"/>
          <w:rFonts w:ascii="Arial" w:hAnsi="Arial" w:cs="Arial"/>
        </w:rPr>
        <w:footnoteRef/>
      </w:r>
      <w:r w:rsidRPr="008F49EB">
        <w:rPr>
          <w:rFonts w:ascii="Arial" w:hAnsi="Arial" w:cs="Arial"/>
        </w:rPr>
        <w:t xml:space="preserve"> </w:t>
      </w:r>
      <w:r>
        <w:rPr>
          <w:rFonts w:ascii="Arial" w:hAnsi="Arial" w:cs="Arial"/>
        </w:rPr>
        <w:tab/>
      </w:r>
      <w:r w:rsidRPr="008F49EB">
        <w:rPr>
          <w:rFonts w:ascii="Arial" w:hAnsi="Arial" w:cs="Arial"/>
        </w:rPr>
        <w:t xml:space="preserve">Circular 11 of 2006, </w:t>
      </w:r>
      <w:r w:rsidRPr="008F49EB">
        <w:rPr>
          <w:rFonts w:ascii="Arial" w:hAnsi="Arial" w:cs="Arial"/>
          <w:i/>
        </w:rPr>
        <w:t>Issues to be Addressed in the Audited Financial Statements of Medical Schemes</w:t>
      </w:r>
      <w:r>
        <w:rPr>
          <w:rFonts w:ascii="Arial" w:hAnsi="Arial" w:cs="Arial"/>
          <w:i/>
        </w:rPr>
        <w:t>.</w:t>
      </w:r>
    </w:p>
  </w:footnote>
  <w:footnote w:id="37">
    <w:p w:rsidR="00C82670" w:rsidRPr="0045672F" w:rsidRDefault="00C82670" w:rsidP="007D50A3">
      <w:pPr>
        <w:pStyle w:val="FootnoteText"/>
        <w:ind w:left="426" w:hanging="426"/>
        <w:rPr>
          <w:rFonts w:ascii="Arial" w:hAnsi="Arial" w:cs="Arial"/>
        </w:rPr>
      </w:pPr>
      <w:r w:rsidRPr="0045672F">
        <w:rPr>
          <w:rStyle w:val="FootnoteReference"/>
          <w:rFonts w:ascii="Arial" w:hAnsi="Arial" w:cs="Arial"/>
        </w:rPr>
        <w:footnoteRef/>
      </w:r>
      <w:r w:rsidRPr="0045672F">
        <w:rPr>
          <w:rFonts w:ascii="Arial" w:hAnsi="Arial" w:cs="Arial"/>
        </w:rPr>
        <w:t xml:space="preserve"> </w:t>
      </w:r>
      <w:r>
        <w:rPr>
          <w:rFonts w:ascii="Arial" w:hAnsi="Arial" w:cs="Arial"/>
        </w:rPr>
        <w:tab/>
      </w:r>
      <w:r w:rsidRPr="0045672F">
        <w:rPr>
          <w:rFonts w:ascii="Arial" w:hAnsi="Arial" w:cs="Arial"/>
        </w:rPr>
        <w:t>ISAE 3000</w:t>
      </w:r>
      <w:r>
        <w:rPr>
          <w:rFonts w:ascii="Arial" w:hAnsi="Arial" w:cs="Arial"/>
        </w:rPr>
        <w:t xml:space="preserve"> (Revised), </w:t>
      </w:r>
      <w:r w:rsidRPr="0045672F">
        <w:rPr>
          <w:rFonts w:ascii="Arial" w:hAnsi="Arial" w:cs="Arial"/>
          <w:i/>
        </w:rPr>
        <w:t>Assurance Engagements Other Than Audits or Reviews of Historical Financial Information.</w:t>
      </w:r>
    </w:p>
  </w:footnote>
  <w:footnote w:id="38">
    <w:p w:rsidR="00C82670" w:rsidRPr="00766953" w:rsidRDefault="00C82670" w:rsidP="00C721D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6 of 2013 refers to a highlights document which a medical scheme provides to its members. The highlights document contains certain prescribed minimum information. An auditor is not required to perform any work on the highlights document in terms of ISA 720, </w:t>
      </w:r>
      <w:r w:rsidRPr="00074A98">
        <w:rPr>
          <w:rFonts w:ascii="Arial" w:hAnsi="Arial" w:cs="Arial"/>
          <w:i/>
        </w:rPr>
        <w:t>The Auditor’s Responsibilities Relating to Other Information in Documents Containing Audited Financial Statements</w:t>
      </w:r>
      <w:r w:rsidRPr="00074A98">
        <w:rPr>
          <w:rFonts w:ascii="Arial" w:hAnsi="Arial" w:cs="Arial"/>
        </w:rPr>
        <w:t>. An auditor may read the highlights document “as a courtesy”.</w:t>
      </w:r>
    </w:p>
  </w:footnote>
  <w:footnote w:id="39">
    <w:p w:rsidR="00C82670" w:rsidRPr="004E23B0" w:rsidRDefault="00C82670" w:rsidP="007D50A3">
      <w:pPr>
        <w:pStyle w:val="FootnoteText"/>
        <w:tabs>
          <w:tab w:val="left" w:pos="426"/>
        </w:tabs>
        <w:ind w:left="426" w:hanging="426"/>
        <w:rPr>
          <w:rFonts w:ascii="Arial" w:hAnsi="Arial" w:cs="Arial"/>
        </w:rPr>
      </w:pPr>
      <w:r w:rsidRPr="004E23B0">
        <w:rPr>
          <w:rStyle w:val="FootnoteReference"/>
          <w:rFonts w:ascii="Arial" w:hAnsi="Arial" w:cs="Arial"/>
        </w:rPr>
        <w:footnoteRef/>
      </w:r>
      <w:r w:rsidRPr="004E23B0">
        <w:rPr>
          <w:rFonts w:ascii="Arial" w:hAnsi="Arial" w:cs="Arial"/>
        </w:rPr>
        <w:t xml:space="preserve"> </w:t>
      </w:r>
      <w:r>
        <w:rPr>
          <w:rFonts w:ascii="Arial" w:hAnsi="Arial" w:cs="Arial"/>
        </w:rPr>
        <w:tab/>
      </w:r>
      <w:r w:rsidRPr="00B82F08">
        <w:rPr>
          <w:rFonts w:ascii="Arial" w:hAnsi="Arial" w:cs="Arial"/>
        </w:rPr>
        <w:t xml:space="preserve">Circular 6 of 2013, </w:t>
      </w:r>
      <w:r w:rsidRPr="00B82F08">
        <w:rPr>
          <w:rFonts w:ascii="Arial" w:hAnsi="Arial" w:cs="Arial"/>
          <w:i/>
        </w:rPr>
        <w:t>Annual financial information provided to members</w:t>
      </w:r>
      <w:r w:rsidRPr="004E23B0">
        <w:rPr>
          <w:rFonts w:ascii="Arial" w:hAnsi="Arial" w:cs="Arial"/>
          <w:i/>
        </w:rPr>
        <w:t>.</w:t>
      </w:r>
    </w:p>
  </w:footnote>
  <w:footnote w:id="40">
    <w:p w:rsidR="00C82670" w:rsidRPr="00F8054B" w:rsidRDefault="00C82670" w:rsidP="007D50A3">
      <w:pPr>
        <w:pStyle w:val="FootnoteText"/>
        <w:tabs>
          <w:tab w:val="left" w:pos="426"/>
        </w:tabs>
        <w:ind w:left="426" w:hanging="426"/>
        <w:rPr>
          <w:rFonts w:ascii="Arial" w:hAnsi="Arial" w:cs="Arial"/>
        </w:rPr>
      </w:pPr>
      <w:r w:rsidRPr="00F8054B">
        <w:rPr>
          <w:rStyle w:val="FootnoteReference"/>
          <w:rFonts w:ascii="Arial" w:hAnsi="Arial" w:cs="Arial"/>
        </w:rPr>
        <w:footnoteRef/>
      </w:r>
      <w:r w:rsidRPr="00F8054B">
        <w:rPr>
          <w:rFonts w:ascii="Arial" w:hAnsi="Arial" w:cs="Arial"/>
        </w:rPr>
        <w:t xml:space="preserve"> </w:t>
      </w:r>
      <w:r>
        <w:rPr>
          <w:rFonts w:ascii="Arial" w:hAnsi="Arial" w:cs="Arial"/>
        </w:rPr>
        <w:tab/>
      </w:r>
      <w:r w:rsidRPr="00B82F08">
        <w:rPr>
          <w:rFonts w:ascii="Arial" w:hAnsi="Arial" w:cs="Arial"/>
        </w:rPr>
        <w:t>ISA 810</w:t>
      </w:r>
      <w:r>
        <w:rPr>
          <w:rFonts w:ascii="Arial" w:hAnsi="Arial" w:cs="Arial"/>
        </w:rPr>
        <w:t xml:space="preserve">, </w:t>
      </w:r>
      <w:r w:rsidRPr="00B82F08">
        <w:rPr>
          <w:rFonts w:ascii="Arial" w:hAnsi="Arial" w:cs="Arial"/>
          <w:i/>
        </w:rPr>
        <w:t>Engagements to Report on Summary Financial Statement</w:t>
      </w:r>
      <w:r w:rsidRPr="00F8054B">
        <w:rPr>
          <w:rFonts w:ascii="Arial" w:hAnsi="Arial" w:cs="Arial"/>
          <w:i/>
        </w:rPr>
        <w:t>s.</w:t>
      </w:r>
    </w:p>
  </w:footnote>
  <w:footnote w:id="41">
    <w:p w:rsidR="00C82670" w:rsidRPr="00F368F4" w:rsidRDefault="00C82670" w:rsidP="007D50A3">
      <w:pPr>
        <w:pStyle w:val="FootnoteText"/>
        <w:tabs>
          <w:tab w:val="left" w:pos="426"/>
        </w:tabs>
        <w:ind w:left="426" w:hanging="426"/>
        <w:rPr>
          <w:rFonts w:ascii="Arial" w:hAnsi="Arial" w:cs="Arial"/>
        </w:rPr>
      </w:pPr>
      <w:r w:rsidRPr="00F368F4">
        <w:rPr>
          <w:rStyle w:val="FootnoteReference"/>
          <w:rFonts w:ascii="Arial" w:hAnsi="Arial" w:cs="Arial"/>
        </w:rPr>
        <w:footnoteRef/>
      </w:r>
      <w:r w:rsidRPr="00F368F4">
        <w:rPr>
          <w:rFonts w:ascii="Arial" w:hAnsi="Arial" w:cs="Arial"/>
        </w:rPr>
        <w:t xml:space="preserve"> </w:t>
      </w:r>
      <w:r>
        <w:rPr>
          <w:rFonts w:ascii="Arial" w:hAnsi="Arial" w:cs="Arial"/>
        </w:rPr>
        <w:tab/>
      </w:r>
      <w:r w:rsidRPr="00F368F4">
        <w:rPr>
          <w:rFonts w:ascii="Arial" w:hAnsi="Arial" w:cs="Arial"/>
        </w:rPr>
        <w:t>IAS 34</w:t>
      </w:r>
      <w:r>
        <w:rPr>
          <w:rFonts w:ascii="Arial" w:hAnsi="Arial" w:cs="Arial"/>
        </w:rPr>
        <w:t>,</w:t>
      </w:r>
      <w:r w:rsidRPr="00F368F4">
        <w:rPr>
          <w:rFonts w:ascii="Arial" w:hAnsi="Arial" w:cs="Arial"/>
        </w:rPr>
        <w:t xml:space="preserve"> </w:t>
      </w:r>
      <w:r w:rsidRPr="00F368F4">
        <w:rPr>
          <w:rFonts w:ascii="Arial" w:hAnsi="Arial" w:cs="Arial"/>
          <w:i/>
        </w:rPr>
        <w:t>Interim financial reporting.</w:t>
      </w:r>
    </w:p>
  </w:footnote>
  <w:footnote w:id="42">
    <w:p w:rsidR="00C82670" w:rsidRPr="00935785" w:rsidRDefault="00C82670" w:rsidP="007D50A3">
      <w:pPr>
        <w:pStyle w:val="FootnoteText"/>
        <w:tabs>
          <w:tab w:val="left" w:pos="426"/>
        </w:tabs>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Available on the IRBA website </w:t>
      </w:r>
      <w:hyperlink r:id="rId6" w:history="1">
        <w:r w:rsidRPr="00935785">
          <w:rPr>
            <w:rStyle w:val="Hyperlink"/>
            <w:rFonts w:ascii="Arial" w:hAnsi="Arial" w:cs="Arial"/>
          </w:rPr>
          <w:t>www.irba.co.za</w:t>
        </w:r>
      </w:hyperlink>
      <w:r w:rsidRPr="00935785">
        <w:rPr>
          <w:rFonts w:ascii="Arial" w:hAnsi="Arial" w:cs="Arial"/>
        </w:rPr>
        <w:t xml:space="preserve">. </w:t>
      </w:r>
    </w:p>
  </w:footnote>
  <w:footnote w:id="43">
    <w:p w:rsidR="00C82670" w:rsidRPr="00731299" w:rsidRDefault="00C82670" w:rsidP="00BF05FA">
      <w:pPr>
        <w:pStyle w:val="Footnote"/>
        <w:tabs>
          <w:tab w:val="left" w:pos="426"/>
        </w:tabs>
        <w:ind w:left="426" w:hanging="426"/>
      </w:pPr>
      <w:r w:rsidRPr="00731299">
        <w:rPr>
          <w:rStyle w:val="FootnoteReference"/>
        </w:rPr>
        <w:footnoteRef/>
      </w:r>
      <w:r w:rsidRPr="00731299">
        <w:t xml:space="preserve"> </w:t>
      </w:r>
      <w:r>
        <w:tab/>
      </w:r>
      <w:r w:rsidRPr="00731299">
        <w:t xml:space="preserve">See Circular 25 of 2007, </w:t>
      </w:r>
      <w:r w:rsidRPr="00731299">
        <w:rPr>
          <w:i/>
        </w:rPr>
        <w:t>Auditor Approval in Terms of Section 36(2) of the Medical Schemes Act</w:t>
      </w:r>
      <w:r w:rsidRPr="00731299">
        <w:t xml:space="preserve">, for guidance on the revised auditor approval process from 2007 onwards. The </w:t>
      </w:r>
      <w:r w:rsidRPr="0077295C">
        <w:rPr>
          <w:i/>
        </w:rPr>
        <w:t>Auditor Approval Questionnaire</w:t>
      </w:r>
      <w:r w:rsidRPr="00731299">
        <w:t xml:space="preserve"> is available on the Council’s website, </w:t>
      </w:r>
      <w:hyperlink r:id="rId7" w:history="1">
        <w:r w:rsidRPr="00731299">
          <w:rPr>
            <w:rStyle w:val="Hyperlink"/>
          </w:rPr>
          <w:t>www.medicalschemes.com</w:t>
        </w:r>
      </w:hyperlink>
      <w:r w:rsidRPr="00731299">
        <w:t xml:space="preserve">.   </w:t>
      </w:r>
    </w:p>
  </w:footnote>
  <w:footnote w:id="44">
    <w:p w:rsidR="00C82670" w:rsidRPr="00731299" w:rsidRDefault="00C82670" w:rsidP="007D50A3">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Refer to the declaration in the </w:t>
      </w:r>
      <w:r w:rsidRPr="0077295C">
        <w:rPr>
          <w:rFonts w:ascii="Arial" w:hAnsi="Arial" w:cs="Arial"/>
          <w:i/>
        </w:rPr>
        <w:t>Auditor Approval Questionnaire</w:t>
      </w:r>
      <w:r w:rsidRPr="00731299">
        <w:rPr>
          <w:rFonts w:ascii="Arial" w:hAnsi="Arial" w:cs="Arial"/>
        </w:rPr>
        <w:t xml:space="preserve"> issued by the Council.</w:t>
      </w:r>
    </w:p>
  </w:footnote>
  <w:footnote w:id="45">
    <w:p w:rsidR="00C82670" w:rsidRPr="00731299" w:rsidRDefault="00C82670"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 xml:space="preserve">Refer to Circular 23 of 2011, </w:t>
      </w:r>
      <w:r w:rsidRPr="0099499F">
        <w:rPr>
          <w:rFonts w:ascii="Arial" w:hAnsi="Arial" w:cs="Arial"/>
          <w:i/>
        </w:rPr>
        <w:t>General Concerns noted during the Analysis of the 2010 Annual Financial Statements and Statutory Returns</w:t>
      </w:r>
      <w:r w:rsidRPr="0099499F">
        <w:rPr>
          <w:rFonts w:ascii="Arial" w:hAnsi="Arial" w:cs="Arial"/>
        </w:rPr>
        <w:t>.</w:t>
      </w:r>
    </w:p>
  </w:footnote>
  <w:footnote w:id="46">
    <w:p w:rsidR="00C82670" w:rsidRPr="0099499F" w:rsidRDefault="00C82670"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260</w:t>
      </w:r>
      <w:r>
        <w:rPr>
          <w:rFonts w:ascii="Arial" w:hAnsi="Arial" w:cs="Arial"/>
        </w:rPr>
        <w:t xml:space="preserve">, </w:t>
      </w:r>
      <w:r w:rsidRPr="0099499F">
        <w:rPr>
          <w:rFonts w:ascii="Arial" w:hAnsi="Arial" w:cs="Arial"/>
          <w:i/>
        </w:rPr>
        <w:t>Communication of Audit Matters with Those Charged with Governance.</w:t>
      </w:r>
    </w:p>
  </w:footnote>
  <w:footnote w:id="47">
    <w:p w:rsidR="00C82670" w:rsidRPr="0099499F" w:rsidRDefault="00C82670"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265</w:t>
      </w:r>
      <w:r>
        <w:rPr>
          <w:rFonts w:ascii="Arial" w:hAnsi="Arial" w:cs="Arial"/>
        </w:rPr>
        <w:t xml:space="preserve">, </w:t>
      </w:r>
      <w:r w:rsidRPr="0099499F">
        <w:rPr>
          <w:rFonts w:ascii="Arial" w:hAnsi="Arial" w:cs="Arial"/>
          <w:i/>
        </w:rPr>
        <w:t>Communicating Deficiencies in Internal Control to those Charged with Governance and Management.</w:t>
      </w:r>
    </w:p>
  </w:footnote>
  <w:footnote w:id="48">
    <w:p w:rsidR="00C82670" w:rsidRPr="00731299" w:rsidRDefault="00C82670" w:rsidP="007F533C">
      <w:pPr>
        <w:pStyle w:val="FootnoteText"/>
        <w:tabs>
          <w:tab w:val="left" w:pos="426"/>
        </w:tabs>
        <w:spacing w:line="200" w:lineRule="exact"/>
        <w:ind w:left="426" w:hanging="426"/>
        <w:rPr>
          <w:rFonts w:ascii="Arial" w:hAnsi="Arial" w:cs="Arial"/>
          <w:lang w:val="en-AU"/>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“Partner” and “firm” should be read as referring to their public sector equivalents where relevant.</w:t>
      </w:r>
    </w:p>
  </w:footnote>
  <w:footnote w:id="49">
    <w:p w:rsidR="00C82670" w:rsidRPr="00731299" w:rsidRDefault="00C82670"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620</w:t>
      </w:r>
      <w:r>
        <w:rPr>
          <w:rFonts w:ascii="Arial" w:hAnsi="Arial" w:cs="Arial"/>
        </w:rPr>
        <w:t xml:space="preserve">, </w:t>
      </w:r>
      <w:r w:rsidRPr="00731299">
        <w:rPr>
          <w:rFonts w:ascii="Arial" w:hAnsi="Arial" w:cs="Arial"/>
          <w:i/>
        </w:rPr>
        <w:t>Using the Work of an Auditor’s Expert</w:t>
      </w:r>
      <w:r w:rsidRPr="00731299">
        <w:rPr>
          <w:rFonts w:ascii="Arial" w:hAnsi="Arial" w:cs="Arial"/>
        </w:rPr>
        <w:t>.</w:t>
      </w:r>
    </w:p>
  </w:footnote>
  <w:footnote w:id="50">
    <w:p w:rsidR="00C82670" w:rsidRPr="00731299" w:rsidRDefault="00C82670"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500</w:t>
      </w:r>
      <w:r>
        <w:rPr>
          <w:rFonts w:ascii="Arial" w:hAnsi="Arial" w:cs="Arial"/>
        </w:rPr>
        <w:t xml:space="preserve">, </w:t>
      </w:r>
      <w:r w:rsidRPr="00731299">
        <w:rPr>
          <w:rFonts w:ascii="Arial" w:hAnsi="Arial" w:cs="Arial"/>
          <w:i/>
        </w:rPr>
        <w:t>Audit Evidence</w:t>
      </w:r>
      <w:r w:rsidRPr="00731299">
        <w:rPr>
          <w:rFonts w:ascii="Arial" w:hAnsi="Arial" w:cs="Arial"/>
        </w:rPr>
        <w:t>.</w:t>
      </w:r>
    </w:p>
  </w:footnote>
  <w:footnote w:id="51">
    <w:p w:rsidR="00C82670" w:rsidRPr="00F86407" w:rsidRDefault="00C82670" w:rsidP="007F533C">
      <w:pPr>
        <w:pStyle w:val="FootnoteText"/>
        <w:tabs>
          <w:tab w:val="left" w:pos="426"/>
        </w:tabs>
        <w:ind w:left="426" w:hanging="426"/>
        <w:rPr>
          <w:rFonts w:ascii="Arial" w:hAnsi="Arial" w:cs="Arial"/>
        </w:rPr>
      </w:pPr>
      <w:r w:rsidRPr="00F86407">
        <w:rPr>
          <w:rStyle w:val="FootnoteReference"/>
          <w:rFonts w:ascii="Arial" w:hAnsi="Arial" w:cs="Arial"/>
        </w:rPr>
        <w:footnoteRef/>
      </w:r>
      <w:r w:rsidRPr="00F86407">
        <w:rPr>
          <w:rFonts w:ascii="Arial" w:hAnsi="Arial" w:cs="Arial"/>
        </w:rPr>
        <w:t xml:space="preserve"> </w:t>
      </w:r>
      <w:r>
        <w:rPr>
          <w:rFonts w:ascii="Arial" w:hAnsi="Arial" w:cs="Arial"/>
        </w:rPr>
        <w:tab/>
      </w:r>
      <w:r w:rsidRPr="00F86407">
        <w:rPr>
          <w:rFonts w:ascii="Arial" w:hAnsi="Arial" w:cs="Arial"/>
        </w:rPr>
        <w:t xml:space="preserve">Circular 13 of 2001, </w:t>
      </w:r>
      <w:r w:rsidRPr="007C1C57">
        <w:rPr>
          <w:rFonts w:ascii="Arial" w:hAnsi="Arial" w:cs="Arial"/>
          <w:i/>
        </w:rPr>
        <w:t>Non-distributable reserves in solvency calculation</w:t>
      </w:r>
      <w:r w:rsidRPr="00F86407">
        <w:rPr>
          <w:rFonts w:ascii="Arial" w:hAnsi="Arial" w:cs="Arial"/>
        </w:rPr>
        <w:t>.</w:t>
      </w:r>
    </w:p>
  </w:footnote>
  <w:footnote w:id="52">
    <w:p w:rsidR="00C82670" w:rsidRPr="00493F37" w:rsidRDefault="00C82670" w:rsidP="007F533C">
      <w:pPr>
        <w:pStyle w:val="FootnoteText"/>
        <w:tabs>
          <w:tab w:val="left" w:pos="426"/>
        </w:tabs>
        <w:ind w:left="426" w:hanging="426"/>
        <w:rPr>
          <w:rFonts w:ascii="Arial" w:hAnsi="Arial" w:cs="Arial"/>
        </w:rPr>
      </w:pPr>
      <w:r w:rsidRPr="00493F37">
        <w:rPr>
          <w:rStyle w:val="FootnoteReference"/>
          <w:rFonts w:ascii="Arial" w:hAnsi="Arial" w:cs="Arial"/>
        </w:rPr>
        <w:footnoteRef/>
      </w:r>
      <w:r w:rsidRPr="00493F37">
        <w:rPr>
          <w:rFonts w:ascii="Arial" w:hAnsi="Arial" w:cs="Arial"/>
        </w:rPr>
        <w:t xml:space="preserve"> </w:t>
      </w:r>
      <w:r>
        <w:rPr>
          <w:rFonts w:ascii="Arial" w:hAnsi="Arial" w:cs="Arial"/>
        </w:rPr>
        <w:tab/>
      </w:r>
      <w:r w:rsidRPr="00493F37">
        <w:rPr>
          <w:rFonts w:ascii="Arial" w:hAnsi="Arial" w:cs="Arial"/>
        </w:rPr>
        <w:t xml:space="preserve">IFRS 4, </w:t>
      </w:r>
      <w:r w:rsidRPr="00B82F08">
        <w:rPr>
          <w:rFonts w:ascii="Arial" w:hAnsi="Arial" w:cs="Arial"/>
          <w:i/>
        </w:rPr>
        <w:t>Insurance Contracts</w:t>
      </w:r>
      <w:r w:rsidRPr="00493F37">
        <w:rPr>
          <w:rFonts w:ascii="Arial" w:hAnsi="Arial" w:cs="Arial"/>
        </w:rPr>
        <w:t>.</w:t>
      </w:r>
    </w:p>
  </w:footnote>
  <w:footnote w:id="53">
    <w:p w:rsidR="00C82670" w:rsidRPr="00B82F08" w:rsidRDefault="00C82670"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315</w:t>
      </w:r>
      <w:r>
        <w:rPr>
          <w:rFonts w:ascii="Arial" w:hAnsi="Arial" w:cs="Arial"/>
        </w:rPr>
        <w:t xml:space="preserve">, </w:t>
      </w:r>
      <w:r w:rsidRPr="00731299">
        <w:rPr>
          <w:rFonts w:ascii="Arial" w:hAnsi="Arial" w:cs="Arial"/>
          <w:i/>
        </w:rPr>
        <w:t>Identifying and Assessing the Risks of Material Misstatement through Understanding the Entity and Its Environment.</w:t>
      </w:r>
    </w:p>
  </w:footnote>
  <w:footnote w:id="54">
    <w:p w:rsidR="00C82670" w:rsidRPr="00766953" w:rsidRDefault="00C82670"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935785">
        <w:rPr>
          <w:rFonts w:ascii="Arial" w:hAnsi="Arial" w:cs="Arial"/>
          <w:i/>
        </w:rPr>
        <w:t>Personal Medical Savings Accounts.</w:t>
      </w:r>
    </w:p>
  </w:footnote>
  <w:footnote w:id="55">
    <w:p w:rsidR="00C82670" w:rsidRPr="00B82F08" w:rsidRDefault="00C82670"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402</w:t>
      </w:r>
      <w:r>
        <w:rPr>
          <w:rFonts w:ascii="Arial" w:hAnsi="Arial" w:cs="Arial"/>
        </w:rPr>
        <w:t xml:space="preserve">, </w:t>
      </w:r>
      <w:r w:rsidRPr="00731299">
        <w:rPr>
          <w:rFonts w:ascii="Arial" w:hAnsi="Arial" w:cs="Arial"/>
          <w:i/>
        </w:rPr>
        <w:t>Audit Considerations Relating to an Entity Using a Service Organization.</w:t>
      </w:r>
    </w:p>
  </w:footnote>
  <w:footnote w:id="56">
    <w:p w:rsidR="00C82670" w:rsidRPr="00731299" w:rsidRDefault="00C82670"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Refer to </w:t>
      </w:r>
      <w:r w:rsidRPr="00A31D09">
        <w:rPr>
          <w:rFonts w:ascii="Arial" w:hAnsi="Arial" w:cs="Arial"/>
        </w:rPr>
        <w:t>paragraph 13 of</w:t>
      </w:r>
      <w:r w:rsidRPr="00731299">
        <w:rPr>
          <w:rFonts w:ascii="Arial" w:hAnsi="Arial" w:cs="Arial"/>
        </w:rPr>
        <w:t xml:space="preserve"> this Guide for further detail </w:t>
      </w:r>
      <w:r>
        <w:rPr>
          <w:rFonts w:ascii="Arial" w:hAnsi="Arial" w:cs="Arial"/>
        </w:rPr>
        <w:t>on the requirements imposed by s</w:t>
      </w:r>
      <w:r w:rsidRPr="00731299">
        <w:rPr>
          <w:rFonts w:ascii="Arial" w:hAnsi="Arial" w:cs="Arial"/>
        </w:rPr>
        <w:t>ection 36.</w:t>
      </w:r>
    </w:p>
  </w:footnote>
  <w:footnote w:id="57">
    <w:p w:rsidR="00C82670" w:rsidRPr="009E2195" w:rsidRDefault="00C82670" w:rsidP="007F533C">
      <w:pPr>
        <w:pStyle w:val="FootnoteText"/>
        <w:tabs>
          <w:tab w:val="left" w:pos="426"/>
        </w:tabs>
        <w:ind w:left="426" w:hanging="426"/>
        <w:rPr>
          <w:rFonts w:ascii="Arial" w:hAnsi="Arial" w:cs="Arial"/>
        </w:rPr>
      </w:pPr>
      <w:r w:rsidRPr="009E2195">
        <w:rPr>
          <w:rStyle w:val="FootnoteReference"/>
          <w:rFonts w:ascii="Arial" w:hAnsi="Arial" w:cs="Arial"/>
        </w:rPr>
        <w:footnoteRef/>
      </w:r>
      <w:r w:rsidRPr="009E2195">
        <w:rPr>
          <w:rFonts w:ascii="Arial" w:hAnsi="Arial" w:cs="Arial"/>
        </w:rPr>
        <w:t xml:space="preserve"> </w:t>
      </w:r>
      <w:r>
        <w:rPr>
          <w:rFonts w:ascii="Arial" w:hAnsi="Arial" w:cs="Arial"/>
        </w:rPr>
        <w:tab/>
      </w:r>
      <w:r w:rsidRPr="009E2195">
        <w:rPr>
          <w:rFonts w:ascii="Arial" w:hAnsi="Arial" w:cs="Arial"/>
          <w:color w:val="000000"/>
          <w:lang w:val="en-US"/>
        </w:rPr>
        <w:t xml:space="preserve">Circular 4 of 2008, </w:t>
      </w:r>
      <w:r w:rsidRPr="009E2195">
        <w:rPr>
          <w:rFonts w:ascii="Arial" w:hAnsi="Arial" w:cs="Arial"/>
          <w:i/>
        </w:rPr>
        <w:t>Inclusion of Benefit Options Results in the Annual Financial Statements.</w:t>
      </w:r>
    </w:p>
  </w:footnote>
  <w:footnote w:id="58">
    <w:p w:rsidR="00C82670" w:rsidRPr="00731299" w:rsidRDefault="00C82670"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Circular 38 of 2009, </w:t>
      </w:r>
      <w:r w:rsidRPr="00731299">
        <w:rPr>
          <w:rFonts w:ascii="Arial" w:hAnsi="Arial" w:cs="Arial"/>
          <w:i/>
        </w:rPr>
        <w:t>Increase in Fees Payable to Brokers with effect from 1 January 2009</w:t>
      </w:r>
      <w:r w:rsidRPr="00731299">
        <w:rPr>
          <w:rFonts w:ascii="Arial" w:hAnsi="Arial" w:cs="Arial"/>
        </w:rPr>
        <w:t xml:space="preserve"> (date later amended to 1 January 2010) provides the latest approved maximum statutory limitations imposed on broker fees.</w:t>
      </w:r>
    </w:p>
  </w:footnote>
  <w:footnote w:id="59">
    <w:p w:rsidR="00C82670" w:rsidRPr="00074A98" w:rsidRDefault="00C82670" w:rsidP="007F533C">
      <w:pPr>
        <w:pStyle w:val="FootnoteText"/>
        <w:tabs>
          <w:tab w:val="left" w:pos="426"/>
        </w:tabs>
        <w:ind w:left="426" w:hanging="426"/>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Refer to paragraphs 78 to 82 for more detail on the items which should be taken into account for solvency purposes..</w:t>
      </w:r>
    </w:p>
  </w:footnote>
  <w:footnote w:id="60">
    <w:p w:rsidR="00C82670" w:rsidRPr="00766953" w:rsidRDefault="00C82670"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5 of 2012, </w:t>
      </w:r>
      <w:r w:rsidRPr="00074A98">
        <w:rPr>
          <w:rFonts w:ascii="Arial" w:hAnsi="Arial" w:cs="Arial"/>
          <w:i/>
        </w:rPr>
        <w:t>Clarification of Circular 38 of 2011 regarding personal medical savings accounts.</w:t>
      </w:r>
    </w:p>
  </w:footnote>
  <w:footnote w:id="61">
    <w:p w:rsidR="00C82670" w:rsidRPr="00766953" w:rsidRDefault="00C82670"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38 of 2011, </w:t>
      </w:r>
      <w:r w:rsidRPr="00074A98">
        <w:rPr>
          <w:rFonts w:ascii="Arial" w:hAnsi="Arial" w:cs="Arial"/>
          <w:i/>
        </w:rPr>
        <w:t>Personal Medical Savings Accounts.</w:t>
      </w:r>
    </w:p>
  </w:footnote>
  <w:footnote w:id="62">
    <w:p w:rsidR="00C82670" w:rsidRPr="007866F1" w:rsidRDefault="00C82670" w:rsidP="006B0733">
      <w:pPr>
        <w:pStyle w:val="FootnoteText"/>
        <w:ind w:left="284" w:hanging="284"/>
        <w:rPr>
          <w:rFonts w:ascii="Arial" w:hAnsi="Arial" w:cs="Arial"/>
        </w:rPr>
      </w:pPr>
      <w:r w:rsidRPr="00997E2C">
        <w:rPr>
          <w:rStyle w:val="FootnoteReference"/>
          <w:rFonts w:ascii="Arial" w:hAnsi="Arial" w:cs="Arial"/>
        </w:rPr>
        <w:footnoteRef/>
      </w:r>
      <w:r w:rsidRPr="00997E2C">
        <w:rPr>
          <w:rFonts w:ascii="Arial" w:hAnsi="Arial" w:cs="Arial"/>
        </w:rPr>
        <w:t xml:space="preserve"> </w:t>
      </w:r>
      <w:r w:rsidRPr="00997E2C">
        <w:rPr>
          <w:rFonts w:ascii="Arial" w:hAnsi="Arial" w:cs="Arial"/>
        </w:rPr>
        <w:tab/>
      </w:r>
      <w:r w:rsidRPr="00997E2C">
        <w:rPr>
          <w:rFonts w:ascii="Arial" w:hAnsi="Arial" w:cs="Arial"/>
          <w:lang w:val="en-US"/>
        </w:rPr>
        <w:t>ISA 700 (Revised) paragraphs 43 to 45</w:t>
      </w:r>
      <w:r w:rsidRPr="00997E2C">
        <w:rPr>
          <w:rFonts w:ascii="Arial" w:hAnsi="Arial" w:cs="Arial"/>
        </w:rPr>
        <w:t>.</w:t>
      </w:r>
    </w:p>
  </w:footnote>
  <w:footnote w:id="63">
    <w:p w:rsidR="00C82670" w:rsidRPr="00124A4F" w:rsidRDefault="00C82670" w:rsidP="006B0733">
      <w:pPr>
        <w:pStyle w:val="FootnoteText"/>
        <w:ind w:left="284" w:hanging="284"/>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Pr="00124A4F">
        <w:rPr>
          <w:rFonts w:ascii="Arial" w:hAnsi="Arial" w:cs="Arial"/>
        </w:rPr>
        <w:tab/>
        <w:t>Delete the paragraph that is not applicable.</w:t>
      </w:r>
    </w:p>
  </w:footnote>
  <w:footnote w:id="64">
    <w:p w:rsidR="00C82670" w:rsidRPr="00124A4F" w:rsidRDefault="00C82670" w:rsidP="006B0733">
      <w:pPr>
        <w:pStyle w:val="FootnoteText"/>
        <w:ind w:left="284" w:hanging="284"/>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Pr="00124A4F">
        <w:rPr>
          <w:rFonts w:ascii="Arial" w:hAnsi="Arial" w:cs="Arial"/>
        </w:rPr>
        <w:tab/>
        <w:t>Delete the paragraph if it is not applicable.</w:t>
      </w:r>
    </w:p>
  </w:footnote>
  <w:footnote w:id="65">
    <w:p w:rsidR="00C82670" w:rsidRPr="00124A4F" w:rsidRDefault="00C82670" w:rsidP="006B0733">
      <w:pPr>
        <w:pStyle w:val="FootnoteText"/>
        <w:ind w:left="284" w:hanging="284"/>
        <w:rPr>
          <w:rFonts w:ascii="Arial" w:hAnsi="Arial" w:cs="Arial"/>
          <w:lang w:val="en-US"/>
        </w:rPr>
      </w:pPr>
      <w:r w:rsidRPr="007866F1">
        <w:rPr>
          <w:rStyle w:val="FootnoteReference"/>
          <w:rFonts w:ascii="Arial" w:hAnsi="Arial" w:cs="Arial"/>
        </w:rPr>
        <w:footnoteRef/>
      </w:r>
      <w:r w:rsidRPr="007866F1">
        <w:rPr>
          <w:rFonts w:ascii="Arial" w:hAnsi="Arial" w:cs="Arial"/>
        </w:rPr>
        <w:t xml:space="preserve"> </w:t>
      </w:r>
      <w:r w:rsidRPr="007866F1">
        <w:rPr>
          <w:rFonts w:ascii="Arial" w:hAnsi="Arial" w:cs="Arial"/>
        </w:rPr>
        <w:tab/>
        <w:t xml:space="preserve">Insert this sentence when disclosure is made in the financial statements. Where </w:t>
      </w:r>
      <w:r w:rsidRPr="00124A4F">
        <w:rPr>
          <w:rFonts w:ascii="Arial" w:hAnsi="Arial" w:cs="Arial"/>
        </w:rPr>
        <w:t xml:space="preserve">the </w:t>
      </w:r>
      <w:r>
        <w:rPr>
          <w:rFonts w:ascii="Arial" w:hAnsi="Arial" w:cs="Arial"/>
        </w:rPr>
        <w:t>Scheme’s trustees</w:t>
      </w:r>
      <w:r w:rsidRPr="00124A4F">
        <w:rPr>
          <w:rFonts w:ascii="Arial" w:hAnsi="Arial" w:cs="Arial"/>
        </w:rPr>
        <w:t xml:space="preserve"> have not made adequate and appropriate disclosure and the financial statements are fairly presented, in all material respects, the auditor discloses the information relating to the Reportable Irregularity in the auditor’s report</w:t>
      </w:r>
      <w:r>
        <w:rPr>
          <w:rFonts w:ascii="Arial" w:hAnsi="Arial" w:cs="Arial"/>
        </w:rPr>
        <w:t>.</w:t>
      </w:r>
    </w:p>
  </w:footnote>
  <w:footnote w:id="66">
    <w:p w:rsidR="00C82670" w:rsidRPr="002330AB" w:rsidRDefault="00C82670" w:rsidP="00551B7F">
      <w:pPr>
        <w:pStyle w:val="FootnoteText"/>
        <w:ind w:left="284" w:hanging="284"/>
        <w:rPr>
          <w:rFonts w:ascii="Arial" w:hAnsi="Arial" w:cs="Arial"/>
        </w:rPr>
      </w:pPr>
      <w:r w:rsidRPr="002330AB">
        <w:rPr>
          <w:rStyle w:val="FootnoteReference"/>
          <w:rFonts w:ascii="Arial" w:hAnsi="Arial" w:cs="Arial"/>
        </w:rPr>
        <w:footnoteRef/>
      </w:r>
      <w:r w:rsidRPr="002330AB">
        <w:rPr>
          <w:rFonts w:ascii="Arial" w:hAnsi="Arial" w:cs="Arial"/>
        </w:rPr>
        <w:t xml:space="preserve"> </w:t>
      </w:r>
      <w:r w:rsidR="00551B7F">
        <w:rPr>
          <w:rFonts w:ascii="Arial" w:hAnsi="Arial" w:cs="Arial"/>
        </w:rPr>
        <w:tab/>
      </w:r>
      <w:r w:rsidRPr="002330AB">
        <w:rPr>
          <w:rFonts w:ascii="Arial" w:hAnsi="Arial" w:cs="Arial"/>
        </w:rPr>
        <w:t>The Office of the Registrar requires auditors to submit this report on the auditor’s letterhead.</w:t>
      </w:r>
    </w:p>
  </w:footnote>
  <w:footnote w:id="67">
    <w:p w:rsidR="003351B5" w:rsidRPr="008548E5" w:rsidRDefault="003351B5" w:rsidP="003351B5">
      <w:pPr>
        <w:pStyle w:val="FootnoteText"/>
        <w:ind w:left="284" w:hanging="284"/>
        <w:rPr>
          <w:rFonts w:ascii="Arial" w:hAnsi="Arial" w:cs="Arial"/>
        </w:rPr>
      </w:pPr>
      <w:r w:rsidRPr="008548E5">
        <w:rPr>
          <w:rStyle w:val="FootnoteReference"/>
          <w:rFonts w:ascii="Arial" w:hAnsi="Arial" w:cs="Arial"/>
        </w:rPr>
        <w:footnoteRef/>
      </w:r>
      <w:r w:rsidRPr="008548E5">
        <w:rPr>
          <w:rFonts w:ascii="Arial" w:hAnsi="Arial" w:cs="Arial"/>
        </w:rPr>
        <w:t xml:space="preserve"> </w:t>
      </w:r>
      <w:r w:rsidRPr="008548E5">
        <w:rPr>
          <w:rFonts w:ascii="Arial" w:hAnsi="Arial" w:cs="Arial"/>
        </w:rPr>
        <w:tab/>
        <w:t>The Office of the Registrar requires auditors to submit this report on the auditor’s letterhead.</w:t>
      </w:r>
    </w:p>
  </w:footnote>
  <w:footnote w:id="68">
    <w:p w:rsidR="003351B5" w:rsidRPr="008D7219" w:rsidRDefault="003351B5" w:rsidP="001A5517">
      <w:pPr>
        <w:pStyle w:val="FootnoteText"/>
        <w:ind w:left="284" w:hanging="284"/>
      </w:pPr>
      <w:r w:rsidRPr="001B129E">
        <w:rPr>
          <w:rStyle w:val="FootnoteReference"/>
          <w:rFonts w:ascii="Arial" w:hAnsi="Arial" w:cs="Arial"/>
        </w:rPr>
        <w:footnoteRef/>
      </w:r>
      <w:r w:rsidRPr="00944A95">
        <w:rPr>
          <w:rFonts w:ascii="Arial" w:hAnsi="Arial" w:cs="Arial"/>
        </w:rPr>
        <w:t xml:space="preserve"> </w:t>
      </w:r>
      <w:r w:rsidRPr="008D7219">
        <w:rPr>
          <w:rFonts w:ascii="Arial" w:hAnsi="Arial" w:cs="Arial"/>
        </w:rPr>
        <w:tab/>
        <w:t>In terms of this section, i</w:t>
      </w:r>
      <w:r w:rsidRPr="00944A95">
        <w:rPr>
          <w:rFonts w:ascii="Arial" w:hAnsi="Arial" w:cs="Arial"/>
        </w:rPr>
        <w:t>nstances of non-compliance that may be identified may include</w:t>
      </w:r>
      <w:r w:rsidRPr="008D7219">
        <w:rPr>
          <w:rFonts w:ascii="Arial" w:hAnsi="Arial" w:cs="Arial"/>
        </w:rPr>
        <w:t xml:space="preserve"> that t</w:t>
      </w:r>
      <w:r w:rsidRPr="00944A95">
        <w:rPr>
          <w:rFonts w:ascii="Arial" w:hAnsi="Arial" w:cs="Arial"/>
        </w:rPr>
        <w:t>he Scheme either failed to take out fidelity guarantee and professional indemnity, or the cover provided in policy &lt;</w:t>
      </w:r>
      <w:r w:rsidRPr="00944A95">
        <w:rPr>
          <w:rFonts w:ascii="Arial" w:hAnsi="Arial" w:cs="Arial"/>
          <w:i/>
          <w:iCs/>
        </w:rPr>
        <w:t>insert policy number</w:t>
      </w:r>
      <w:r w:rsidRPr="00944A95">
        <w:rPr>
          <w:rFonts w:ascii="Arial" w:hAnsi="Arial" w:cs="Arial"/>
        </w:rPr>
        <w:t>&gt; to the value of &lt;</w:t>
      </w:r>
      <w:r w:rsidRPr="00944A95">
        <w:rPr>
          <w:rFonts w:ascii="Arial" w:hAnsi="Arial" w:cs="Arial"/>
          <w:i/>
          <w:iCs/>
        </w:rPr>
        <w:t>insert sum insured</w:t>
      </w:r>
      <w:r w:rsidRPr="00944A95">
        <w:rPr>
          <w:rFonts w:ascii="Arial" w:hAnsi="Arial" w:cs="Arial"/>
        </w:rPr>
        <w:t>&gt;, was not in accordance with section 57(4)(f) of the Act, and/or the premiums for the policy were not fully paid up.</w:t>
      </w:r>
    </w:p>
    <w:p w:rsidR="003351B5" w:rsidRPr="00944A95" w:rsidRDefault="003351B5" w:rsidP="003351B5">
      <w:pPr>
        <w:pStyle w:val="FootnoteText"/>
        <w:ind w:left="426" w:hanging="426"/>
        <w:rPr>
          <w:rFonts w:ascii="Arial" w:hAnsi="Arial" w:cs="Arial"/>
        </w:rPr>
      </w:pPr>
    </w:p>
  </w:footnote>
  <w:footnote w:id="69">
    <w:p w:rsidR="003351B5" w:rsidRPr="002330AB" w:rsidRDefault="003351B5" w:rsidP="00862812">
      <w:pPr>
        <w:pStyle w:val="FootnoteText"/>
        <w:ind w:left="284" w:hanging="284"/>
        <w:rPr>
          <w:rFonts w:ascii="Arial" w:hAnsi="Arial" w:cs="Arial"/>
        </w:rPr>
      </w:pPr>
      <w:r w:rsidRPr="002330AB">
        <w:rPr>
          <w:rStyle w:val="FootnoteReference"/>
          <w:rFonts w:ascii="Arial" w:hAnsi="Arial" w:cs="Arial"/>
        </w:rPr>
        <w:footnoteRef/>
      </w:r>
      <w:r w:rsidRPr="002330AB">
        <w:rPr>
          <w:rFonts w:ascii="Arial" w:hAnsi="Arial" w:cs="Arial"/>
        </w:rPr>
        <w:t xml:space="preserve"> </w:t>
      </w:r>
      <w:r>
        <w:rPr>
          <w:rFonts w:ascii="Arial" w:hAnsi="Arial" w:cs="Arial"/>
        </w:rPr>
        <w:tab/>
      </w:r>
      <w:r w:rsidRPr="002330AB">
        <w:rPr>
          <w:rFonts w:ascii="Arial" w:hAnsi="Arial" w:cs="Arial"/>
        </w:rPr>
        <w:t xml:space="preserve">Where a modified opinion has been expressed on the annual financial statements, the auditor considers the implications </w:t>
      </w:r>
      <w:r w:rsidRPr="00EE4C25">
        <w:rPr>
          <w:rFonts w:ascii="Arial" w:hAnsi="Arial" w:cs="Arial"/>
        </w:rPr>
        <w:t xml:space="preserve">for the </w:t>
      </w:r>
      <w:r>
        <w:rPr>
          <w:rFonts w:ascii="Arial" w:hAnsi="Arial" w:cs="Arial"/>
        </w:rPr>
        <w:t>l</w:t>
      </w:r>
      <w:r w:rsidRPr="00944A95">
        <w:rPr>
          <w:rFonts w:ascii="Arial" w:hAnsi="Arial" w:cs="Arial"/>
        </w:rPr>
        <w:t xml:space="preserve">imited </w:t>
      </w:r>
      <w:r>
        <w:rPr>
          <w:rFonts w:ascii="Arial" w:hAnsi="Arial" w:cs="Arial"/>
        </w:rPr>
        <w:t>a</w:t>
      </w:r>
      <w:r w:rsidRPr="00944A95">
        <w:rPr>
          <w:rFonts w:ascii="Arial" w:hAnsi="Arial" w:cs="Arial"/>
        </w:rPr>
        <w:t xml:space="preserve">ssurance </w:t>
      </w:r>
      <w:r>
        <w:rPr>
          <w:rFonts w:ascii="Arial" w:hAnsi="Arial" w:cs="Arial"/>
        </w:rPr>
        <w:t>c</w:t>
      </w:r>
      <w:r w:rsidRPr="00944A95">
        <w:rPr>
          <w:rFonts w:ascii="Arial" w:hAnsi="Arial" w:cs="Arial"/>
        </w:rPr>
        <w:t>onclusion</w:t>
      </w:r>
      <w:r w:rsidRPr="00EE4C25">
        <w:rPr>
          <w:rFonts w:ascii="Arial" w:hAnsi="Arial" w:cs="Arial"/>
        </w:rPr>
        <w:t xml:space="preserve"> expressed in this report.</w:t>
      </w:r>
    </w:p>
  </w:footnote>
  <w:footnote w:id="70">
    <w:p w:rsidR="003351B5" w:rsidRPr="00074A98" w:rsidRDefault="003351B5" w:rsidP="00862812">
      <w:pPr>
        <w:pStyle w:val="FootnoteText"/>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Refer to paragraph A182 of ISAE 3000 </w:t>
      </w:r>
      <w:r>
        <w:rPr>
          <w:rFonts w:ascii="Arial" w:hAnsi="Arial" w:cs="Arial"/>
        </w:rPr>
        <w:t>(</w:t>
      </w:r>
      <w:r w:rsidRPr="00766953">
        <w:rPr>
          <w:rFonts w:ascii="Arial" w:hAnsi="Arial" w:cs="Arial"/>
        </w:rPr>
        <w:t>Revised</w:t>
      </w:r>
      <w:r>
        <w:rPr>
          <w:rFonts w:ascii="Arial" w:hAnsi="Arial" w:cs="Arial"/>
        </w:rPr>
        <w:t>)</w:t>
      </w:r>
      <w:r w:rsidRPr="00766953">
        <w:rPr>
          <w:rFonts w:ascii="Arial" w:hAnsi="Arial" w:cs="Arial"/>
        </w:rPr>
        <w:t>. Delete this paragraph if the conclusion is unmodified.</w:t>
      </w:r>
    </w:p>
  </w:footnote>
  <w:footnote w:id="71">
    <w:p w:rsidR="003351B5" w:rsidRPr="00766953" w:rsidRDefault="003351B5" w:rsidP="00862812">
      <w:pPr>
        <w:pStyle w:val="FootnoteText"/>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 paragraph if the conclusion is unmodified</w:t>
      </w:r>
    </w:p>
  </w:footnote>
  <w:footnote w:id="72">
    <w:p w:rsidR="003351B5" w:rsidRPr="00766953" w:rsidRDefault="003351B5" w:rsidP="00862812">
      <w:pPr>
        <w:pStyle w:val="FootnoteText"/>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w:t>
      </w:r>
      <w:r w:rsidRPr="00074A98">
        <w:rPr>
          <w:rFonts w:ascii="Arial" w:hAnsi="Arial" w:cs="Arial"/>
        </w:rPr>
        <w:t xml:space="preserve"> paragraph if the conclusion is modified.</w:t>
      </w:r>
    </w:p>
  </w:footnote>
  <w:footnote w:id="73">
    <w:p w:rsidR="00C82670" w:rsidRPr="00731299" w:rsidRDefault="00C82670" w:rsidP="00907BD2">
      <w:pPr>
        <w:pStyle w:val="FootnoteText"/>
        <w:ind w:left="284" w:hanging="284"/>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In terms of Circular </w:t>
      </w:r>
      <w:r>
        <w:rPr>
          <w:rFonts w:ascii="Arial" w:hAnsi="Arial" w:cs="Arial"/>
        </w:rPr>
        <w:t>6</w:t>
      </w:r>
      <w:r w:rsidRPr="00731299">
        <w:rPr>
          <w:rFonts w:ascii="Arial" w:hAnsi="Arial" w:cs="Arial"/>
        </w:rPr>
        <w:t xml:space="preserve"> of 20</w:t>
      </w:r>
      <w:r>
        <w:rPr>
          <w:rFonts w:ascii="Arial" w:hAnsi="Arial" w:cs="Arial"/>
        </w:rPr>
        <w:t>13</w:t>
      </w:r>
      <w:r w:rsidRPr="00731299">
        <w:rPr>
          <w:rFonts w:ascii="Arial" w:hAnsi="Arial" w:cs="Arial"/>
        </w:rPr>
        <w:t xml:space="preserve">, </w:t>
      </w:r>
      <w:r w:rsidRPr="00731299">
        <w:rPr>
          <w:rFonts w:ascii="Arial" w:hAnsi="Arial" w:cs="Arial"/>
          <w:i/>
        </w:rPr>
        <w:t>Summarised Financial Statements</w:t>
      </w:r>
      <w:r w:rsidRPr="00731299">
        <w:rPr>
          <w:rFonts w:ascii="Arial" w:hAnsi="Arial" w:cs="Arial"/>
        </w:rPr>
        <w:t>.</w:t>
      </w:r>
    </w:p>
  </w:footnote>
  <w:footnote w:id="74">
    <w:p w:rsidR="00907BD2" w:rsidRPr="007F4DDB" w:rsidRDefault="00907BD2" w:rsidP="00907BD2">
      <w:pPr>
        <w:pStyle w:val="FootnoteText"/>
        <w:ind w:left="284" w:hanging="284"/>
        <w:rPr>
          <w:rFonts w:ascii="Arial" w:hAnsi="Arial" w:cs="Arial"/>
        </w:rPr>
      </w:pPr>
      <w:r w:rsidRPr="007F4DDB">
        <w:rPr>
          <w:rStyle w:val="FootnoteReference"/>
          <w:rFonts w:ascii="Arial" w:hAnsi="Arial" w:cs="Arial"/>
        </w:rPr>
        <w:footnoteRef/>
      </w:r>
      <w:r w:rsidRPr="007F4DDB">
        <w:rPr>
          <w:rFonts w:ascii="Arial" w:hAnsi="Arial" w:cs="Arial"/>
        </w:rPr>
        <w:t xml:space="preserve"> </w:t>
      </w:r>
      <w:r>
        <w:rPr>
          <w:rFonts w:ascii="Arial" w:hAnsi="Arial" w:cs="Arial"/>
        </w:rPr>
        <w:tab/>
      </w:r>
      <w:r w:rsidRPr="007F4DDB">
        <w:rPr>
          <w:rFonts w:ascii="Arial" w:hAnsi="Arial" w:cs="Arial"/>
        </w:rPr>
        <w:t>If the report is dated on the same day as the auditor’s report, do not include the sentence “The summary financial statements and audited financial statements do not reflect the effect of events that occurred subsequent to the date of our report on the audited financial statements”.</w:t>
      </w:r>
    </w:p>
  </w:footnote>
  <w:footnote w:id="75">
    <w:p w:rsidR="00907BD2" w:rsidRPr="00DC1705" w:rsidRDefault="00907BD2" w:rsidP="00907BD2">
      <w:pPr>
        <w:pStyle w:val="FootnoteText"/>
        <w:ind w:left="284" w:hanging="284"/>
        <w:rPr>
          <w:rFonts w:ascii="Arial" w:hAnsi="Arial" w:cs="Arial"/>
        </w:rPr>
      </w:pPr>
      <w:r w:rsidRPr="00DC1705">
        <w:rPr>
          <w:rStyle w:val="FootnoteReference"/>
          <w:rFonts w:ascii="Arial" w:hAnsi="Arial" w:cs="Arial"/>
        </w:rPr>
        <w:footnoteRef/>
      </w:r>
      <w:r w:rsidRPr="00DC1705">
        <w:rPr>
          <w:rFonts w:ascii="Arial" w:hAnsi="Arial" w:cs="Arial"/>
        </w:rPr>
        <w:t xml:space="preserve"> </w:t>
      </w:r>
      <w:r>
        <w:rPr>
          <w:rFonts w:ascii="Arial" w:hAnsi="Arial" w:cs="Arial"/>
        </w:rPr>
        <w:tab/>
        <w:t xml:space="preserve">ISA 810 (Revised) paragraph A21: Paragraph 19(i) of this ISA requires the auditor to include a statement in the auditor’s report on the summary financial statements when the auditor’s report on the audited financial statements includes communication on one or more key audit matters described in accordance with ISA 701, </w:t>
      </w:r>
      <w:r w:rsidRPr="009502AF">
        <w:rPr>
          <w:rFonts w:ascii="Arial" w:hAnsi="Arial" w:cs="Arial"/>
          <w:i/>
        </w:rPr>
        <w:t>Key Audit Matters</w:t>
      </w:r>
      <w:r>
        <w:rPr>
          <w:rFonts w:ascii="Arial" w:hAnsi="Arial" w:cs="Arial"/>
        </w:rPr>
        <w:t>. However, the auditor is not required to describe the individual key audit matters in the auditor’s report on the summary financial statements</w:t>
      </w:r>
      <w:r w:rsidRPr="00DC1705">
        <w:rPr>
          <w:rFonts w:ascii="Arial" w:hAnsi="Arial" w:cs="Arial"/>
        </w:rPr>
        <w:t>.</w:t>
      </w:r>
    </w:p>
  </w:footnote>
  <w:footnote w:id="76">
    <w:p w:rsidR="00C82670" w:rsidRPr="00766953" w:rsidRDefault="00C82670"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074A98">
        <w:rPr>
          <w:rFonts w:ascii="Arial" w:hAnsi="Arial" w:cs="Arial"/>
          <w:i/>
        </w:rPr>
        <w:t>Personal Medical Savings Accounts.</w:t>
      </w:r>
    </w:p>
  </w:footnote>
  <w:footnote w:id="77">
    <w:p w:rsidR="00C82670" w:rsidRPr="00074A98" w:rsidRDefault="00C82670" w:rsidP="00C721DC">
      <w:pPr>
        <w:pStyle w:val="FootnoteText"/>
        <w:ind w:left="426" w:hanging="426"/>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This does not relate to bonuses paid to the scheme’s employees in terms of employment contracts.</w:t>
      </w:r>
    </w:p>
  </w:footnote>
  <w:footnote w:id="78">
    <w:p w:rsidR="00C82670" w:rsidRPr="00766953" w:rsidRDefault="00C82670"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074A98">
        <w:rPr>
          <w:rFonts w:ascii="Arial" w:hAnsi="Arial" w:cs="Arial"/>
          <w:i/>
        </w:rPr>
        <w:t>Personal Medical Savings Accounts.</w:t>
      </w:r>
    </w:p>
  </w:footnote>
  <w:footnote w:id="79">
    <w:p w:rsidR="00C82670" w:rsidRPr="00766953" w:rsidRDefault="00C82670"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074A98">
        <w:rPr>
          <w:rFonts w:ascii="Arial" w:hAnsi="Arial" w:cs="Arial"/>
          <w:i/>
        </w:rPr>
        <w:t>Personal Medical Savings Accounts.</w:t>
      </w:r>
    </w:p>
  </w:footnote>
  <w:footnote w:id="80">
    <w:p w:rsidR="00C82670" w:rsidRPr="00766953" w:rsidRDefault="00C82670" w:rsidP="005C518D">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5 of 2012, </w:t>
      </w:r>
      <w:r w:rsidRPr="00074A98">
        <w:rPr>
          <w:rFonts w:ascii="Arial" w:hAnsi="Arial" w:cs="Arial"/>
          <w:i/>
        </w:rPr>
        <w:t>Clarification of Circular 38 of 2011 regarding personal medical savings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Pr="00255B81" w:rsidRDefault="00C82670" w:rsidP="00632D5A">
    <w:pPr>
      <w:jc w:val="center"/>
      <w:rPr>
        <w:rFonts w:ascii="Arial" w:hAnsi="Arial" w:cs="Arial"/>
        <w:b/>
        <w:sz w:val="22"/>
        <w:szCs w:val="22"/>
      </w:rPr>
    </w:pPr>
  </w:p>
  <w:p w:rsidR="00C82670" w:rsidRPr="00255B81" w:rsidRDefault="00C82670" w:rsidP="00C94075">
    <w:pPr>
      <w:jc w:val="center"/>
      <w:rPr>
        <w:rFonts w:ascii="Arial" w:hAnsi="Arial" w:cs="Arial"/>
        <w:b/>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3"/>
        <w:szCs w:val="23"/>
      </w:rPr>
    </w:pPr>
    <w:r w:rsidRPr="004077D6">
      <w:rPr>
        <w:rFonts w:ascii="Arial" w:hAnsi="Arial" w:cs="Arial"/>
        <w:b/>
        <w:sz w:val="23"/>
        <w:szCs w:val="23"/>
      </w:rPr>
      <w:t xml:space="preserve">Appendix </w:t>
    </w:r>
    <w:r>
      <w:rPr>
        <w:rFonts w:ascii="Arial" w:hAnsi="Arial" w:cs="Arial"/>
        <w:b/>
        <w:sz w:val="23"/>
        <w:szCs w:val="23"/>
      </w:rPr>
      <w:t>4</w:t>
    </w:r>
  </w:p>
  <w:p w:rsidR="00C82670" w:rsidRPr="004077D6" w:rsidRDefault="00C82670" w:rsidP="00940462">
    <w:pPr>
      <w:pStyle w:val="Header"/>
      <w:jc w:val="right"/>
      <w:rPr>
        <w:rFonts w:ascii="Arial" w:hAnsi="Arial" w:cs="Arial"/>
        <w:b/>
        <w:sz w:val="23"/>
        <w:szCs w:val="2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Pr="00ED3959"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3B394E">
    <w:pPr>
      <w:pStyle w:val="Header"/>
      <w:jc w:val="right"/>
      <w:rPr>
        <w:rFonts w:ascii="Arial" w:hAnsi="Arial" w:cs="Arial"/>
        <w:b/>
        <w:sz w:val="22"/>
        <w:szCs w:val="22"/>
      </w:rPr>
    </w:pPr>
    <w:r w:rsidRPr="00F14CD4">
      <w:rPr>
        <w:rFonts w:ascii="Arial" w:hAnsi="Arial" w:cs="Arial"/>
        <w:b/>
        <w:sz w:val="22"/>
        <w:szCs w:val="22"/>
      </w:rPr>
      <w:t>Appendix 2</w:t>
    </w:r>
  </w:p>
  <w:p w:rsidR="00C82670" w:rsidRPr="00F14CD4" w:rsidRDefault="00C82670" w:rsidP="003B394E">
    <w:pPr>
      <w:pStyle w:val="Header"/>
      <w:jc w:val="right"/>
      <w:rPr>
        <w:rFonts w:ascii="Arial" w:hAnsi="Arial" w:cs="Arial"/>
        <w:b/>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5</w:t>
    </w:r>
  </w:p>
  <w:p w:rsidR="00C82670" w:rsidRPr="00F14CD4" w:rsidRDefault="00C82670" w:rsidP="00940462">
    <w:pPr>
      <w:pStyle w:val="Header"/>
      <w:jc w:val="right"/>
      <w:rPr>
        <w:rFonts w:ascii="Arial" w:hAnsi="Arial" w:cs="Arial"/>
        <w:b/>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Pr="00ED3959"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3B394E">
    <w:pPr>
      <w:pStyle w:val="Header"/>
      <w:jc w:val="right"/>
      <w:rPr>
        <w:rFonts w:ascii="Arial" w:hAnsi="Arial" w:cs="Arial"/>
        <w:b/>
        <w:sz w:val="22"/>
        <w:szCs w:val="22"/>
      </w:rPr>
    </w:pPr>
    <w:r w:rsidRPr="00F14CD4">
      <w:rPr>
        <w:rFonts w:ascii="Arial" w:hAnsi="Arial" w:cs="Arial"/>
        <w:b/>
        <w:sz w:val="22"/>
        <w:szCs w:val="22"/>
      </w:rPr>
      <w:t>Appendix 3</w:t>
    </w:r>
  </w:p>
  <w:p w:rsidR="00C82670" w:rsidRPr="00F14CD4" w:rsidRDefault="00C82670" w:rsidP="003B394E">
    <w:pPr>
      <w:pStyle w:val="Header"/>
      <w:jc w:val="right"/>
      <w:rPr>
        <w:rFonts w:ascii="Arial" w:hAnsi="Arial" w:cs="Arial"/>
        <w:b/>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rsidR="00C82670" w:rsidRPr="00F14CD4" w:rsidRDefault="00C82670" w:rsidP="00940462">
    <w:pPr>
      <w:pStyle w:val="Header"/>
      <w:jc w:val="right"/>
      <w:rPr>
        <w:rFonts w:ascii="Arial" w:hAnsi="Arial" w:cs="Arial"/>
        <w:b/>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255B81">
    <w:pPr>
      <w:ind w:left="1440"/>
      <w:jc w:val="right"/>
      <w:rPr>
        <w:rFonts w:ascii="Arial" w:hAnsi="Arial" w:cs="Arial"/>
        <w:b/>
        <w:sz w:val="22"/>
        <w:szCs w:val="22"/>
      </w:rPr>
    </w:pPr>
    <w:r>
      <w:rPr>
        <w:rFonts w:ascii="Arial" w:hAnsi="Arial" w:cs="Arial"/>
        <w:b/>
        <w:sz w:val="20"/>
        <w:szCs w:val="20"/>
      </w:rPr>
      <w:tab/>
    </w:r>
    <w:r>
      <w:rPr>
        <w:rFonts w:ascii="Arial" w:hAnsi="Arial" w:cs="Arial"/>
        <w:b/>
        <w:sz w:val="20"/>
        <w:szCs w:val="20"/>
      </w:rPr>
      <w:tab/>
    </w:r>
    <w:r w:rsidRPr="00F14CD4">
      <w:rPr>
        <w:rFonts w:ascii="Arial" w:hAnsi="Arial" w:cs="Arial"/>
        <w:b/>
        <w:sz w:val="22"/>
        <w:szCs w:val="22"/>
      </w:rPr>
      <w:t>Appendix 4</w:t>
    </w:r>
  </w:p>
  <w:p w:rsidR="00C82670" w:rsidRPr="00F14CD4" w:rsidRDefault="00C82670" w:rsidP="003B394E">
    <w:pPr>
      <w:pStyle w:val="Header"/>
      <w:jc w:val="right"/>
      <w:rPr>
        <w:rFonts w:ascii="Arial" w:hAnsi="Arial" w:cs="Arial"/>
        <w:b/>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rsidR="00C82670" w:rsidRPr="00F14CD4" w:rsidRDefault="00C82670" w:rsidP="00940462">
    <w:pPr>
      <w:pStyle w:val="Header"/>
      <w:jc w:val="right"/>
      <w:rPr>
        <w:rFonts w:ascii="Arial" w:hAnsi="Arial" w:cs="Arial"/>
        <w:b/>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Pr="00ED3959"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3B394E">
    <w:pPr>
      <w:pStyle w:val="Header"/>
      <w:jc w:val="right"/>
      <w:rPr>
        <w:rFonts w:ascii="Arial" w:hAnsi="Arial" w:cs="Arial"/>
        <w:b/>
        <w:sz w:val="22"/>
        <w:szCs w:val="22"/>
      </w:rPr>
    </w:pPr>
    <w:r w:rsidRPr="00F14CD4">
      <w:rPr>
        <w:rFonts w:ascii="Arial" w:hAnsi="Arial" w:cs="Arial"/>
        <w:b/>
        <w:sz w:val="22"/>
        <w:szCs w:val="22"/>
      </w:rPr>
      <w:t>Appendix 5</w:t>
    </w:r>
  </w:p>
  <w:p w:rsidR="00C82670" w:rsidRPr="00F14CD4" w:rsidRDefault="00C82670" w:rsidP="003B394E">
    <w:pPr>
      <w:pStyle w:val="Header"/>
      <w:jc w:val="right"/>
      <w:rPr>
        <w:rFonts w:ascii="Arial" w:hAnsi="Arial" w:cs="Arial"/>
        <w:b/>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8</w:t>
    </w:r>
  </w:p>
  <w:p w:rsidR="00C82670" w:rsidRPr="00F14CD4" w:rsidRDefault="00C82670" w:rsidP="00940462">
    <w:pPr>
      <w:pStyle w:val="Header"/>
      <w:jc w:val="right"/>
      <w:rPr>
        <w:rFonts w:ascii="Arial" w:hAnsi="Arial" w:cs="Arial"/>
        <w:b/>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255B81">
    <w:pP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rsidR="00C82670" w:rsidRPr="00F14CD4" w:rsidRDefault="00C82670" w:rsidP="003B394E">
    <w:pPr>
      <w:pStyle w:val="Header"/>
      <w:jc w:val="right"/>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Pr="00F14CD4" w:rsidRDefault="00C82670" w:rsidP="00A01234">
    <w:pPr>
      <w:jc w:val="center"/>
      <w:rPr>
        <w:rFonts w:ascii="Arial" w:hAnsi="Arial" w:cs="Arial"/>
        <w:b/>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9</w:t>
    </w:r>
  </w:p>
  <w:p w:rsidR="00C82670" w:rsidRPr="00F14CD4" w:rsidRDefault="00C82670" w:rsidP="00940462">
    <w:pPr>
      <w:pStyle w:val="Header"/>
      <w:jc w:val="right"/>
      <w:rPr>
        <w:rFonts w:ascii="Arial" w:hAnsi="Arial" w:cs="Arial"/>
        <w:b/>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Pr="00ED3959" w:rsidRDefault="00C82670"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3B394E">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rsidR="00C82670" w:rsidRPr="00F14CD4" w:rsidRDefault="00C82670" w:rsidP="003B394E">
    <w:pPr>
      <w:pStyle w:val="Header"/>
      <w:jc w:val="right"/>
      <w:rPr>
        <w:rFonts w:ascii="Arial" w:hAnsi="Arial" w:cs="Arial"/>
        <w:b/>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10</w:t>
    </w:r>
  </w:p>
  <w:p w:rsidR="00C82670" w:rsidRPr="00F14CD4" w:rsidRDefault="00C82670" w:rsidP="00940462">
    <w:pPr>
      <w:pStyle w:val="Header"/>
      <w:jc w:val="right"/>
      <w:rPr>
        <w:rFonts w:ascii="Arial" w:hAnsi="Arial" w:cs="Arial"/>
        <w:b/>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Pr="00ED3959" w:rsidRDefault="00C82670"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3B394E">
    <w:pPr>
      <w:pStyle w:val="Header"/>
      <w:jc w:val="right"/>
      <w:rPr>
        <w:rFonts w:ascii="Arial" w:hAnsi="Arial" w:cs="Arial"/>
        <w:b/>
        <w:sz w:val="22"/>
        <w:szCs w:val="22"/>
      </w:rPr>
    </w:pPr>
    <w:r w:rsidRPr="00F14CD4">
      <w:rPr>
        <w:rFonts w:ascii="Arial" w:hAnsi="Arial" w:cs="Arial"/>
        <w:b/>
        <w:sz w:val="22"/>
        <w:szCs w:val="22"/>
      </w:rPr>
      <w:t>Appendix 8</w:t>
    </w:r>
  </w:p>
  <w:p w:rsidR="00C82670" w:rsidRPr="00F14CD4" w:rsidRDefault="00C82670" w:rsidP="003B394E">
    <w:pPr>
      <w:pStyle w:val="Header"/>
      <w:jc w:val="right"/>
      <w:rPr>
        <w:rFonts w:ascii="Arial" w:hAnsi="Arial" w:cs="Arial"/>
        <w:b/>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11</w:t>
    </w:r>
  </w:p>
  <w:p w:rsidR="00C82670" w:rsidRPr="00F14CD4" w:rsidRDefault="00C82670" w:rsidP="00940462">
    <w:pPr>
      <w:pStyle w:val="Header"/>
      <w:jc w:val="right"/>
      <w:rPr>
        <w:rFonts w:ascii="Arial" w:hAnsi="Arial" w:cs="Arial"/>
        <w:b/>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Pr="00ED3959" w:rsidRDefault="00C82670"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3B394E">
    <w:pPr>
      <w:pStyle w:val="Header"/>
      <w:jc w:val="right"/>
      <w:rPr>
        <w:rFonts w:ascii="Arial" w:hAnsi="Arial" w:cs="Arial"/>
        <w:b/>
        <w:sz w:val="22"/>
        <w:szCs w:val="22"/>
      </w:rPr>
    </w:pPr>
    <w:r w:rsidRPr="00F14CD4">
      <w:rPr>
        <w:rFonts w:ascii="Arial" w:hAnsi="Arial" w:cs="Arial"/>
        <w:b/>
        <w:sz w:val="22"/>
        <w:szCs w:val="22"/>
      </w:rPr>
      <w:t>Appendix 9</w:t>
    </w:r>
  </w:p>
  <w:p w:rsidR="00C82670" w:rsidRPr="00F14CD4" w:rsidRDefault="00C82670" w:rsidP="003B394E">
    <w:pPr>
      <w:pStyle w:val="Header"/>
      <w:jc w:val="right"/>
      <w:rPr>
        <w:rFonts w:ascii="Arial" w:hAnsi="Arial" w:cs="Arial"/>
        <w:b/>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12</w:t>
    </w:r>
  </w:p>
  <w:p w:rsidR="00C82670" w:rsidRPr="00F14CD4" w:rsidRDefault="00C82670" w:rsidP="00940462">
    <w:pPr>
      <w:pStyle w:val="Header"/>
      <w:jc w:val="right"/>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Pr="00255B81" w:rsidRDefault="00C82670" w:rsidP="00632D5A">
    <w:pPr>
      <w:jc w:val="center"/>
      <w:rPr>
        <w:rFonts w:ascii="Arial" w:hAnsi="Arial" w:cs="Arial"/>
        <w:b/>
        <w:sz w:val="22"/>
        <w:szCs w:val="22"/>
      </w:rPr>
    </w:pPr>
    <w:r>
      <w:rPr>
        <w:rFonts w:ascii="Arial" w:hAnsi="Arial" w:cs="Arial"/>
        <w:b/>
        <w:sz w:val="22"/>
        <w:szCs w:val="22"/>
      </w:rPr>
      <w:t>CONTENTS</w:t>
    </w:r>
  </w:p>
  <w:p w:rsidR="00C82670" w:rsidRPr="00255B81" w:rsidRDefault="00C82670" w:rsidP="00C94075">
    <w:pPr>
      <w:jc w:val="center"/>
      <w:rPr>
        <w:rFonts w:ascii="Arial" w:hAnsi="Arial" w:cs="Arial"/>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E017AA">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Pr="00F14CD4" w:rsidRDefault="00C82670" w:rsidP="00812785">
    <w:pPr>
      <w:jc w:val="center"/>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Pr="00F14CD4" w:rsidRDefault="00C82670" w:rsidP="00255B81">
    <w:pPr>
      <w:jc w:val="center"/>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290BDF">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Appendix 1</w:t>
    </w:r>
  </w:p>
  <w:p w:rsidR="00C82670" w:rsidRPr="00F14CD4" w:rsidRDefault="00C82670" w:rsidP="00940462">
    <w:pPr>
      <w:pStyle w:val="Header"/>
      <w:jc w:val="right"/>
      <w:rPr>
        <w:rFonts w:ascii="Arial" w:hAnsi="Arial" w:cs="Arial"/>
        <w:b/>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3B394E">
    <w:pPr>
      <w:pStyle w:val="Header"/>
      <w:jc w:val="right"/>
      <w:rPr>
        <w:rFonts w:ascii="Arial" w:hAnsi="Arial" w:cs="Arial"/>
        <w:b/>
        <w:sz w:val="22"/>
        <w:szCs w:val="22"/>
      </w:rPr>
    </w:pPr>
    <w:r w:rsidRPr="00F14CD4">
      <w:rPr>
        <w:rFonts w:ascii="Arial" w:hAnsi="Arial" w:cs="Arial"/>
        <w:b/>
        <w:sz w:val="22"/>
        <w:szCs w:val="22"/>
      </w:rPr>
      <w:t>Appendix 1</w:t>
    </w:r>
  </w:p>
  <w:p w:rsidR="00C82670" w:rsidRPr="00F14CD4" w:rsidRDefault="00C82670" w:rsidP="003B394E">
    <w:pPr>
      <w:pStyle w:val="Header"/>
      <w:jc w:val="right"/>
      <w:rPr>
        <w:rFonts w:ascii="Arial" w:hAnsi="Arial" w:cs="Arial"/>
        <w:b/>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290BDF">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2</w:t>
    </w:r>
  </w:p>
  <w:p w:rsidR="00C82670" w:rsidRPr="00F14CD4" w:rsidRDefault="00C82670" w:rsidP="00940462">
    <w:pPr>
      <w:pStyle w:val="Header"/>
      <w:jc w:val="right"/>
      <w:rPr>
        <w:rFonts w:ascii="Arial" w:hAnsi="Arial" w:cs="Arial"/>
        <w:b/>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70" w:rsidRDefault="00C82670" w:rsidP="00290BDF">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C82670" w:rsidRDefault="00C82670" w:rsidP="00290BDF">
    <w:pPr>
      <w:jc w:val="center"/>
      <w:rPr>
        <w:rFonts w:ascii="Arial" w:hAnsi="Arial" w:cs="Arial"/>
        <w:b/>
        <w:sz w:val="22"/>
        <w:szCs w:val="22"/>
      </w:rPr>
    </w:pPr>
    <w:r>
      <w:rPr>
        <w:rFonts w:ascii="Arial" w:hAnsi="Arial" w:cs="Arial"/>
        <w:b/>
        <w:sz w:val="22"/>
        <w:szCs w:val="22"/>
      </w:rPr>
      <w:t xml:space="preserve">ASSURANCE ENGAGEMENTS ON THE ANNUAL FINANCIAL STATEMENTS AND ANNUAL STATUTORY RETURNS </w:t>
    </w:r>
    <w:r w:rsidRPr="00775269">
      <w:rPr>
        <w:rFonts w:ascii="Arial" w:hAnsi="Arial" w:cs="Arial"/>
        <w:b/>
        <w:sz w:val="22"/>
        <w:szCs w:val="22"/>
      </w:rPr>
      <w:t xml:space="preserve">OF </w:t>
    </w:r>
    <w:r>
      <w:rPr>
        <w:rFonts w:ascii="Arial" w:hAnsi="Arial" w:cs="Arial"/>
        <w:b/>
        <w:sz w:val="22"/>
        <w:szCs w:val="22"/>
      </w:rPr>
      <w:t xml:space="preserve">A </w:t>
    </w:r>
    <w:r w:rsidRPr="00775269">
      <w:rPr>
        <w:rFonts w:ascii="Arial" w:hAnsi="Arial" w:cs="Arial"/>
        <w:b/>
        <w:sz w:val="22"/>
        <w:szCs w:val="22"/>
      </w:rPr>
      <w:t>MEDICAL SCHEME</w:t>
    </w:r>
  </w:p>
  <w:p w:rsidR="00C82670" w:rsidRDefault="00C82670"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3</w:t>
    </w:r>
  </w:p>
  <w:p w:rsidR="00C82670" w:rsidRPr="00F14CD4" w:rsidRDefault="00C82670" w:rsidP="00940462">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A60C5E"/>
    <w:lvl w:ilvl="0">
      <w:start w:val="1"/>
      <w:numFmt w:val="lowerLetter"/>
      <w:pStyle w:val="ListBullet2"/>
      <w:lvlText w:val="%1)"/>
      <w:lvlJc w:val="left"/>
      <w:pPr>
        <w:tabs>
          <w:tab w:val="num" w:pos="623"/>
        </w:tabs>
        <w:ind w:left="623" w:hanging="340"/>
      </w:pPr>
      <w:rPr>
        <w:rFonts w:ascii="Times New Roman" w:eastAsia="Calibri" w:hAnsi="Times New Roman" w:cs="Times New Roman" w:hint="default"/>
      </w:rPr>
    </w:lvl>
  </w:abstractNum>
  <w:abstractNum w:abstractNumId="1" w15:restartNumberingAfterBreak="0">
    <w:nsid w:val="00927E59"/>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017E711E"/>
    <w:multiLevelType w:val="hybridMultilevel"/>
    <w:tmpl w:val="BC6029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2425C2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 w15:restartNumberingAfterBreak="0">
    <w:nsid w:val="030A33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473525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C47D63"/>
    <w:multiLevelType w:val="hybridMultilevel"/>
    <w:tmpl w:val="22244B2E"/>
    <w:lvl w:ilvl="0" w:tplc="ABDCC0E8">
      <w:start w:val="1"/>
      <w:numFmt w:val="lowerLetter"/>
      <w:pStyle w:val="3rdbulleta"/>
      <w:lvlText w:val="(%1)"/>
      <w:lvlJc w:val="left"/>
      <w:pPr>
        <w:ind w:left="899"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7" w15:restartNumberingAfterBreak="0">
    <w:nsid w:val="04DB7AEC"/>
    <w:multiLevelType w:val="hybridMultilevel"/>
    <w:tmpl w:val="21AE5E88"/>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 w15:restartNumberingAfterBreak="0">
    <w:nsid w:val="05A07D24"/>
    <w:multiLevelType w:val="hybridMultilevel"/>
    <w:tmpl w:val="417CC502"/>
    <w:lvl w:ilvl="0" w:tplc="7EA280EC">
      <w:start w:val="1"/>
      <w:numFmt w:val="lowerLetter"/>
      <w:lvlText w:val="(%1)"/>
      <w:lvlJc w:val="left"/>
      <w:pPr>
        <w:ind w:left="360" w:hanging="360"/>
      </w:pPr>
      <w:rPr>
        <w:rFonts w:ascii="Arial" w:hAnsi="Arial" w:hint="default"/>
        <w:b w:val="0"/>
        <w:i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5D26FFA"/>
    <w:multiLevelType w:val="hybridMultilevel"/>
    <w:tmpl w:val="47BA0A00"/>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5FC5515"/>
    <w:multiLevelType w:val="hybridMultilevel"/>
    <w:tmpl w:val="826842C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C016BF"/>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7D2216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 w15:restartNumberingAfterBreak="0">
    <w:nsid w:val="08315F5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08E748F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 w15:restartNumberingAfterBreak="0">
    <w:nsid w:val="0AF2266B"/>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0B20753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2617D4"/>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0E4941A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0" w15:restartNumberingAfterBreak="0">
    <w:nsid w:val="0F3400F0"/>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0F36452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0F8A42B7"/>
    <w:multiLevelType w:val="hybridMultilevel"/>
    <w:tmpl w:val="3C6EC79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101B7D4D"/>
    <w:multiLevelType w:val="hybridMultilevel"/>
    <w:tmpl w:val="76C275AA"/>
    <w:lvl w:ilvl="0" w:tplc="D0E0C1A4">
      <w:start w:val="1"/>
      <w:numFmt w:val="lowerLetter"/>
      <w:lvlText w:val="%1)"/>
      <w:lvlJc w:val="left"/>
      <w:pPr>
        <w:ind w:left="1353" w:hanging="360"/>
      </w:pPr>
      <w:rPr>
        <w:rFonts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24" w15:restartNumberingAfterBreak="0">
    <w:nsid w:val="12267E39"/>
    <w:multiLevelType w:val="hybridMultilevel"/>
    <w:tmpl w:val="76FE7E7E"/>
    <w:lvl w:ilvl="0" w:tplc="7EA280EC">
      <w:start w:val="1"/>
      <w:numFmt w:val="lowerLetter"/>
      <w:lvlText w:val="(%1)"/>
      <w:lvlJc w:val="left"/>
      <w:pPr>
        <w:ind w:left="360" w:hanging="360"/>
      </w:pPr>
      <w:rPr>
        <w:rFonts w:ascii="Arial" w:hAnsi="Arial" w:hint="default"/>
        <w:b w:val="0"/>
        <w:i w:val="0"/>
        <w:sz w:val="22"/>
      </w:rPr>
    </w:lvl>
    <w:lvl w:ilvl="1" w:tplc="35AC533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12CB20F6"/>
    <w:multiLevelType w:val="hybridMultilevel"/>
    <w:tmpl w:val="7172AE1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DD6485"/>
    <w:multiLevelType w:val="hybridMultilevel"/>
    <w:tmpl w:val="0024AC26"/>
    <w:lvl w:ilvl="0" w:tplc="1C090017">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13071D4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8" w15:restartNumberingAfterBreak="0">
    <w:nsid w:val="139A1EFD"/>
    <w:multiLevelType w:val="hybridMultilevel"/>
    <w:tmpl w:val="F796F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14011B4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4150F4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1" w15:restartNumberingAfterBreak="0">
    <w:nsid w:val="144303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2" w15:restartNumberingAfterBreak="0">
    <w:nsid w:val="15DE0AB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1715311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17D926B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5" w15:restartNumberingAfterBreak="0">
    <w:nsid w:val="18745E3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6" w15:restartNumberingAfterBreak="0">
    <w:nsid w:val="18786C2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7" w15:restartNumberingAfterBreak="0">
    <w:nsid w:val="18C146B0"/>
    <w:multiLevelType w:val="multilevel"/>
    <w:tmpl w:val="3F702D48"/>
    <w:lvl w:ilvl="0">
      <w:start w:val="1"/>
      <w:numFmt w:val="decimal"/>
      <w:lvlText w:val="%1."/>
      <w:lvlJc w:val="right"/>
      <w:pPr>
        <w:tabs>
          <w:tab w:val="num" w:pos="360"/>
        </w:tabs>
        <w:ind w:left="360" w:hanging="360"/>
      </w:pPr>
      <w:rPr>
        <w:rFonts w:hint="default"/>
        <w:b w:val="0"/>
        <w:i w:val="0"/>
      </w:rPr>
    </w:lvl>
    <w:lvl w:ilvl="1">
      <w:start w:val="1"/>
      <w:numFmt w:val="lowerLetter"/>
      <w:lvlText w:val="(%2)"/>
      <w:lvlJc w:val="right"/>
      <w:pPr>
        <w:tabs>
          <w:tab w:val="num" w:pos="1508"/>
        </w:tabs>
        <w:ind w:left="1508" w:hanging="360"/>
      </w:pPr>
      <w:rPr>
        <w:rFonts w:hint="default"/>
        <w:b w:val="0"/>
      </w:rPr>
    </w:lvl>
    <w:lvl w:ilvl="2">
      <w:start w:val="1"/>
      <w:numFmt w:val="lowerRoman"/>
      <w:lvlText w:val="(%3)"/>
      <w:lvlJc w:val="right"/>
      <w:pPr>
        <w:tabs>
          <w:tab w:val="num" w:pos="1602"/>
        </w:tabs>
        <w:ind w:left="1602" w:hanging="360"/>
      </w:pPr>
      <w:rPr>
        <w:rFonts w:hint="default"/>
        <w:b w:val="0"/>
      </w:rPr>
    </w:lvl>
    <w:lvl w:ilvl="3">
      <w:start w:val="1"/>
      <w:numFmt w:val="decimal"/>
      <w:lvlText w:val="(%4)"/>
      <w:lvlJc w:val="left"/>
      <w:pPr>
        <w:tabs>
          <w:tab w:val="num" w:pos="1890"/>
        </w:tabs>
        <w:ind w:left="1890" w:hanging="360"/>
      </w:pPr>
      <w:rPr>
        <w:rFonts w:hint="default"/>
      </w:rPr>
    </w:lvl>
    <w:lvl w:ilvl="4">
      <w:start w:val="1"/>
      <w:numFmt w:val="lowerLetter"/>
      <w:lvlText w:val="(%5)"/>
      <w:lvlJc w:val="left"/>
      <w:pPr>
        <w:tabs>
          <w:tab w:val="num" w:pos="2250"/>
        </w:tabs>
        <w:ind w:left="2250" w:hanging="360"/>
      </w:pPr>
      <w:rPr>
        <w:rFonts w:hint="default"/>
      </w:rPr>
    </w:lvl>
    <w:lvl w:ilvl="5">
      <w:start w:val="1"/>
      <w:numFmt w:val="lowerRoman"/>
      <w:lvlText w:val="(%6)"/>
      <w:lvlJc w:val="left"/>
      <w:pPr>
        <w:tabs>
          <w:tab w:val="num" w:pos="2610"/>
        </w:tabs>
        <w:ind w:left="2610" w:hanging="360"/>
      </w:pPr>
      <w:rPr>
        <w:rFonts w:hint="default"/>
      </w:rPr>
    </w:lvl>
    <w:lvl w:ilvl="6">
      <w:start w:val="1"/>
      <w:numFmt w:val="decimal"/>
      <w:lvlText w:val="%7."/>
      <w:lvlJc w:val="left"/>
      <w:pPr>
        <w:tabs>
          <w:tab w:val="num" w:pos="2970"/>
        </w:tabs>
        <w:ind w:left="2970" w:hanging="360"/>
      </w:pPr>
      <w:rPr>
        <w:rFonts w:hint="default"/>
      </w:rPr>
    </w:lvl>
    <w:lvl w:ilvl="7">
      <w:start w:val="1"/>
      <w:numFmt w:val="lowerLetter"/>
      <w:lvlText w:val="%8."/>
      <w:lvlJc w:val="left"/>
      <w:pPr>
        <w:tabs>
          <w:tab w:val="num" w:pos="3330"/>
        </w:tabs>
        <w:ind w:left="3330" w:hanging="360"/>
      </w:pPr>
      <w:rPr>
        <w:rFonts w:hint="default"/>
      </w:rPr>
    </w:lvl>
    <w:lvl w:ilvl="8">
      <w:start w:val="1"/>
      <w:numFmt w:val="lowerRoman"/>
      <w:lvlText w:val="%9."/>
      <w:lvlJc w:val="left"/>
      <w:pPr>
        <w:tabs>
          <w:tab w:val="num" w:pos="3690"/>
        </w:tabs>
        <w:ind w:left="3690" w:hanging="360"/>
      </w:pPr>
      <w:rPr>
        <w:rFonts w:hint="default"/>
      </w:rPr>
    </w:lvl>
  </w:abstractNum>
  <w:abstractNum w:abstractNumId="38" w15:restartNumberingAfterBreak="0">
    <w:nsid w:val="1AA01E52"/>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9"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1AEF7DBC"/>
    <w:multiLevelType w:val="hybridMultilevel"/>
    <w:tmpl w:val="C78002A2"/>
    <w:lvl w:ilvl="0" w:tplc="7EA280EC">
      <w:start w:val="1"/>
      <w:numFmt w:val="lowerLetter"/>
      <w:lvlText w:val="(%1)"/>
      <w:lvlJc w:val="left"/>
      <w:pPr>
        <w:ind w:left="927" w:hanging="360"/>
      </w:pPr>
      <w:rPr>
        <w:rFonts w:ascii="Arial" w:hAnsi="Arial" w:hint="default"/>
        <w:b w:val="0"/>
        <w:i w:val="0"/>
        <w:sz w:val="22"/>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2" w15:restartNumberingAfterBreak="0">
    <w:nsid w:val="1C255DB5"/>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3" w15:restartNumberingAfterBreak="0">
    <w:nsid w:val="1C3C67B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1CFE7A3A"/>
    <w:multiLevelType w:val="hybridMultilevel"/>
    <w:tmpl w:val="C7D025DE"/>
    <w:lvl w:ilvl="0" w:tplc="1C090001">
      <w:start w:val="1"/>
      <w:numFmt w:val="bullet"/>
      <w:lvlText w:val=""/>
      <w:lvlJc w:val="left"/>
      <w:pPr>
        <w:ind w:left="927" w:hanging="360"/>
      </w:pPr>
      <w:rPr>
        <w:rFonts w:ascii="Symbol" w:hAnsi="Symbol" w:hint="default"/>
      </w:rPr>
    </w:lvl>
    <w:lvl w:ilvl="1" w:tplc="1C090001">
      <w:start w:val="1"/>
      <w:numFmt w:val="bullet"/>
      <w:lvlText w:val=""/>
      <w:lvlJc w:val="left"/>
      <w:pPr>
        <w:ind w:left="1647" w:hanging="360"/>
      </w:pPr>
      <w:rPr>
        <w:rFonts w:ascii="Symbol" w:hAnsi="Symbol" w:hint="default"/>
      </w:r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5"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200A5942"/>
    <w:multiLevelType w:val="hybridMultilevel"/>
    <w:tmpl w:val="0E342FE4"/>
    <w:lvl w:ilvl="0" w:tplc="1C090003">
      <w:start w:val="1"/>
      <w:numFmt w:val="bullet"/>
      <w:lvlText w:val="o"/>
      <w:lvlJc w:val="left"/>
      <w:pPr>
        <w:ind w:left="534" w:hanging="360"/>
      </w:pPr>
      <w:rPr>
        <w:rFonts w:ascii="Courier New" w:hAnsi="Courier New" w:cs="Courier New"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47"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223328E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9" w15:restartNumberingAfterBreak="0">
    <w:nsid w:val="22FA00F0"/>
    <w:multiLevelType w:val="hybridMultilevel"/>
    <w:tmpl w:val="435A269C"/>
    <w:lvl w:ilvl="0" w:tplc="01E28A1E">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0" w15:restartNumberingAfterBreak="0">
    <w:nsid w:val="23AD6D6D"/>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1" w15:restartNumberingAfterBreak="0">
    <w:nsid w:val="23B63A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2" w15:restartNumberingAfterBreak="0">
    <w:nsid w:val="23D25A08"/>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15:restartNumberingAfterBreak="0">
    <w:nsid w:val="25172FBE"/>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6302B1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5" w15:restartNumberingAfterBreak="0">
    <w:nsid w:val="26721DC6"/>
    <w:multiLevelType w:val="hybridMultilevel"/>
    <w:tmpl w:val="E584BAB8"/>
    <w:lvl w:ilvl="0" w:tplc="D0E0C1A4">
      <w:start w:val="1"/>
      <w:numFmt w:val="lowerRoman"/>
      <w:lvlText w:val="(%1)"/>
      <w:lvlJc w:val="left"/>
      <w:pPr>
        <w:ind w:left="1080" w:hanging="360"/>
      </w:pPr>
      <w:rPr>
        <w:rFonts w:ascii="Arial" w:hAnsi="Arial" w:hint="default"/>
        <w:b w:val="0"/>
        <w:i w:val="0"/>
        <w:sz w:val="22"/>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6" w15:restartNumberingAfterBreak="0">
    <w:nsid w:val="27CE3187"/>
    <w:multiLevelType w:val="hybridMultilevel"/>
    <w:tmpl w:val="8B1AC9DA"/>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28393E7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8C37683"/>
    <w:multiLevelType w:val="hybridMultilevel"/>
    <w:tmpl w:val="8DB82F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8EE6C7C"/>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28FF745D"/>
    <w:multiLevelType w:val="hybridMultilevel"/>
    <w:tmpl w:val="ABCAE9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15:restartNumberingAfterBreak="0">
    <w:nsid w:val="2AF81AB2"/>
    <w:multiLevelType w:val="hybridMultilevel"/>
    <w:tmpl w:val="7B84DADE"/>
    <w:lvl w:ilvl="0" w:tplc="1172BA92">
      <w:numFmt w:val="bullet"/>
      <w:pStyle w:val="Bullets"/>
      <w:lvlText w:val="•"/>
      <w:lvlJc w:val="left"/>
      <w:pPr>
        <w:ind w:left="360" w:hanging="360"/>
      </w:pPr>
      <w:rPr>
        <w:rFonts w:ascii="Helv" w:hAnsi="Helv"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B2574E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5" w15:restartNumberingAfterBreak="0">
    <w:nsid w:val="2C2F3C3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66" w15:restartNumberingAfterBreak="0">
    <w:nsid w:val="2C5E576B"/>
    <w:multiLevelType w:val="hybridMultilevel"/>
    <w:tmpl w:val="F3EAF97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7" w15:restartNumberingAfterBreak="0">
    <w:nsid w:val="2C7E0D0B"/>
    <w:multiLevelType w:val="hybridMultilevel"/>
    <w:tmpl w:val="FD0C6A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2CDD5920"/>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69" w15:restartNumberingAfterBreak="0">
    <w:nsid w:val="2CF90316"/>
    <w:multiLevelType w:val="hybridMultilevel"/>
    <w:tmpl w:val="200A87C2"/>
    <w:lvl w:ilvl="0" w:tplc="1C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0"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72" w15:restartNumberingAfterBreak="0">
    <w:nsid w:val="2FCE39E3"/>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2FDC58E1"/>
    <w:multiLevelType w:val="hybridMultilevel"/>
    <w:tmpl w:val="CB86821A"/>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4" w15:restartNumberingAfterBreak="0">
    <w:nsid w:val="306C527A"/>
    <w:multiLevelType w:val="multilevel"/>
    <w:tmpl w:val="39FE35EE"/>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0FE3B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6" w15:restartNumberingAfterBreak="0">
    <w:nsid w:val="33237108"/>
    <w:multiLevelType w:val="hybridMultilevel"/>
    <w:tmpl w:val="9DA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37A7E2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8" w15:restartNumberingAfterBreak="0">
    <w:nsid w:val="338411C2"/>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9" w15:restartNumberingAfterBreak="0">
    <w:nsid w:val="33DC3AD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0" w15:restartNumberingAfterBreak="0">
    <w:nsid w:val="341B2764"/>
    <w:multiLevelType w:val="hybridMultilevel"/>
    <w:tmpl w:val="E89077E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1" w15:restartNumberingAfterBreak="0">
    <w:nsid w:val="35344EDE"/>
    <w:multiLevelType w:val="hybridMultilevel"/>
    <w:tmpl w:val="9F8C43DE"/>
    <w:lvl w:ilvl="0" w:tplc="04090001">
      <w:start w:val="1"/>
      <w:numFmt w:val="bullet"/>
      <w:lvlText w:val=""/>
      <w:lvlJc w:val="left"/>
      <w:pPr>
        <w:ind w:left="720" w:hanging="360"/>
      </w:pPr>
      <w:rPr>
        <w:rFonts w:ascii="Symbol" w:hAnsi="Symbol" w:hint="default"/>
        <w:b w:val="0"/>
        <w:i w:val="0"/>
        <w:sz w:val="22"/>
      </w:rPr>
    </w:lvl>
    <w:lvl w:ilvl="1" w:tplc="08090019">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82" w15:restartNumberingAfterBreak="0">
    <w:nsid w:val="35676E9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3" w15:restartNumberingAfterBreak="0">
    <w:nsid w:val="37311D85"/>
    <w:multiLevelType w:val="singleLevel"/>
    <w:tmpl w:val="6980ED98"/>
    <w:lvl w:ilvl="0">
      <w:start w:val="1"/>
      <w:numFmt w:val="bullet"/>
      <w:lvlText w:val=""/>
      <w:lvlJc w:val="left"/>
      <w:pPr>
        <w:tabs>
          <w:tab w:val="num" w:pos="340"/>
        </w:tabs>
        <w:ind w:left="340" w:hanging="340"/>
      </w:pPr>
      <w:rPr>
        <w:rFonts w:ascii="Symbol" w:hAnsi="Symbol" w:hint="default"/>
        <w:color w:val="auto"/>
        <w:sz w:val="22"/>
      </w:rPr>
    </w:lvl>
  </w:abstractNum>
  <w:abstractNum w:abstractNumId="84" w15:restartNumberingAfterBreak="0">
    <w:nsid w:val="3799360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5" w15:restartNumberingAfterBreak="0">
    <w:nsid w:val="38363C26"/>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6" w15:restartNumberingAfterBreak="0">
    <w:nsid w:val="38F673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7" w15:restartNumberingAfterBreak="0">
    <w:nsid w:val="39467381"/>
    <w:multiLevelType w:val="hybridMultilevel"/>
    <w:tmpl w:val="F5EE2B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15:restartNumberingAfterBreak="0">
    <w:nsid w:val="394963B7"/>
    <w:multiLevelType w:val="hybridMultilevel"/>
    <w:tmpl w:val="8F541E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39C3403D"/>
    <w:multiLevelType w:val="hybridMultilevel"/>
    <w:tmpl w:val="5C3A8CB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1" w15:restartNumberingAfterBreak="0">
    <w:nsid w:val="3A161E1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2"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C501741"/>
    <w:multiLevelType w:val="hybridMultilevel"/>
    <w:tmpl w:val="AE14CE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3DF23EA8"/>
    <w:multiLevelType w:val="hybridMultilevel"/>
    <w:tmpl w:val="09A435D0"/>
    <w:lvl w:ilvl="0" w:tplc="01E28A1E">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15:restartNumberingAfterBreak="0">
    <w:nsid w:val="3FE03D2E"/>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96" w15:restartNumberingAfterBreak="0">
    <w:nsid w:val="3FE870C8"/>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7" w15:restartNumberingAfterBreak="0">
    <w:nsid w:val="40A54DDF"/>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8" w15:restartNumberingAfterBreak="0">
    <w:nsid w:val="40E145CB"/>
    <w:multiLevelType w:val="hybridMultilevel"/>
    <w:tmpl w:val="0F48C3C6"/>
    <w:lvl w:ilvl="0" w:tplc="04090017">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99" w15:restartNumberingAfterBreak="0">
    <w:nsid w:val="423828C0"/>
    <w:multiLevelType w:val="hybridMultilevel"/>
    <w:tmpl w:val="0D82B010"/>
    <w:lvl w:ilvl="0" w:tplc="F26C9808">
      <w:start w:val="1"/>
      <w:numFmt w:val="bullet"/>
      <w:pStyle w:val="Sub-bullets"/>
      <w:lvlText w:val="o"/>
      <w:lvlJc w:val="left"/>
      <w:pPr>
        <w:ind w:left="394" w:hanging="360"/>
      </w:pPr>
      <w:rPr>
        <w:rFonts w:ascii="Courier New" w:hAnsi="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0" w15:restartNumberingAfterBreak="0">
    <w:nsid w:val="43670F62"/>
    <w:multiLevelType w:val="hybridMultilevel"/>
    <w:tmpl w:val="2FF42A46"/>
    <w:lvl w:ilvl="0" w:tplc="DEB8F1A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1" w15:restartNumberingAfterBreak="0">
    <w:nsid w:val="436C4AC6"/>
    <w:multiLevelType w:val="hybridMultilevel"/>
    <w:tmpl w:val="95824902"/>
    <w:lvl w:ilvl="0" w:tplc="D0E0C1A4">
      <w:start w:val="1"/>
      <w:numFmt w:val="lowerRoman"/>
      <w:lvlText w:val="(%1)"/>
      <w:lvlJc w:val="left"/>
      <w:pPr>
        <w:ind w:left="1080" w:hanging="360"/>
      </w:pPr>
      <w:rPr>
        <w:rFonts w:ascii="Arial" w:hAnsi="Arial" w:hint="default"/>
        <w:b w:val="0"/>
        <w:i w:val="0"/>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2" w15:restartNumberingAfterBreak="0">
    <w:nsid w:val="44094F7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3" w15:restartNumberingAfterBreak="0">
    <w:nsid w:val="4517562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4" w15:restartNumberingAfterBreak="0">
    <w:nsid w:val="46363699"/>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8006B8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7" w15:restartNumberingAfterBreak="0">
    <w:nsid w:val="48827079"/>
    <w:multiLevelType w:val="hybridMultilevel"/>
    <w:tmpl w:val="36722F72"/>
    <w:lvl w:ilvl="0" w:tplc="3A181118">
      <w:start w:val="1"/>
      <w:numFmt w:val="lowerLetter"/>
      <w:lvlText w:val="(%1)"/>
      <w:lvlJc w:val="left"/>
      <w:pPr>
        <w:tabs>
          <w:tab w:val="num" w:pos="720"/>
        </w:tabs>
        <w:ind w:left="720" w:hanging="72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08" w15:restartNumberingAfterBreak="0">
    <w:nsid w:val="4994030E"/>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09" w15:restartNumberingAfterBreak="0">
    <w:nsid w:val="4A5432C5"/>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0" w15:restartNumberingAfterBreak="0">
    <w:nsid w:val="4BBB111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1" w15:restartNumberingAfterBreak="0">
    <w:nsid w:val="4C995205"/>
    <w:multiLevelType w:val="multilevel"/>
    <w:tmpl w:val="7BA85A62"/>
    <w:lvl w:ilvl="0">
      <w:start w:val="1"/>
      <w:numFmt w:val="decimal"/>
      <w:pStyle w:val="NumberedParagraph-BulletelistLeft0Firstline0"/>
      <w:lvlText w:val="%1."/>
      <w:lvlJc w:val="right"/>
      <w:pPr>
        <w:tabs>
          <w:tab w:val="num" w:pos="720"/>
        </w:tabs>
        <w:ind w:left="720" w:hanging="360"/>
      </w:pPr>
      <w:rPr>
        <w:rFonts w:hint="default"/>
        <w:b w:val="0"/>
        <w:i w:val="0"/>
      </w:rPr>
    </w:lvl>
    <w:lvl w:ilvl="1">
      <w:start w:val="1"/>
      <w:numFmt w:val="lowerLetter"/>
      <w:lvlText w:val="(%2)"/>
      <w:lvlJc w:val="right"/>
      <w:pPr>
        <w:tabs>
          <w:tab w:val="num" w:pos="1440"/>
        </w:tabs>
        <w:ind w:left="1440" w:hanging="360"/>
      </w:pPr>
      <w:rPr>
        <w:rFonts w:hint="default"/>
        <w:b w:val="0"/>
        <w:i w:val="0"/>
      </w:rPr>
    </w:lvl>
    <w:lvl w:ilvl="2">
      <w:start w:val="1"/>
      <w:numFmt w:val="lowerRoman"/>
      <w:lvlText w:val="(%3)"/>
      <w:lvlJc w:val="right"/>
      <w:pPr>
        <w:tabs>
          <w:tab w:val="num" w:pos="6000"/>
        </w:tabs>
        <w:ind w:left="600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2" w15:restartNumberingAfterBreak="0">
    <w:nsid w:val="4D364C1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3" w15:restartNumberingAfterBreak="0">
    <w:nsid w:val="4E781E6F"/>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14" w15:restartNumberingAfterBreak="0">
    <w:nsid w:val="4F361B53"/>
    <w:multiLevelType w:val="hybridMultilevel"/>
    <w:tmpl w:val="F3640376"/>
    <w:lvl w:ilvl="0" w:tplc="01E28A1E">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5" w15:restartNumberingAfterBreak="0">
    <w:nsid w:val="4F6B0294"/>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6" w15:restartNumberingAfterBreak="0">
    <w:nsid w:val="4FCE6A54"/>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504C457A"/>
    <w:multiLevelType w:val="hybridMultilevel"/>
    <w:tmpl w:val="833E7086"/>
    <w:lvl w:ilvl="0" w:tplc="17660998">
      <w:start w:val="1"/>
      <w:numFmt w:val="decimal"/>
      <w:lvlText w:val="%1."/>
      <w:lvlJc w:val="left"/>
      <w:pPr>
        <w:ind w:left="360" w:hanging="360"/>
      </w:pPr>
      <w:rPr>
        <w:rFonts w:hint="default"/>
        <w:b w:val="0"/>
        <w:i w:val="0"/>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0AC0E52"/>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9" w15:restartNumberingAfterBreak="0">
    <w:nsid w:val="51E62634"/>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0" w15:restartNumberingAfterBreak="0">
    <w:nsid w:val="53BB701D"/>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1" w15:restartNumberingAfterBreak="0">
    <w:nsid w:val="53F059A5"/>
    <w:multiLevelType w:val="hybridMultilevel"/>
    <w:tmpl w:val="C4B0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8B2A7A"/>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3" w15:restartNumberingAfterBreak="0">
    <w:nsid w:val="56721B8B"/>
    <w:multiLevelType w:val="multilevel"/>
    <w:tmpl w:val="95229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6B221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5" w15:restartNumberingAfterBreak="0">
    <w:nsid w:val="56BF1CC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6" w15:restartNumberingAfterBreak="0">
    <w:nsid w:val="57FE642B"/>
    <w:multiLevelType w:val="hybridMultilevel"/>
    <w:tmpl w:val="DE60C466"/>
    <w:lvl w:ilvl="0" w:tplc="2DF2FD6C">
      <w:start w:val="1"/>
      <w:numFmt w:val="decimal"/>
      <w:pStyle w:val="Bulletnrs"/>
      <w:lvlText w:val="%1."/>
      <w:lvlJc w:val="left"/>
      <w:pPr>
        <w:ind w:left="360" w:hanging="360"/>
      </w:pPr>
      <w:rPr>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9" w15:restartNumberingAfterBreak="0">
    <w:nsid w:val="5A59563D"/>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5A983142"/>
    <w:multiLevelType w:val="hybridMultilevel"/>
    <w:tmpl w:val="09903B6A"/>
    <w:lvl w:ilvl="0" w:tplc="EDE2AB2E">
      <w:start w:val="1"/>
      <w:numFmt w:val="lowerLetter"/>
      <w:lvlText w:val="(%1)"/>
      <w:lvlJc w:val="left"/>
      <w:pPr>
        <w:tabs>
          <w:tab w:val="num" w:pos="1475"/>
        </w:tabs>
        <w:ind w:left="1475" w:hanging="907"/>
      </w:pPr>
      <w:rPr>
        <w:rFonts w:hint="default"/>
        <w:b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1" w15:restartNumberingAfterBreak="0">
    <w:nsid w:val="5B6616D7"/>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2" w15:restartNumberingAfterBreak="0">
    <w:nsid w:val="5BC14143"/>
    <w:multiLevelType w:val="hybridMultilevel"/>
    <w:tmpl w:val="B392936E"/>
    <w:lvl w:ilvl="0" w:tplc="D0E0C1A4">
      <w:start w:val="1"/>
      <w:numFmt w:val="lowerLetter"/>
      <w:lvlText w:val="%1)"/>
      <w:lvlJc w:val="left"/>
      <w:pPr>
        <w:ind w:left="720" w:hanging="360"/>
      </w:pPr>
      <w:rPr>
        <w:rFonts w:hint="default"/>
      </w:rPr>
    </w:lvl>
    <w:lvl w:ilvl="1" w:tplc="8112F424">
      <w:start w:val="1"/>
      <w:numFmt w:val="lowerRoman"/>
      <w:lvlText w:val="(%2)"/>
      <w:lvlJc w:val="left"/>
      <w:pPr>
        <w:tabs>
          <w:tab w:val="num" w:pos="1800"/>
        </w:tabs>
        <w:ind w:left="1800" w:hanging="360"/>
      </w:pPr>
      <w:rPr>
        <w:rFonts w:ascii="Times New Roman" w:hAnsi="Times New Roman"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3" w15:restartNumberingAfterBreak="0">
    <w:nsid w:val="5CE5048B"/>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4" w15:restartNumberingAfterBreak="0">
    <w:nsid w:val="5D37558C"/>
    <w:multiLevelType w:val="hybridMultilevel"/>
    <w:tmpl w:val="605ACB30"/>
    <w:lvl w:ilvl="0" w:tplc="1C090003">
      <w:start w:val="1"/>
      <w:numFmt w:val="bullet"/>
      <w:lvlText w:val="o"/>
      <w:lvlJc w:val="left"/>
      <w:pPr>
        <w:ind w:left="720" w:hanging="360"/>
      </w:pPr>
      <w:rPr>
        <w:rFonts w:ascii="Courier New" w:hAnsi="Courier New" w:cs="Courier New"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DB10A6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6"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7" w15:restartNumberingAfterBreak="0">
    <w:nsid w:val="602C4F7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8"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36F6B99"/>
    <w:multiLevelType w:val="hybridMultilevel"/>
    <w:tmpl w:val="3C1ED734"/>
    <w:lvl w:ilvl="0" w:tplc="60BEB350">
      <w:start w:val="5"/>
      <w:numFmt w:val="decimal"/>
      <w:lvlText w:val="%1."/>
      <w:lvlJc w:val="left"/>
      <w:pPr>
        <w:tabs>
          <w:tab w:val="num" w:pos="504"/>
        </w:tabs>
        <w:ind w:left="504" w:hanging="360"/>
      </w:pPr>
    </w:lvl>
    <w:lvl w:ilvl="1" w:tplc="1834D1EE">
      <w:start w:val="1"/>
      <w:numFmt w:val="lowerLetter"/>
      <w:lvlText w:val="(%2)"/>
      <w:lvlJc w:val="left"/>
      <w:pPr>
        <w:tabs>
          <w:tab w:val="num" w:pos="1224"/>
        </w:tabs>
        <w:ind w:left="1224" w:hanging="360"/>
      </w:pPr>
      <w:rPr>
        <w:sz w:val="20"/>
        <w:szCs w:val="24"/>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140" w15:restartNumberingAfterBreak="0">
    <w:nsid w:val="63D64DD6"/>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1" w15:restartNumberingAfterBreak="0">
    <w:nsid w:val="669822F9"/>
    <w:multiLevelType w:val="hybridMultilevel"/>
    <w:tmpl w:val="22AC9324"/>
    <w:lvl w:ilvl="0" w:tplc="04090001">
      <w:start w:val="1"/>
      <w:numFmt w:val="bullet"/>
      <w:lvlText w:val=""/>
      <w:lvlJc w:val="left"/>
      <w:pPr>
        <w:ind w:left="720" w:hanging="360"/>
      </w:pPr>
      <w:rPr>
        <w:rFonts w:ascii="Symbol" w:hAnsi="Symbol" w:hint="default"/>
        <w:b w:val="0"/>
        <w:i w:val="0"/>
        <w:sz w:val="22"/>
      </w:rPr>
    </w:lvl>
    <w:lvl w:ilvl="1" w:tplc="1C090003">
      <w:start w:val="1"/>
      <w:numFmt w:val="bullet"/>
      <w:lvlText w:val="o"/>
      <w:lvlJc w:val="left"/>
      <w:pPr>
        <w:tabs>
          <w:tab w:val="num" w:pos="1441"/>
        </w:tabs>
        <w:ind w:left="1441" w:hanging="360"/>
      </w:pPr>
      <w:rPr>
        <w:rFonts w:ascii="Courier New" w:hAnsi="Courier New" w:cs="Courier New" w:hint="default"/>
      </w:r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142" w15:restartNumberingAfterBreak="0">
    <w:nsid w:val="66BB58B0"/>
    <w:multiLevelType w:val="hybridMultilevel"/>
    <w:tmpl w:val="6582C3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3" w15:restartNumberingAfterBreak="0">
    <w:nsid w:val="67951B66"/>
    <w:multiLevelType w:val="hybridMultilevel"/>
    <w:tmpl w:val="80B0535E"/>
    <w:lvl w:ilvl="0" w:tplc="1C090001">
      <w:start w:val="1"/>
      <w:numFmt w:val="bullet"/>
      <w:lvlText w:val=""/>
      <w:lvlJc w:val="left"/>
      <w:pPr>
        <w:ind w:left="1353" w:hanging="360"/>
      </w:pPr>
      <w:rPr>
        <w:rFonts w:ascii="Symbol" w:hAnsi="Symbol"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144" w15:restartNumberingAfterBreak="0">
    <w:nsid w:val="69553447"/>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5" w15:restartNumberingAfterBreak="0">
    <w:nsid w:val="6BBB3765"/>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46" w15:restartNumberingAfterBreak="0">
    <w:nsid w:val="6C9F5903"/>
    <w:multiLevelType w:val="hybridMultilevel"/>
    <w:tmpl w:val="41C0E4B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47" w15:restartNumberingAfterBreak="0">
    <w:nsid w:val="6E8E10B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8" w15:restartNumberingAfterBreak="0">
    <w:nsid w:val="6F0D16C3"/>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9" w15:restartNumberingAfterBreak="0">
    <w:nsid w:val="6FFC56D3"/>
    <w:multiLevelType w:val="hybridMultilevel"/>
    <w:tmpl w:val="4B542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125776E"/>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1" w15:restartNumberingAfterBreak="0">
    <w:nsid w:val="71620E9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2" w15:restartNumberingAfterBreak="0">
    <w:nsid w:val="731D72F6"/>
    <w:multiLevelType w:val="hybridMultilevel"/>
    <w:tmpl w:val="4022A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3" w15:restartNumberingAfterBreak="0">
    <w:nsid w:val="76597849"/>
    <w:multiLevelType w:val="multilevel"/>
    <w:tmpl w:val="39527490"/>
    <w:lvl w:ilvl="0">
      <w:start w:val="1"/>
      <w:numFmt w:val="decimal"/>
      <w:pStyle w:val="numberedparagraph"/>
      <w:lvlText w:val="%1."/>
      <w:lvlJc w:val="right"/>
      <w:pPr>
        <w:tabs>
          <w:tab w:val="num" w:pos="720"/>
        </w:tabs>
        <w:ind w:left="72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40"/>
        </w:tabs>
        <w:ind w:left="1440" w:hanging="144"/>
      </w:pPr>
      <w:rPr>
        <w:rFonts w:hint="default"/>
        <w:b w:val="0"/>
        <w:i w:val="0"/>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4" w15:restartNumberingAfterBreak="0">
    <w:nsid w:val="766376B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5" w15:restartNumberingAfterBreak="0">
    <w:nsid w:val="775D7CE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6" w15:restartNumberingAfterBreak="0">
    <w:nsid w:val="780A627A"/>
    <w:multiLevelType w:val="hybridMultilevel"/>
    <w:tmpl w:val="60FE60B2"/>
    <w:lvl w:ilvl="0" w:tplc="08090001">
      <w:start w:val="1"/>
      <w:numFmt w:val="bullet"/>
      <w:lvlText w:val=""/>
      <w:lvlJc w:val="left"/>
      <w:pPr>
        <w:ind w:left="534" w:hanging="360"/>
      </w:pPr>
      <w:rPr>
        <w:rFonts w:ascii="Symbol" w:hAnsi="Symbol"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157" w15:restartNumberingAfterBreak="0">
    <w:nsid w:val="784F48D2"/>
    <w:multiLevelType w:val="hybridMultilevel"/>
    <w:tmpl w:val="A2AC46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8" w15:restartNumberingAfterBreak="0">
    <w:nsid w:val="7D1C614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9" w15:restartNumberingAfterBreak="0">
    <w:nsid w:val="7FE84AE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num w:numId="1">
    <w:abstractNumId w:val="6"/>
  </w:num>
  <w:num w:numId="2">
    <w:abstractNumId w:val="126"/>
  </w:num>
  <w:num w:numId="3">
    <w:abstractNumId w:val="60"/>
  </w:num>
  <w:num w:numId="4">
    <w:abstractNumId w:val="63"/>
  </w:num>
  <w:num w:numId="5">
    <w:abstractNumId w:val="99"/>
  </w:num>
  <w:num w:numId="6">
    <w:abstractNumId w:val="50"/>
    <w:lvlOverride w:ilvl="0">
      <w:startOverride w:val="1"/>
    </w:lvlOverride>
  </w:num>
  <w:num w:numId="7">
    <w:abstractNumId w:val="38"/>
  </w:num>
  <w:num w:numId="8">
    <w:abstractNumId w:val="1"/>
  </w:num>
  <w:num w:numId="9">
    <w:abstractNumId w:val="50"/>
    <w:lvlOverride w:ilvl="0">
      <w:startOverride w:val="1"/>
    </w:lvlOverride>
  </w:num>
  <w:num w:numId="10">
    <w:abstractNumId w:val="126"/>
    <w:lvlOverride w:ilvl="0">
      <w:startOverride w:val="1"/>
    </w:lvlOverride>
  </w:num>
  <w:num w:numId="11">
    <w:abstractNumId w:val="126"/>
    <w:lvlOverride w:ilvl="0">
      <w:startOverride w:val="1"/>
    </w:lvlOverride>
  </w:num>
  <w:num w:numId="12">
    <w:abstractNumId w:val="50"/>
    <w:lvlOverride w:ilvl="0">
      <w:startOverride w:val="1"/>
    </w:lvlOverride>
  </w:num>
  <w:num w:numId="13">
    <w:abstractNumId w:val="50"/>
  </w:num>
  <w:num w:numId="14">
    <w:abstractNumId w:val="9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num>
  <w:num w:numId="21">
    <w:abstractNumId w:val="83"/>
  </w:num>
  <w:num w:numId="22">
    <w:abstractNumId w:val="29"/>
  </w:num>
  <w:num w:numId="23">
    <w:abstractNumId w:val="50"/>
  </w:num>
  <w:num w:numId="24">
    <w:abstractNumId w:val="68"/>
  </w:num>
  <w:num w:numId="25">
    <w:abstractNumId w:val="147"/>
  </w:num>
  <w:num w:numId="26">
    <w:abstractNumId w:val="15"/>
  </w:num>
  <w:num w:numId="27">
    <w:abstractNumId w:val="34"/>
  </w:num>
  <w:num w:numId="28">
    <w:abstractNumId w:val="79"/>
  </w:num>
  <w:num w:numId="29">
    <w:abstractNumId w:val="118"/>
  </w:num>
  <w:num w:numId="30">
    <w:abstractNumId w:val="158"/>
  </w:num>
  <w:num w:numId="31">
    <w:abstractNumId w:val="91"/>
  </w:num>
  <w:num w:numId="32">
    <w:abstractNumId w:val="27"/>
  </w:num>
  <w:num w:numId="33">
    <w:abstractNumId w:val="106"/>
  </w:num>
  <w:num w:numId="34">
    <w:abstractNumId w:val="50"/>
    <w:lvlOverride w:ilvl="0">
      <w:startOverride w:val="1"/>
    </w:lvlOverride>
  </w:num>
  <w:num w:numId="35">
    <w:abstractNumId w:val="50"/>
    <w:lvlOverride w:ilvl="0">
      <w:startOverride w:val="1"/>
    </w:lvlOverride>
  </w:num>
  <w:num w:numId="36">
    <w:abstractNumId w:val="50"/>
    <w:lvlOverride w:ilvl="0">
      <w:startOverride w:val="1"/>
    </w:lvlOverride>
  </w:num>
  <w:num w:numId="37">
    <w:abstractNumId w:val="50"/>
    <w:lvlOverride w:ilvl="0">
      <w:startOverride w:val="1"/>
    </w:lvlOverride>
  </w:num>
  <w:num w:numId="38">
    <w:abstractNumId w:val="50"/>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3"/>
  </w:num>
  <w:num w:numId="45">
    <w:abstractNumId w:val="112"/>
  </w:num>
  <w:num w:numId="46">
    <w:abstractNumId w:val="50"/>
    <w:lvlOverride w:ilvl="0">
      <w:startOverride w:val="1"/>
    </w:lvlOverride>
  </w:num>
  <w:num w:numId="47">
    <w:abstractNumId w:val="50"/>
    <w:lvlOverride w:ilvl="0">
      <w:startOverride w:val="1"/>
    </w:lvlOverride>
  </w:num>
  <w:num w:numId="48">
    <w:abstractNumId w:val="50"/>
    <w:lvlOverride w:ilvl="0">
      <w:startOverride w:val="1"/>
    </w:lvlOverride>
  </w:num>
  <w:num w:numId="49">
    <w:abstractNumId w:val="50"/>
    <w:lvlOverride w:ilvl="0">
      <w:startOverride w:val="1"/>
    </w:lvlOverride>
  </w:num>
  <w:num w:numId="50">
    <w:abstractNumId w:val="50"/>
    <w:lvlOverride w:ilvl="0">
      <w:startOverride w:val="1"/>
    </w:lvlOverride>
  </w:num>
  <w:num w:numId="51">
    <w:abstractNumId w:val="50"/>
    <w:lvlOverride w:ilvl="0">
      <w:startOverride w:val="1"/>
    </w:lvlOverride>
  </w:num>
  <w:num w:numId="52">
    <w:abstractNumId w:val="50"/>
    <w:lvlOverride w:ilvl="0">
      <w:startOverride w:val="1"/>
    </w:lvlOverride>
  </w:num>
  <w:num w:numId="53">
    <w:abstractNumId w:val="50"/>
    <w:lvlOverride w:ilvl="0">
      <w:startOverride w:val="1"/>
    </w:lvlOverride>
  </w:num>
  <w:num w:numId="54">
    <w:abstractNumId w:val="50"/>
    <w:lvlOverride w:ilvl="0">
      <w:startOverride w:val="1"/>
    </w:lvlOverride>
  </w:num>
  <w:num w:numId="55">
    <w:abstractNumId w:val="50"/>
    <w:lvlOverride w:ilvl="0">
      <w:startOverride w:val="1"/>
    </w:lvlOverride>
  </w:num>
  <w:num w:numId="56">
    <w:abstractNumId w:val="50"/>
    <w:lvlOverride w:ilvl="0">
      <w:startOverride w:val="1"/>
    </w:lvlOverride>
  </w:num>
  <w:num w:numId="57">
    <w:abstractNumId w:val="50"/>
    <w:lvlOverride w:ilvl="0">
      <w:startOverride w:val="1"/>
    </w:lvlOverride>
  </w:num>
  <w:num w:numId="58">
    <w:abstractNumId w:val="50"/>
    <w:lvlOverride w:ilvl="0">
      <w:startOverride w:val="1"/>
    </w:lvlOverride>
  </w:num>
  <w:num w:numId="59">
    <w:abstractNumId w:val="50"/>
    <w:lvlOverride w:ilvl="0">
      <w:startOverride w:val="1"/>
    </w:lvlOverride>
  </w:num>
  <w:num w:numId="60">
    <w:abstractNumId w:val="50"/>
    <w:lvlOverride w:ilvl="0">
      <w:startOverride w:val="1"/>
    </w:lvlOverride>
  </w:num>
  <w:num w:numId="61">
    <w:abstractNumId w:val="50"/>
    <w:lvlOverride w:ilvl="0">
      <w:startOverride w:val="1"/>
    </w:lvlOverride>
  </w:num>
  <w:num w:numId="62">
    <w:abstractNumId w:val="50"/>
    <w:lvlOverride w:ilvl="0">
      <w:startOverride w:val="1"/>
    </w:lvlOverride>
  </w:num>
  <w:num w:numId="63">
    <w:abstractNumId w:val="48"/>
  </w:num>
  <w:num w:numId="64">
    <w:abstractNumId w:val="125"/>
  </w:num>
  <w:num w:numId="65">
    <w:abstractNumId w:val="102"/>
  </w:num>
  <w:num w:numId="66">
    <w:abstractNumId w:val="50"/>
    <w:lvlOverride w:ilvl="0">
      <w:startOverride w:val="1"/>
    </w:lvlOverride>
  </w:num>
  <w:num w:numId="67">
    <w:abstractNumId w:val="155"/>
  </w:num>
  <w:num w:numId="68">
    <w:abstractNumId w:val="35"/>
  </w:num>
  <w:num w:numId="69">
    <w:abstractNumId w:val="19"/>
  </w:num>
  <w:num w:numId="70">
    <w:abstractNumId w:val="154"/>
  </w:num>
  <w:num w:numId="71">
    <w:abstractNumId w:val="77"/>
  </w:num>
  <w:num w:numId="72">
    <w:abstractNumId w:val="50"/>
    <w:lvlOverride w:ilvl="0">
      <w:startOverride w:val="1"/>
    </w:lvlOverride>
  </w:num>
  <w:num w:numId="73">
    <w:abstractNumId w:val="13"/>
  </w:num>
  <w:num w:numId="74">
    <w:abstractNumId w:val="103"/>
  </w:num>
  <w:num w:numId="75">
    <w:abstractNumId w:val="50"/>
    <w:lvlOverride w:ilvl="0">
      <w:startOverride w:val="1"/>
    </w:lvlOverride>
  </w:num>
  <w:num w:numId="76">
    <w:abstractNumId w:val="50"/>
    <w:lvlOverride w:ilvl="0">
      <w:startOverride w:val="1"/>
    </w:lvlOverride>
  </w:num>
  <w:num w:numId="77">
    <w:abstractNumId w:val="50"/>
    <w:lvlOverride w:ilvl="0">
      <w:startOverride w:val="1"/>
    </w:lvlOverride>
  </w:num>
  <w:num w:numId="78">
    <w:abstractNumId w:val="50"/>
    <w:lvlOverride w:ilvl="0">
      <w:startOverride w:val="1"/>
    </w:lvlOverride>
  </w:num>
  <w:num w:numId="79">
    <w:abstractNumId w:val="50"/>
    <w:lvlOverride w:ilvl="0">
      <w:startOverride w:val="1"/>
    </w:lvlOverride>
  </w:num>
  <w:num w:numId="80">
    <w:abstractNumId w:val="131"/>
  </w:num>
  <w:num w:numId="81">
    <w:abstractNumId w:val="148"/>
  </w:num>
  <w:num w:numId="82">
    <w:abstractNumId w:val="6"/>
    <w:lvlOverride w:ilvl="0">
      <w:startOverride w:val="1"/>
    </w:lvlOverride>
  </w:num>
  <w:num w:numId="83">
    <w:abstractNumId w:val="6"/>
    <w:lvlOverride w:ilvl="0">
      <w:startOverride w:val="1"/>
    </w:lvlOverride>
  </w:num>
  <w:num w:numId="84">
    <w:abstractNumId w:val="6"/>
    <w:lvlOverride w:ilvl="0">
      <w:startOverride w:val="1"/>
    </w:lvlOverride>
  </w:num>
  <w:num w:numId="85">
    <w:abstractNumId w:val="2"/>
  </w:num>
  <w:num w:numId="86">
    <w:abstractNumId w:val="126"/>
  </w:num>
  <w:num w:numId="87">
    <w:abstractNumId w:val="126"/>
  </w:num>
  <w:num w:numId="88">
    <w:abstractNumId w:val="72"/>
  </w:num>
  <w:num w:numId="89">
    <w:abstractNumId w:val="126"/>
  </w:num>
  <w:num w:numId="90">
    <w:abstractNumId w:val="126"/>
  </w:num>
  <w:num w:numId="91">
    <w:abstractNumId w:val="24"/>
  </w:num>
  <w:num w:numId="92">
    <w:abstractNumId w:val="55"/>
  </w:num>
  <w:num w:numId="93">
    <w:abstractNumId w:val="111"/>
  </w:num>
  <w:num w:numId="94">
    <w:abstractNumId w:val="41"/>
  </w:num>
  <w:num w:numId="95">
    <w:abstractNumId w:val="104"/>
  </w:num>
  <w:num w:numId="96">
    <w:abstractNumId w:val="126"/>
  </w:num>
  <w:num w:numId="97">
    <w:abstractNumId w:val="92"/>
  </w:num>
  <w:num w:numId="98">
    <w:abstractNumId w:val="126"/>
  </w:num>
  <w:num w:numId="99">
    <w:abstractNumId w:val="61"/>
  </w:num>
  <w:num w:numId="100">
    <w:abstractNumId w:val="101"/>
  </w:num>
  <w:num w:numId="101">
    <w:abstractNumId w:val="92"/>
  </w:num>
  <w:num w:numId="102">
    <w:abstractNumId w:val="16"/>
  </w:num>
  <w:num w:numId="103">
    <w:abstractNumId w:val="129"/>
  </w:num>
  <w:num w:numId="104">
    <w:abstractNumId w:val="107"/>
  </w:num>
  <w:num w:numId="105">
    <w:abstractNumId w:val="142"/>
  </w:num>
  <w:num w:numId="106">
    <w:abstractNumId w:val="37"/>
  </w:num>
  <w:num w:numId="107">
    <w:abstractNumId w:val="130"/>
  </w:num>
  <w:num w:numId="108">
    <w:abstractNumId w:val="126"/>
  </w:num>
  <w:num w:numId="109">
    <w:abstractNumId w:val="126"/>
  </w:num>
  <w:num w:numId="110">
    <w:abstractNumId w:val="126"/>
  </w:num>
  <w:num w:numId="111">
    <w:abstractNumId w:val="126"/>
  </w:num>
  <w:num w:numId="112">
    <w:abstractNumId w:val="53"/>
  </w:num>
  <w:num w:numId="113">
    <w:abstractNumId w:val="153"/>
  </w:num>
  <w:num w:numId="114">
    <w:abstractNumId w:val="100"/>
  </w:num>
  <w:num w:numId="115">
    <w:abstractNumId w:val="126"/>
  </w:num>
  <w:num w:numId="116">
    <w:abstractNumId w:val="126"/>
  </w:num>
  <w:num w:numId="117">
    <w:abstractNumId w:val="126"/>
  </w:num>
  <w:num w:numId="118">
    <w:abstractNumId w:val="116"/>
  </w:num>
  <w:num w:numId="119">
    <w:abstractNumId w:val="137"/>
  </w:num>
  <w:num w:numId="120">
    <w:abstractNumId w:val="96"/>
  </w:num>
  <w:num w:numId="121">
    <w:abstractNumId w:val="42"/>
  </w:num>
  <w:num w:numId="122">
    <w:abstractNumId w:val="86"/>
  </w:num>
  <w:num w:numId="123">
    <w:abstractNumId w:val="159"/>
  </w:num>
  <w:num w:numId="124">
    <w:abstractNumId w:val="31"/>
  </w:num>
  <w:num w:numId="125">
    <w:abstractNumId w:val="150"/>
  </w:num>
  <w:num w:numId="126">
    <w:abstractNumId w:val="120"/>
  </w:num>
  <w:num w:numId="127">
    <w:abstractNumId w:val="75"/>
  </w:num>
  <w:num w:numId="128">
    <w:abstractNumId w:val="109"/>
  </w:num>
  <w:num w:numId="129">
    <w:abstractNumId w:val="97"/>
  </w:num>
  <w:num w:numId="130">
    <w:abstractNumId w:val="115"/>
  </w:num>
  <w:num w:numId="131">
    <w:abstractNumId w:val="133"/>
  </w:num>
  <w:num w:numId="132">
    <w:abstractNumId w:val="36"/>
  </w:num>
  <w:num w:numId="133">
    <w:abstractNumId w:val="122"/>
  </w:num>
  <w:num w:numId="134">
    <w:abstractNumId w:val="78"/>
  </w:num>
  <w:num w:numId="135">
    <w:abstractNumId w:val="51"/>
  </w:num>
  <w:num w:numId="136">
    <w:abstractNumId w:val="65"/>
  </w:num>
  <w:num w:numId="137">
    <w:abstractNumId w:val="54"/>
  </w:num>
  <w:num w:numId="138">
    <w:abstractNumId w:val="140"/>
  </w:num>
  <w:num w:numId="139">
    <w:abstractNumId w:val="82"/>
  </w:num>
  <w:num w:numId="140">
    <w:abstractNumId w:val="145"/>
  </w:num>
  <w:num w:numId="141">
    <w:abstractNumId w:val="12"/>
  </w:num>
  <w:num w:numId="142">
    <w:abstractNumId w:val="113"/>
  </w:num>
  <w:num w:numId="143">
    <w:abstractNumId w:val="108"/>
  </w:num>
  <w:num w:numId="144">
    <w:abstractNumId w:val="126"/>
  </w:num>
  <w:num w:numId="145">
    <w:abstractNumId w:val="11"/>
  </w:num>
  <w:num w:numId="146">
    <w:abstractNumId w:val="119"/>
  </w:num>
  <w:num w:numId="147">
    <w:abstractNumId w:val="50"/>
  </w:num>
  <w:num w:numId="148">
    <w:abstractNumId w:val="50"/>
  </w:num>
  <w:num w:numId="149">
    <w:abstractNumId w:val="8"/>
  </w:num>
  <w:num w:numId="150">
    <w:abstractNumId w:val="66"/>
  </w:num>
  <w:num w:numId="151">
    <w:abstractNumId w:val="126"/>
  </w:num>
  <w:num w:numId="152">
    <w:abstractNumId w:val="40"/>
  </w:num>
  <w:num w:numId="153">
    <w:abstractNumId w:val="5"/>
  </w:num>
  <w:num w:numId="154">
    <w:abstractNumId w:val="17"/>
  </w:num>
  <w:num w:numId="155">
    <w:abstractNumId w:val="126"/>
  </w:num>
  <w:num w:numId="156">
    <w:abstractNumId w:val="60"/>
  </w:num>
  <w:num w:numId="157">
    <w:abstractNumId w:val="60"/>
  </w:num>
  <w:num w:numId="158">
    <w:abstractNumId w:val="7"/>
  </w:num>
  <w:num w:numId="159">
    <w:abstractNumId w:val="126"/>
  </w:num>
  <w:num w:numId="160">
    <w:abstractNumId w:val="126"/>
  </w:num>
  <w:num w:numId="161">
    <w:abstractNumId w:val="126"/>
  </w:num>
  <w:num w:numId="162">
    <w:abstractNumId w:val="126"/>
  </w:num>
  <w:num w:numId="163">
    <w:abstractNumId w:val="126"/>
  </w:num>
  <w:num w:numId="164">
    <w:abstractNumId w:val="126"/>
  </w:num>
  <w:num w:numId="165">
    <w:abstractNumId w:val="126"/>
  </w:num>
  <w:num w:numId="166">
    <w:abstractNumId w:val="126"/>
  </w:num>
  <w:num w:numId="167">
    <w:abstractNumId w:val="126"/>
  </w:num>
  <w:num w:numId="168">
    <w:abstractNumId w:val="74"/>
  </w:num>
  <w:num w:numId="169">
    <w:abstractNumId w:val="126"/>
  </w:num>
  <w:num w:numId="170">
    <w:abstractNumId w:val="126"/>
  </w:num>
  <w:num w:numId="171">
    <w:abstractNumId w:val="126"/>
  </w:num>
  <w:num w:numId="172">
    <w:abstractNumId w:val="126"/>
  </w:num>
  <w:num w:numId="173">
    <w:abstractNumId w:val="126"/>
  </w:num>
  <w:num w:numId="174">
    <w:abstractNumId w:val="126"/>
  </w:num>
  <w:num w:numId="175">
    <w:abstractNumId w:val="126"/>
  </w:num>
  <w:num w:numId="176">
    <w:abstractNumId w:val="126"/>
  </w:num>
  <w:num w:numId="177">
    <w:abstractNumId w:val="126"/>
  </w:num>
  <w:num w:numId="178">
    <w:abstractNumId w:val="126"/>
  </w:num>
  <w:num w:numId="179">
    <w:abstractNumId w:val="126"/>
  </w:num>
  <w:num w:numId="180">
    <w:abstractNumId w:val="128"/>
  </w:num>
  <w:num w:numId="181">
    <w:abstractNumId w:val="87"/>
  </w:num>
  <w:num w:numId="182">
    <w:abstractNumId w:val="117"/>
  </w:num>
  <w:num w:numId="183">
    <w:abstractNumId w:val="67"/>
  </w:num>
  <w:num w:numId="184">
    <w:abstractNumId w:val="44"/>
  </w:num>
  <w:num w:numId="185">
    <w:abstractNumId w:val="152"/>
  </w:num>
  <w:num w:numId="186">
    <w:abstractNumId w:val="59"/>
  </w:num>
  <w:num w:numId="187">
    <w:abstractNumId w:val="126"/>
  </w:num>
  <w:num w:numId="188">
    <w:abstractNumId w:val="89"/>
  </w:num>
  <w:num w:numId="189">
    <w:abstractNumId w:val="45"/>
  </w:num>
  <w:num w:numId="190">
    <w:abstractNumId w:val="57"/>
  </w:num>
  <w:num w:numId="191">
    <w:abstractNumId w:val="47"/>
  </w:num>
  <w:num w:numId="192">
    <w:abstractNumId w:val="126"/>
  </w:num>
  <w:num w:numId="193">
    <w:abstractNumId w:val="126"/>
  </w:num>
  <w:num w:numId="194">
    <w:abstractNumId w:val="88"/>
  </w:num>
  <w:num w:numId="195">
    <w:abstractNumId w:val="126"/>
  </w:num>
  <w:num w:numId="196">
    <w:abstractNumId w:val="126"/>
  </w:num>
  <w:num w:numId="197">
    <w:abstractNumId w:val="126"/>
  </w:num>
  <w:num w:numId="198">
    <w:abstractNumId w:val="126"/>
  </w:num>
  <w:num w:numId="199">
    <w:abstractNumId w:val="14"/>
  </w:num>
  <w:num w:numId="200">
    <w:abstractNumId w:val="126"/>
  </w:num>
  <w:num w:numId="201">
    <w:abstractNumId w:val="126"/>
  </w:num>
  <w:num w:numId="202">
    <w:abstractNumId w:val="126"/>
  </w:num>
  <w:num w:numId="203">
    <w:abstractNumId w:val="80"/>
  </w:num>
  <w:num w:numId="204">
    <w:abstractNumId w:val="126"/>
  </w:num>
  <w:num w:numId="205">
    <w:abstractNumId w:val="126"/>
  </w:num>
  <w:num w:numId="206">
    <w:abstractNumId w:val="126"/>
  </w:num>
  <w:num w:numId="207">
    <w:abstractNumId w:val="58"/>
  </w:num>
  <w:num w:numId="208">
    <w:abstractNumId w:val="126"/>
  </w:num>
  <w:num w:numId="209">
    <w:abstractNumId w:val="126"/>
  </w:num>
  <w:num w:numId="210">
    <w:abstractNumId w:val="126"/>
  </w:num>
  <w:num w:numId="211">
    <w:abstractNumId w:val="126"/>
  </w:num>
  <w:num w:numId="212">
    <w:abstractNumId w:val="39"/>
  </w:num>
  <w:num w:numId="213">
    <w:abstractNumId w:val="20"/>
  </w:num>
  <w:num w:numId="214">
    <w:abstractNumId w:val="126"/>
  </w:num>
  <w:num w:numId="215">
    <w:abstractNumId w:val="146"/>
  </w:num>
  <w:num w:numId="216">
    <w:abstractNumId w:val="93"/>
  </w:num>
  <w:num w:numId="217">
    <w:abstractNumId w:val="126"/>
  </w:num>
  <w:num w:numId="218">
    <w:abstractNumId w:val="126"/>
  </w:num>
  <w:num w:numId="219">
    <w:abstractNumId w:val="126"/>
  </w:num>
  <w:num w:numId="220">
    <w:abstractNumId w:val="62"/>
  </w:num>
  <w:num w:numId="221">
    <w:abstractNumId w:val="18"/>
  </w:num>
  <w:num w:numId="222">
    <w:abstractNumId w:val="156"/>
  </w:num>
  <w:num w:numId="223">
    <w:abstractNumId w:val="127"/>
  </w:num>
  <w:num w:numId="224">
    <w:abstractNumId w:val="138"/>
  </w:num>
  <w:num w:numId="225">
    <w:abstractNumId w:val="9"/>
  </w:num>
  <w:num w:numId="226">
    <w:abstractNumId w:val="71"/>
  </w:num>
  <w:num w:numId="227">
    <w:abstractNumId w:val="126"/>
    <w:lvlOverride w:ilvl="0">
      <w:startOverride w:val="1"/>
    </w:lvlOverride>
  </w:num>
  <w:num w:numId="228">
    <w:abstractNumId w:val="126"/>
  </w:num>
  <w:num w:numId="229">
    <w:abstractNumId w:val="126"/>
    <w:lvlOverride w:ilvl="0">
      <w:startOverride w:val="1"/>
    </w:lvlOverride>
  </w:num>
  <w:num w:numId="230">
    <w:abstractNumId w:val="126"/>
  </w:num>
  <w:num w:numId="231">
    <w:abstractNumId w:val="126"/>
  </w:num>
  <w:num w:numId="232">
    <w:abstractNumId w:val="126"/>
  </w:num>
  <w:num w:numId="233">
    <w:abstractNumId w:val="85"/>
  </w:num>
  <w:num w:numId="234">
    <w:abstractNumId w:val="30"/>
  </w:num>
  <w:num w:numId="235">
    <w:abstractNumId w:val="126"/>
    <w:lvlOverride w:ilvl="0">
      <w:startOverride w:val="1"/>
    </w:lvlOverride>
  </w:num>
  <w:num w:numId="236">
    <w:abstractNumId w:val="126"/>
  </w:num>
  <w:num w:numId="237">
    <w:abstractNumId w:val="126"/>
  </w:num>
  <w:num w:numId="238">
    <w:abstractNumId w:val="126"/>
  </w:num>
  <w:num w:numId="239">
    <w:abstractNumId w:val="126"/>
  </w:num>
  <w:num w:numId="240">
    <w:abstractNumId w:val="32"/>
  </w:num>
  <w:num w:numId="241">
    <w:abstractNumId w:val="144"/>
  </w:num>
  <w:num w:numId="242">
    <w:abstractNumId w:val="126"/>
  </w:num>
  <w:num w:numId="243">
    <w:abstractNumId w:val="126"/>
  </w:num>
  <w:num w:numId="244">
    <w:abstractNumId w:val="126"/>
  </w:num>
  <w:num w:numId="245">
    <w:abstractNumId w:val="126"/>
  </w:num>
  <w:num w:numId="246">
    <w:abstractNumId w:val="21"/>
  </w:num>
  <w:num w:numId="247">
    <w:abstractNumId w:val="43"/>
  </w:num>
  <w:num w:numId="248">
    <w:abstractNumId w:val="4"/>
  </w:num>
  <w:num w:numId="249">
    <w:abstractNumId w:val="33"/>
  </w:num>
  <w:num w:numId="250">
    <w:abstractNumId w:val="126"/>
  </w:num>
  <w:num w:numId="251">
    <w:abstractNumId w:val="126"/>
  </w:num>
  <w:num w:numId="252">
    <w:abstractNumId w:val="126"/>
  </w:num>
  <w:num w:numId="253">
    <w:abstractNumId w:val="126"/>
  </w:num>
  <w:num w:numId="254">
    <w:abstractNumId w:val="126"/>
  </w:num>
  <w:num w:numId="255">
    <w:abstractNumId w:val="90"/>
  </w:num>
  <w:num w:numId="256">
    <w:abstractNumId w:val="126"/>
  </w:num>
  <w:num w:numId="257">
    <w:abstractNumId w:val="81"/>
  </w:num>
  <w:num w:numId="258">
    <w:abstractNumId w:val="46"/>
  </w:num>
  <w:num w:numId="259">
    <w:abstractNumId w:val="126"/>
  </w:num>
  <w:num w:numId="260">
    <w:abstractNumId w:val="126"/>
  </w:num>
  <w:num w:numId="261">
    <w:abstractNumId w:val="126"/>
  </w:num>
  <w:num w:numId="262">
    <w:abstractNumId w:val="124"/>
  </w:num>
  <w:num w:numId="263">
    <w:abstractNumId w:val="126"/>
  </w:num>
  <w:num w:numId="264">
    <w:abstractNumId w:val="10"/>
  </w:num>
  <w:num w:numId="265">
    <w:abstractNumId w:val="69"/>
  </w:num>
  <w:num w:numId="266">
    <w:abstractNumId w:val="126"/>
  </w:num>
  <w:num w:numId="267">
    <w:abstractNumId w:val="126"/>
  </w:num>
  <w:num w:numId="268">
    <w:abstractNumId w:val="126"/>
  </w:num>
  <w:num w:numId="269">
    <w:abstractNumId w:val="126"/>
  </w:num>
  <w:num w:numId="270">
    <w:abstractNumId w:val="73"/>
  </w:num>
  <w:num w:numId="271">
    <w:abstractNumId w:val="52"/>
  </w:num>
  <w:num w:numId="272">
    <w:abstractNumId w:val="98"/>
  </w:num>
  <w:num w:numId="273">
    <w:abstractNumId w:val="126"/>
  </w:num>
  <w:num w:numId="274">
    <w:abstractNumId w:val="126"/>
  </w:num>
  <w:num w:numId="275">
    <w:abstractNumId w:val="126"/>
  </w:num>
  <w:num w:numId="276">
    <w:abstractNumId w:val="126"/>
  </w:num>
  <w:num w:numId="277">
    <w:abstractNumId w:val="126"/>
  </w:num>
  <w:num w:numId="278">
    <w:abstractNumId w:val="126"/>
  </w:num>
  <w:num w:numId="279">
    <w:abstractNumId w:val="126"/>
  </w:num>
  <w:num w:numId="280">
    <w:abstractNumId w:val="126"/>
  </w:num>
  <w:num w:numId="281">
    <w:abstractNumId w:val="126"/>
  </w:num>
  <w:num w:numId="282">
    <w:abstractNumId w:val="126"/>
  </w:num>
  <w:num w:numId="283">
    <w:abstractNumId w:val="126"/>
  </w:num>
  <w:num w:numId="284">
    <w:abstractNumId w:val="126"/>
  </w:num>
  <w:num w:numId="285">
    <w:abstractNumId w:val="126"/>
  </w:num>
  <w:num w:numId="286">
    <w:abstractNumId w:val="126"/>
  </w:num>
  <w:num w:numId="287">
    <w:abstractNumId w:val="126"/>
  </w:num>
  <w:num w:numId="288">
    <w:abstractNumId w:val="126"/>
  </w:num>
  <w:num w:numId="289">
    <w:abstractNumId w:val="126"/>
  </w:num>
  <w:num w:numId="290">
    <w:abstractNumId w:val="126"/>
  </w:num>
  <w:num w:numId="291">
    <w:abstractNumId w:val="126"/>
  </w:num>
  <w:num w:numId="292">
    <w:abstractNumId w:val="26"/>
  </w:num>
  <w:num w:numId="293">
    <w:abstractNumId w:val="126"/>
  </w:num>
  <w:num w:numId="294">
    <w:abstractNumId w:val="60"/>
  </w:num>
  <w:num w:numId="295">
    <w:abstractNumId w:val="121"/>
  </w:num>
  <w:num w:numId="296">
    <w:abstractNumId w:val="56"/>
  </w:num>
  <w:num w:numId="297">
    <w:abstractNumId w:val="126"/>
  </w:num>
  <w:num w:numId="298">
    <w:abstractNumId w:val="126"/>
  </w:num>
  <w:num w:numId="299">
    <w:abstractNumId w:val="126"/>
  </w:num>
  <w:num w:numId="300">
    <w:abstractNumId w:val="94"/>
  </w:num>
  <w:num w:numId="301">
    <w:abstractNumId w:val="64"/>
  </w:num>
  <w:num w:numId="302">
    <w:abstractNumId w:val="135"/>
  </w:num>
  <w:num w:numId="303">
    <w:abstractNumId w:val="141"/>
  </w:num>
  <w:num w:numId="304">
    <w:abstractNumId w:val="151"/>
  </w:num>
  <w:num w:numId="305">
    <w:abstractNumId w:val="76"/>
  </w:num>
  <w:num w:numId="306">
    <w:abstractNumId w:val="126"/>
  </w:num>
  <w:num w:numId="307">
    <w:abstractNumId w:val="105"/>
  </w:num>
  <w:num w:numId="308">
    <w:abstractNumId w:val="70"/>
  </w:num>
  <w:num w:numId="309">
    <w:abstractNumId w:val="149"/>
  </w:num>
  <w:num w:numId="310">
    <w:abstractNumId w:val="126"/>
  </w:num>
  <w:num w:numId="311">
    <w:abstractNumId w:val="84"/>
  </w:num>
  <w:num w:numId="312">
    <w:abstractNumId w:val="126"/>
  </w:num>
  <w:num w:numId="313">
    <w:abstractNumId w:val="126"/>
  </w:num>
  <w:num w:numId="314">
    <w:abstractNumId w:val="132"/>
  </w:num>
  <w:num w:numId="315">
    <w:abstractNumId w:val="23"/>
  </w:num>
  <w:num w:numId="316">
    <w:abstractNumId w:val="143"/>
  </w:num>
  <w:num w:numId="317">
    <w:abstractNumId w:val="126"/>
  </w:num>
  <w:num w:numId="318">
    <w:abstractNumId w:val="126"/>
  </w:num>
  <w:num w:numId="319">
    <w:abstractNumId w:val="126"/>
  </w:num>
  <w:num w:numId="320">
    <w:abstractNumId w:val="126"/>
  </w:num>
  <w:num w:numId="321">
    <w:abstractNumId w:val="126"/>
  </w:num>
  <w:num w:numId="322">
    <w:abstractNumId w:val="126"/>
  </w:num>
  <w:num w:numId="323">
    <w:abstractNumId w:val="126"/>
  </w:num>
  <w:num w:numId="324">
    <w:abstractNumId w:val="126"/>
  </w:num>
  <w:num w:numId="325">
    <w:abstractNumId w:val="126"/>
  </w:num>
  <w:num w:numId="326">
    <w:abstractNumId w:val="22"/>
  </w:num>
  <w:num w:numId="327">
    <w:abstractNumId w:val="114"/>
  </w:num>
  <w:num w:numId="328">
    <w:abstractNumId w:val="126"/>
  </w:num>
  <w:num w:numId="329">
    <w:abstractNumId w:val="126"/>
  </w:num>
  <w:num w:numId="330">
    <w:abstractNumId w:val="126"/>
  </w:num>
  <w:num w:numId="331">
    <w:abstractNumId w:val="49"/>
  </w:num>
  <w:num w:numId="332">
    <w:abstractNumId w:val="25"/>
  </w:num>
  <w:num w:numId="333">
    <w:abstractNumId w:val="126"/>
  </w:num>
  <w:num w:numId="334">
    <w:abstractNumId w:val="134"/>
  </w:num>
  <w:num w:numId="335">
    <w:abstractNumId w:val="126"/>
  </w:num>
  <w:num w:numId="336">
    <w:abstractNumId w:val="110"/>
  </w:num>
  <w:num w:numId="337">
    <w:abstractNumId w:val="123"/>
  </w:num>
  <w:num w:numId="338">
    <w:abstractNumId w:val="157"/>
  </w:num>
  <w:num w:numId="339">
    <w:abstractNumId w:val="136"/>
  </w:num>
  <w:num w:numId="340">
    <w:abstractNumId w:val="28"/>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64"/>
    <w:rsid w:val="00000078"/>
    <w:rsid w:val="00000B25"/>
    <w:rsid w:val="00000C9D"/>
    <w:rsid w:val="000050A2"/>
    <w:rsid w:val="00005125"/>
    <w:rsid w:val="00006613"/>
    <w:rsid w:val="00006B6A"/>
    <w:rsid w:val="00007BA2"/>
    <w:rsid w:val="00010ED2"/>
    <w:rsid w:val="000112B6"/>
    <w:rsid w:val="00011E37"/>
    <w:rsid w:val="000120B0"/>
    <w:rsid w:val="0001222D"/>
    <w:rsid w:val="00013398"/>
    <w:rsid w:val="000145E4"/>
    <w:rsid w:val="00014672"/>
    <w:rsid w:val="00015BC9"/>
    <w:rsid w:val="00016EA9"/>
    <w:rsid w:val="00017EB8"/>
    <w:rsid w:val="00017F9F"/>
    <w:rsid w:val="00020252"/>
    <w:rsid w:val="000210C7"/>
    <w:rsid w:val="00021BAE"/>
    <w:rsid w:val="00022DF7"/>
    <w:rsid w:val="00022FB0"/>
    <w:rsid w:val="00023CF7"/>
    <w:rsid w:val="000244B2"/>
    <w:rsid w:val="00024F6D"/>
    <w:rsid w:val="00026363"/>
    <w:rsid w:val="00026DE2"/>
    <w:rsid w:val="000274C2"/>
    <w:rsid w:val="000304AC"/>
    <w:rsid w:val="000309A2"/>
    <w:rsid w:val="00030C44"/>
    <w:rsid w:val="00030D33"/>
    <w:rsid w:val="0003117F"/>
    <w:rsid w:val="000314D3"/>
    <w:rsid w:val="00031A59"/>
    <w:rsid w:val="00031D9B"/>
    <w:rsid w:val="00032167"/>
    <w:rsid w:val="00032822"/>
    <w:rsid w:val="00032AE9"/>
    <w:rsid w:val="00033440"/>
    <w:rsid w:val="000341C6"/>
    <w:rsid w:val="0003446A"/>
    <w:rsid w:val="000351F4"/>
    <w:rsid w:val="00036015"/>
    <w:rsid w:val="00037477"/>
    <w:rsid w:val="00040C95"/>
    <w:rsid w:val="0004143A"/>
    <w:rsid w:val="00042BB1"/>
    <w:rsid w:val="0004376C"/>
    <w:rsid w:val="00043961"/>
    <w:rsid w:val="00043C6F"/>
    <w:rsid w:val="00044CFC"/>
    <w:rsid w:val="000451F0"/>
    <w:rsid w:val="0004569E"/>
    <w:rsid w:val="0004601D"/>
    <w:rsid w:val="000502AB"/>
    <w:rsid w:val="00051A9C"/>
    <w:rsid w:val="00051AF2"/>
    <w:rsid w:val="00052368"/>
    <w:rsid w:val="00052DBC"/>
    <w:rsid w:val="0005337F"/>
    <w:rsid w:val="00053C75"/>
    <w:rsid w:val="00053EC1"/>
    <w:rsid w:val="000551F7"/>
    <w:rsid w:val="0005530D"/>
    <w:rsid w:val="00055761"/>
    <w:rsid w:val="000558D1"/>
    <w:rsid w:val="00055957"/>
    <w:rsid w:val="00055D0F"/>
    <w:rsid w:val="0005601C"/>
    <w:rsid w:val="000563E2"/>
    <w:rsid w:val="00056B51"/>
    <w:rsid w:val="00057142"/>
    <w:rsid w:val="00057CD6"/>
    <w:rsid w:val="0006080E"/>
    <w:rsid w:val="0006127A"/>
    <w:rsid w:val="00064166"/>
    <w:rsid w:val="0006480A"/>
    <w:rsid w:val="00065738"/>
    <w:rsid w:val="00065B22"/>
    <w:rsid w:val="00066750"/>
    <w:rsid w:val="00066806"/>
    <w:rsid w:val="0006686E"/>
    <w:rsid w:val="00066903"/>
    <w:rsid w:val="00067098"/>
    <w:rsid w:val="00067C24"/>
    <w:rsid w:val="00071239"/>
    <w:rsid w:val="00071D89"/>
    <w:rsid w:val="00071DC3"/>
    <w:rsid w:val="00072176"/>
    <w:rsid w:val="00073AA5"/>
    <w:rsid w:val="00073B88"/>
    <w:rsid w:val="00074A4F"/>
    <w:rsid w:val="00074A98"/>
    <w:rsid w:val="00075938"/>
    <w:rsid w:val="00075D11"/>
    <w:rsid w:val="000770A9"/>
    <w:rsid w:val="00080013"/>
    <w:rsid w:val="00080370"/>
    <w:rsid w:val="000809AE"/>
    <w:rsid w:val="00080D6D"/>
    <w:rsid w:val="00081DFE"/>
    <w:rsid w:val="0008215B"/>
    <w:rsid w:val="00082550"/>
    <w:rsid w:val="0008272E"/>
    <w:rsid w:val="0008275A"/>
    <w:rsid w:val="0008284D"/>
    <w:rsid w:val="000833CC"/>
    <w:rsid w:val="000845C0"/>
    <w:rsid w:val="00084D8E"/>
    <w:rsid w:val="000852FA"/>
    <w:rsid w:val="00085572"/>
    <w:rsid w:val="000856EA"/>
    <w:rsid w:val="00085C12"/>
    <w:rsid w:val="00085E1C"/>
    <w:rsid w:val="00087386"/>
    <w:rsid w:val="0008743A"/>
    <w:rsid w:val="000874F7"/>
    <w:rsid w:val="0009014E"/>
    <w:rsid w:val="00090BE5"/>
    <w:rsid w:val="00090D75"/>
    <w:rsid w:val="00091A4A"/>
    <w:rsid w:val="00091CEB"/>
    <w:rsid w:val="00092246"/>
    <w:rsid w:val="000928B7"/>
    <w:rsid w:val="00092E2A"/>
    <w:rsid w:val="00092F7E"/>
    <w:rsid w:val="000934C9"/>
    <w:rsid w:val="00094030"/>
    <w:rsid w:val="00094461"/>
    <w:rsid w:val="00094815"/>
    <w:rsid w:val="000949AC"/>
    <w:rsid w:val="00094DEB"/>
    <w:rsid w:val="00094FA2"/>
    <w:rsid w:val="00095B35"/>
    <w:rsid w:val="00096117"/>
    <w:rsid w:val="00096ACB"/>
    <w:rsid w:val="00097FFE"/>
    <w:rsid w:val="000A1A0F"/>
    <w:rsid w:val="000A2048"/>
    <w:rsid w:val="000A2542"/>
    <w:rsid w:val="000A4BED"/>
    <w:rsid w:val="000A51C5"/>
    <w:rsid w:val="000A547F"/>
    <w:rsid w:val="000A74B9"/>
    <w:rsid w:val="000A7691"/>
    <w:rsid w:val="000B008F"/>
    <w:rsid w:val="000B0D86"/>
    <w:rsid w:val="000B2000"/>
    <w:rsid w:val="000B2215"/>
    <w:rsid w:val="000B2681"/>
    <w:rsid w:val="000B2D0B"/>
    <w:rsid w:val="000B3000"/>
    <w:rsid w:val="000B3011"/>
    <w:rsid w:val="000B3F9A"/>
    <w:rsid w:val="000B417C"/>
    <w:rsid w:val="000B42C3"/>
    <w:rsid w:val="000B4855"/>
    <w:rsid w:val="000B4A21"/>
    <w:rsid w:val="000B5172"/>
    <w:rsid w:val="000B53C1"/>
    <w:rsid w:val="000B57A0"/>
    <w:rsid w:val="000B5AED"/>
    <w:rsid w:val="000B5F4C"/>
    <w:rsid w:val="000B607F"/>
    <w:rsid w:val="000B64B2"/>
    <w:rsid w:val="000B688A"/>
    <w:rsid w:val="000B6D4C"/>
    <w:rsid w:val="000C05DE"/>
    <w:rsid w:val="000C17D5"/>
    <w:rsid w:val="000C21C2"/>
    <w:rsid w:val="000C22D8"/>
    <w:rsid w:val="000C2689"/>
    <w:rsid w:val="000C28E3"/>
    <w:rsid w:val="000C2AA7"/>
    <w:rsid w:val="000C2ACD"/>
    <w:rsid w:val="000C2E78"/>
    <w:rsid w:val="000C38F2"/>
    <w:rsid w:val="000C4AE8"/>
    <w:rsid w:val="000C4F3F"/>
    <w:rsid w:val="000C6F10"/>
    <w:rsid w:val="000C7ABE"/>
    <w:rsid w:val="000C7E69"/>
    <w:rsid w:val="000D0C03"/>
    <w:rsid w:val="000D3C1F"/>
    <w:rsid w:val="000D4190"/>
    <w:rsid w:val="000D44A5"/>
    <w:rsid w:val="000D59DD"/>
    <w:rsid w:val="000D61DF"/>
    <w:rsid w:val="000D62A1"/>
    <w:rsid w:val="000D6BE8"/>
    <w:rsid w:val="000D7370"/>
    <w:rsid w:val="000D7DB6"/>
    <w:rsid w:val="000E04A4"/>
    <w:rsid w:val="000E1756"/>
    <w:rsid w:val="000E20D2"/>
    <w:rsid w:val="000E3B0A"/>
    <w:rsid w:val="000E474C"/>
    <w:rsid w:val="000E520D"/>
    <w:rsid w:val="000E566A"/>
    <w:rsid w:val="000E56B0"/>
    <w:rsid w:val="000E611B"/>
    <w:rsid w:val="000E6764"/>
    <w:rsid w:val="000E6EF0"/>
    <w:rsid w:val="000E794A"/>
    <w:rsid w:val="000F05CE"/>
    <w:rsid w:val="000F2555"/>
    <w:rsid w:val="000F43DB"/>
    <w:rsid w:val="000F51B8"/>
    <w:rsid w:val="000F6EAD"/>
    <w:rsid w:val="00100CD1"/>
    <w:rsid w:val="00102D26"/>
    <w:rsid w:val="0010315C"/>
    <w:rsid w:val="00103766"/>
    <w:rsid w:val="00103CB2"/>
    <w:rsid w:val="00105010"/>
    <w:rsid w:val="00105CB4"/>
    <w:rsid w:val="00105EC7"/>
    <w:rsid w:val="00106608"/>
    <w:rsid w:val="0010712F"/>
    <w:rsid w:val="001108F9"/>
    <w:rsid w:val="00110D3A"/>
    <w:rsid w:val="0011221F"/>
    <w:rsid w:val="00112418"/>
    <w:rsid w:val="001127E4"/>
    <w:rsid w:val="00112EC6"/>
    <w:rsid w:val="001131A7"/>
    <w:rsid w:val="001132A9"/>
    <w:rsid w:val="00115B30"/>
    <w:rsid w:val="00115D52"/>
    <w:rsid w:val="00116DE9"/>
    <w:rsid w:val="0011706A"/>
    <w:rsid w:val="00117581"/>
    <w:rsid w:val="001175F5"/>
    <w:rsid w:val="00117963"/>
    <w:rsid w:val="00117DF1"/>
    <w:rsid w:val="001227F2"/>
    <w:rsid w:val="00122B48"/>
    <w:rsid w:val="001233F8"/>
    <w:rsid w:val="001234DF"/>
    <w:rsid w:val="00123B6B"/>
    <w:rsid w:val="00123E1C"/>
    <w:rsid w:val="0012400F"/>
    <w:rsid w:val="001248E6"/>
    <w:rsid w:val="00124CF1"/>
    <w:rsid w:val="00125F4C"/>
    <w:rsid w:val="00126797"/>
    <w:rsid w:val="0012743D"/>
    <w:rsid w:val="00127780"/>
    <w:rsid w:val="00127FF1"/>
    <w:rsid w:val="00130CC8"/>
    <w:rsid w:val="00130EBE"/>
    <w:rsid w:val="00131471"/>
    <w:rsid w:val="001328F8"/>
    <w:rsid w:val="00133E69"/>
    <w:rsid w:val="001341BA"/>
    <w:rsid w:val="00134EC7"/>
    <w:rsid w:val="0013669A"/>
    <w:rsid w:val="00136FA4"/>
    <w:rsid w:val="00137B76"/>
    <w:rsid w:val="00140202"/>
    <w:rsid w:val="001406B8"/>
    <w:rsid w:val="00140BE2"/>
    <w:rsid w:val="001413E7"/>
    <w:rsid w:val="00141429"/>
    <w:rsid w:val="0014276F"/>
    <w:rsid w:val="00142F3F"/>
    <w:rsid w:val="00143900"/>
    <w:rsid w:val="001445A0"/>
    <w:rsid w:val="00144C0B"/>
    <w:rsid w:val="00144EEA"/>
    <w:rsid w:val="00145171"/>
    <w:rsid w:val="001455DA"/>
    <w:rsid w:val="00145DE9"/>
    <w:rsid w:val="00146D89"/>
    <w:rsid w:val="00147357"/>
    <w:rsid w:val="001478DA"/>
    <w:rsid w:val="001504DE"/>
    <w:rsid w:val="001518CD"/>
    <w:rsid w:val="00151F20"/>
    <w:rsid w:val="0015206E"/>
    <w:rsid w:val="00152671"/>
    <w:rsid w:val="00153A1C"/>
    <w:rsid w:val="00153DE4"/>
    <w:rsid w:val="0015473B"/>
    <w:rsid w:val="00155E97"/>
    <w:rsid w:val="001564D1"/>
    <w:rsid w:val="00156CCF"/>
    <w:rsid w:val="00156E9F"/>
    <w:rsid w:val="00157B32"/>
    <w:rsid w:val="0016001C"/>
    <w:rsid w:val="0016106E"/>
    <w:rsid w:val="001613FD"/>
    <w:rsid w:val="001626CD"/>
    <w:rsid w:val="00162D45"/>
    <w:rsid w:val="00163A1A"/>
    <w:rsid w:val="00165345"/>
    <w:rsid w:val="001653C5"/>
    <w:rsid w:val="001654C8"/>
    <w:rsid w:val="001657B4"/>
    <w:rsid w:val="00165D74"/>
    <w:rsid w:val="00167B03"/>
    <w:rsid w:val="00167D32"/>
    <w:rsid w:val="00167FE1"/>
    <w:rsid w:val="001700B6"/>
    <w:rsid w:val="00170424"/>
    <w:rsid w:val="00170434"/>
    <w:rsid w:val="00171767"/>
    <w:rsid w:val="00171E8C"/>
    <w:rsid w:val="0017223C"/>
    <w:rsid w:val="001754D2"/>
    <w:rsid w:val="001757B5"/>
    <w:rsid w:val="00176446"/>
    <w:rsid w:val="00176D64"/>
    <w:rsid w:val="001770D1"/>
    <w:rsid w:val="00177EA9"/>
    <w:rsid w:val="00180203"/>
    <w:rsid w:val="00180583"/>
    <w:rsid w:val="00181521"/>
    <w:rsid w:val="0018153F"/>
    <w:rsid w:val="00181FE4"/>
    <w:rsid w:val="00182312"/>
    <w:rsid w:val="001823FA"/>
    <w:rsid w:val="0018309A"/>
    <w:rsid w:val="00183B5A"/>
    <w:rsid w:val="00184505"/>
    <w:rsid w:val="00184FA0"/>
    <w:rsid w:val="001850DC"/>
    <w:rsid w:val="001865D3"/>
    <w:rsid w:val="001868C4"/>
    <w:rsid w:val="00186EAD"/>
    <w:rsid w:val="00186EB5"/>
    <w:rsid w:val="00187377"/>
    <w:rsid w:val="00190D55"/>
    <w:rsid w:val="001915B2"/>
    <w:rsid w:val="00191EEC"/>
    <w:rsid w:val="0019203D"/>
    <w:rsid w:val="00193179"/>
    <w:rsid w:val="001931F2"/>
    <w:rsid w:val="00194443"/>
    <w:rsid w:val="00194C18"/>
    <w:rsid w:val="00194D86"/>
    <w:rsid w:val="00194EC4"/>
    <w:rsid w:val="00195793"/>
    <w:rsid w:val="001957C7"/>
    <w:rsid w:val="00195869"/>
    <w:rsid w:val="001958AA"/>
    <w:rsid w:val="00195D7B"/>
    <w:rsid w:val="001964D6"/>
    <w:rsid w:val="0019654D"/>
    <w:rsid w:val="00196F4C"/>
    <w:rsid w:val="001971A2"/>
    <w:rsid w:val="001971AD"/>
    <w:rsid w:val="001A05B5"/>
    <w:rsid w:val="001A0DFC"/>
    <w:rsid w:val="001A1380"/>
    <w:rsid w:val="001A1A51"/>
    <w:rsid w:val="001A2751"/>
    <w:rsid w:val="001A45BE"/>
    <w:rsid w:val="001A45D5"/>
    <w:rsid w:val="001A4804"/>
    <w:rsid w:val="001A5517"/>
    <w:rsid w:val="001A5B16"/>
    <w:rsid w:val="001A5B9B"/>
    <w:rsid w:val="001A5F5B"/>
    <w:rsid w:val="001A657A"/>
    <w:rsid w:val="001A65DE"/>
    <w:rsid w:val="001B043A"/>
    <w:rsid w:val="001B054B"/>
    <w:rsid w:val="001B0884"/>
    <w:rsid w:val="001B129E"/>
    <w:rsid w:val="001B1DA0"/>
    <w:rsid w:val="001B3000"/>
    <w:rsid w:val="001B39C5"/>
    <w:rsid w:val="001B3E90"/>
    <w:rsid w:val="001B3EB7"/>
    <w:rsid w:val="001B40B4"/>
    <w:rsid w:val="001B49DD"/>
    <w:rsid w:val="001B4ACC"/>
    <w:rsid w:val="001B4D8D"/>
    <w:rsid w:val="001B5265"/>
    <w:rsid w:val="001B60E6"/>
    <w:rsid w:val="001B6514"/>
    <w:rsid w:val="001B67EF"/>
    <w:rsid w:val="001B7F28"/>
    <w:rsid w:val="001C0BB4"/>
    <w:rsid w:val="001C10D1"/>
    <w:rsid w:val="001C127F"/>
    <w:rsid w:val="001C46AE"/>
    <w:rsid w:val="001C495E"/>
    <w:rsid w:val="001C5074"/>
    <w:rsid w:val="001C543C"/>
    <w:rsid w:val="001C60EA"/>
    <w:rsid w:val="001C758E"/>
    <w:rsid w:val="001C7887"/>
    <w:rsid w:val="001C7989"/>
    <w:rsid w:val="001D0DFD"/>
    <w:rsid w:val="001D0ECE"/>
    <w:rsid w:val="001D1F95"/>
    <w:rsid w:val="001D21CA"/>
    <w:rsid w:val="001D25B9"/>
    <w:rsid w:val="001D32B3"/>
    <w:rsid w:val="001D55CA"/>
    <w:rsid w:val="001D564B"/>
    <w:rsid w:val="001D583F"/>
    <w:rsid w:val="001D76F6"/>
    <w:rsid w:val="001D78F2"/>
    <w:rsid w:val="001D79BD"/>
    <w:rsid w:val="001D7A63"/>
    <w:rsid w:val="001E1E76"/>
    <w:rsid w:val="001E248B"/>
    <w:rsid w:val="001E3D4D"/>
    <w:rsid w:val="001E4A0A"/>
    <w:rsid w:val="001E593B"/>
    <w:rsid w:val="001E59BD"/>
    <w:rsid w:val="001E6C64"/>
    <w:rsid w:val="001E6E0A"/>
    <w:rsid w:val="001E7EFD"/>
    <w:rsid w:val="001F1010"/>
    <w:rsid w:val="001F2AA7"/>
    <w:rsid w:val="001F4067"/>
    <w:rsid w:val="001F4865"/>
    <w:rsid w:val="001F4B31"/>
    <w:rsid w:val="001F4D71"/>
    <w:rsid w:val="001F5AD2"/>
    <w:rsid w:val="001F615B"/>
    <w:rsid w:val="001F6D74"/>
    <w:rsid w:val="001F753A"/>
    <w:rsid w:val="001F7731"/>
    <w:rsid w:val="002004A8"/>
    <w:rsid w:val="00200616"/>
    <w:rsid w:val="00201178"/>
    <w:rsid w:val="00201408"/>
    <w:rsid w:val="002023BE"/>
    <w:rsid w:val="00202431"/>
    <w:rsid w:val="002032CF"/>
    <w:rsid w:val="0020361F"/>
    <w:rsid w:val="00203A93"/>
    <w:rsid w:val="00204C99"/>
    <w:rsid w:val="00205849"/>
    <w:rsid w:val="0020611F"/>
    <w:rsid w:val="00206533"/>
    <w:rsid w:val="002075C8"/>
    <w:rsid w:val="0021067D"/>
    <w:rsid w:val="00210BAD"/>
    <w:rsid w:val="0021118A"/>
    <w:rsid w:val="002120DA"/>
    <w:rsid w:val="002121A3"/>
    <w:rsid w:val="002126DC"/>
    <w:rsid w:val="00212C82"/>
    <w:rsid w:val="0021311B"/>
    <w:rsid w:val="00213151"/>
    <w:rsid w:val="00213164"/>
    <w:rsid w:val="00213B96"/>
    <w:rsid w:val="00214039"/>
    <w:rsid w:val="00214A36"/>
    <w:rsid w:val="00214D41"/>
    <w:rsid w:val="002153E6"/>
    <w:rsid w:val="00215785"/>
    <w:rsid w:val="00215ABA"/>
    <w:rsid w:val="00215AD1"/>
    <w:rsid w:val="0021611F"/>
    <w:rsid w:val="00217267"/>
    <w:rsid w:val="0022028F"/>
    <w:rsid w:val="002215AA"/>
    <w:rsid w:val="0022178A"/>
    <w:rsid w:val="00221C44"/>
    <w:rsid w:val="00221DBE"/>
    <w:rsid w:val="0022283B"/>
    <w:rsid w:val="00222DB5"/>
    <w:rsid w:val="00222EAE"/>
    <w:rsid w:val="00224103"/>
    <w:rsid w:val="002245EC"/>
    <w:rsid w:val="002255BD"/>
    <w:rsid w:val="00225D16"/>
    <w:rsid w:val="00225EE6"/>
    <w:rsid w:val="00226090"/>
    <w:rsid w:val="00226802"/>
    <w:rsid w:val="0022700D"/>
    <w:rsid w:val="0022703E"/>
    <w:rsid w:val="002271FB"/>
    <w:rsid w:val="00227568"/>
    <w:rsid w:val="00227896"/>
    <w:rsid w:val="00230DA1"/>
    <w:rsid w:val="0023110B"/>
    <w:rsid w:val="0023124B"/>
    <w:rsid w:val="00231338"/>
    <w:rsid w:val="00231E8F"/>
    <w:rsid w:val="00232F5A"/>
    <w:rsid w:val="00233500"/>
    <w:rsid w:val="00233A74"/>
    <w:rsid w:val="00233ACB"/>
    <w:rsid w:val="00233CD6"/>
    <w:rsid w:val="00235440"/>
    <w:rsid w:val="00235758"/>
    <w:rsid w:val="00237906"/>
    <w:rsid w:val="00237C44"/>
    <w:rsid w:val="00240D6E"/>
    <w:rsid w:val="0024117B"/>
    <w:rsid w:val="002429A9"/>
    <w:rsid w:val="00242C12"/>
    <w:rsid w:val="0024314A"/>
    <w:rsid w:val="0024390B"/>
    <w:rsid w:val="00245205"/>
    <w:rsid w:val="00245EF4"/>
    <w:rsid w:val="002463E4"/>
    <w:rsid w:val="002464EA"/>
    <w:rsid w:val="002479F7"/>
    <w:rsid w:val="002505A3"/>
    <w:rsid w:val="00250964"/>
    <w:rsid w:val="00250BE1"/>
    <w:rsid w:val="00250DBB"/>
    <w:rsid w:val="00251246"/>
    <w:rsid w:val="00251A76"/>
    <w:rsid w:val="00252074"/>
    <w:rsid w:val="00252C1E"/>
    <w:rsid w:val="002535A5"/>
    <w:rsid w:val="002541FF"/>
    <w:rsid w:val="00254EEB"/>
    <w:rsid w:val="00255B81"/>
    <w:rsid w:val="00256C6A"/>
    <w:rsid w:val="00257318"/>
    <w:rsid w:val="0025756C"/>
    <w:rsid w:val="00257967"/>
    <w:rsid w:val="00260570"/>
    <w:rsid w:val="00260C16"/>
    <w:rsid w:val="00260DFD"/>
    <w:rsid w:val="00260EF7"/>
    <w:rsid w:val="00261B21"/>
    <w:rsid w:val="00262310"/>
    <w:rsid w:val="0026259D"/>
    <w:rsid w:val="00263CC8"/>
    <w:rsid w:val="00263DC2"/>
    <w:rsid w:val="00263ED8"/>
    <w:rsid w:val="002644F1"/>
    <w:rsid w:val="0026573A"/>
    <w:rsid w:val="002728EE"/>
    <w:rsid w:val="00272A6E"/>
    <w:rsid w:val="00273CA6"/>
    <w:rsid w:val="00274463"/>
    <w:rsid w:val="00274AAC"/>
    <w:rsid w:val="00274C74"/>
    <w:rsid w:val="0027660A"/>
    <w:rsid w:val="002766B6"/>
    <w:rsid w:val="002803B0"/>
    <w:rsid w:val="0028051E"/>
    <w:rsid w:val="00280DC0"/>
    <w:rsid w:val="00281783"/>
    <w:rsid w:val="00282506"/>
    <w:rsid w:val="00282C0B"/>
    <w:rsid w:val="00282C20"/>
    <w:rsid w:val="00283E30"/>
    <w:rsid w:val="00283F49"/>
    <w:rsid w:val="00283F72"/>
    <w:rsid w:val="00284066"/>
    <w:rsid w:val="00286155"/>
    <w:rsid w:val="0028654D"/>
    <w:rsid w:val="0028681E"/>
    <w:rsid w:val="0028704E"/>
    <w:rsid w:val="00290382"/>
    <w:rsid w:val="002903B6"/>
    <w:rsid w:val="00290413"/>
    <w:rsid w:val="00290BDF"/>
    <w:rsid w:val="00291AFB"/>
    <w:rsid w:val="00292488"/>
    <w:rsid w:val="00292872"/>
    <w:rsid w:val="00294B85"/>
    <w:rsid w:val="00295091"/>
    <w:rsid w:val="0029512B"/>
    <w:rsid w:val="00295A5A"/>
    <w:rsid w:val="00295AF7"/>
    <w:rsid w:val="002966A6"/>
    <w:rsid w:val="0029675D"/>
    <w:rsid w:val="00296AFA"/>
    <w:rsid w:val="002A10CE"/>
    <w:rsid w:val="002A1472"/>
    <w:rsid w:val="002A2001"/>
    <w:rsid w:val="002A2098"/>
    <w:rsid w:val="002A254B"/>
    <w:rsid w:val="002A3C27"/>
    <w:rsid w:val="002A3EB6"/>
    <w:rsid w:val="002A5592"/>
    <w:rsid w:val="002A6352"/>
    <w:rsid w:val="002A6520"/>
    <w:rsid w:val="002A67D4"/>
    <w:rsid w:val="002A76A1"/>
    <w:rsid w:val="002A7FB8"/>
    <w:rsid w:val="002B0113"/>
    <w:rsid w:val="002B0507"/>
    <w:rsid w:val="002B098E"/>
    <w:rsid w:val="002B0A43"/>
    <w:rsid w:val="002B0E59"/>
    <w:rsid w:val="002B0EE3"/>
    <w:rsid w:val="002B3A79"/>
    <w:rsid w:val="002B3AF5"/>
    <w:rsid w:val="002B50A7"/>
    <w:rsid w:val="002B5D55"/>
    <w:rsid w:val="002B5EDC"/>
    <w:rsid w:val="002B6C8B"/>
    <w:rsid w:val="002B7489"/>
    <w:rsid w:val="002B7913"/>
    <w:rsid w:val="002B7BE8"/>
    <w:rsid w:val="002B7C58"/>
    <w:rsid w:val="002C0485"/>
    <w:rsid w:val="002C05C1"/>
    <w:rsid w:val="002C09E6"/>
    <w:rsid w:val="002C0F8B"/>
    <w:rsid w:val="002C1650"/>
    <w:rsid w:val="002C1BB8"/>
    <w:rsid w:val="002C2181"/>
    <w:rsid w:val="002C260F"/>
    <w:rsid w:val="002C2A80"/>
    <w:rsid w:val="002C3680"/>
    <w:rsid w:val="002C37F7"/>
    <w:rsid w:val="002C3FA7"/>
    <w:rsid w:val="002C5032"/>
    <w:rsid w:val="002C6048"/>
    <w:rsid w:val="002C6625"/>
    <w:rsid w:val="002C6F4B"/>
    <w:rsid w:val="002C72C4"/>
    <w:rsid w:val="002C7A89"/>
    <w:rsid w:val="002D05A8"/>
    <w:rsid w:val="002D0D44"/>
    <w:rsid w:val="002D0D83"/>
    <w:rsid w:val="002D1342"/>
    <w:rsid w:val="002D2387"/>
    <w:rsid w:val="002D2935"/>
    <w:rsid w:val="002D3149"/>
    <w:rsid w:val="002D383D"/>
    <w:rsid w:val="002D3AD5"/>
    <w:rsid w:val="002D4800"/>
    <w:rsid w:val="002D504F"/>
    <w:rsid w:val="002D5128"/>
    <w:rsid w:val="002D5309"/>
    <w:rsid w:val="002D587D"/>
    <w:rsid w:val="002D6014"/>
    <w:rsid w:val="002D60C5"/>
    <w:rsid w:val="002D6778"/>
    <w:rsid w:val="002D6840"/>
    <w:rsid w:val="002D7E0D"/>
    <w:rsid w:val="002E17ED"/>
    <w:rsid w:val="002E181A"/>
    <w:rsid w:val="002E1D30"/>
    <w:rsid w:val="002E2223"/>
    <w:rsid w:val="002E28A9"/>
    <w:rsid w:val="002E2E7F"/>
    <w:rsid w:val="002E2F49"/>
    <w:rsid w:val="002E3018"/>
    <w:rsid w:val="002E4295"/>
    <w:rsid w:val="002E4D0F"/>
    <w:rsid w:val="002E5AE1"/>
    <w:rsid w:val="002E5B74"/>
    <w:rsid w:val="002E674A"/>
    <w:rsid w:val="002E686B"/>
    <w:rsid w:val="002E7355"/>
    <w:rsid w:val="002E75CD"/>
    <w:rsid w:val="002E7655"/>
    <w:rsid w:val="002E7B84"/>
    <w:rsid w:val="002F0A50"/>
    <w:rsid w:val="002F0ED0"/>
    <w:rsid w:val="002F1BDB"/>
    <w:rsid w:val="002F2092"/>
    <w:rsid w:val="002F23E7"/>
    <w:rsid w:val="002F2A3F"/>
    <w:rsid w:val="002F387B"/>
    <w:rsid w:val="002F3A9F"/>
    <w:rsid w:val="002F4C71"/>
    <w:rsid w:val="002F5F02"/>
    <w:rsid w:val="002F61DA"/>
    <w:rsid w:val="002F6926"/>
    <w:rsid w:val="002F6C7F"/>
    <w:rsid w:val="002F7594"/>
    <w:rsid w:val="003007AA"/>
    <w:rsid w:val="00300A41"/>
    <w:rsid w:val="00300ED5"/>
    <w:rsid w:val="003010B0"/>
    <w:rsid w:val="003023DE"/>
    <w:rsid w:val="00302F70"/>
    <w:rsid w:val="003030E4"/>
    <w:rsid w:val="0030376D"/>
    <w:rsid w:val="003049D4"/>
    <w:rsid w:val="00304D39"/>
    <w:rsid w:val="00304D8E"/>
    <w:rsid w:val="00305EA7"/>
    <w:rsid w:val="00305F47"/>
    <w:rsid w:val="003061F0"/>
    <w:rsid w:val="003064AE"/>
    <w:rsid w:val="00306A78"/>
    <w:rsid w:val="00310505"/>
    <w:rsid w:val="00310C13"/>
    <w:rsid w:val="00311E2B"/>
    <w:rsid w:val="003136C7"/>
    <w:rsid w:val="00314A41"/>
    <w:rsid w:val="00315DC1"/>
    <w:rsid w:val="00315E78"/>
    <w:rsid w:val="00316DAD"/>
    <w:rsid w:val="0031724F"/>
    <w:rsid w:val="0032037C"/>
    <w:rsid w:val="00320950"/>
    <w:rsid w:val="003215AA"/>
    <w:rsid w:val="0032202B"/>
    <w:rsid w:val="0032422A"/>
    <w:rsid w:val="0032462E"/>
    <w:rsid w:val="0032465B"/>
    <w:rsid w:val="00324DF0"/>
    <w:rsid w:val="00325F11"/>
    <w:rsid w:val="003263D4"/>
    <w:rsid w:val="00326CBD"/>
    <w:rsid w:val="00327046"/>
    <w:rsid w:val="00327774"/>
    <w:rsid w:val="00330D91"/>
    <w:rsid w:val="00331904"/>
    <w:rsid w:val="00332BEB"/>
    <w:rsid w:val="003330ED"/>
    <w:rsid w:val="00333EF4"/>
    <w:rsid w:val="00334116"/>
    <w:rsid w:val="0033468A"/>
    <w:rsid w:val="00334F1C"/>
    <w:rsid w:val="003351B5"/>
    <w:rsid w:val="003357CB"/>
    <w:rsid w:val="00335DBE"/>
    <w:rsid w:val="00335DFC"/>
    <w:rsid w:val="00336FD4"/>
    <w:rsid w:val="00340125"/>
    <w:rsid w:val="0034018C"/>
    <w:rsid w:val="00340A93"/>
    <w:rsid w:val="00341A2C"/>
    <w:rsid w:val="003425F4"/>
    <w:rsid w:val="00342888"/>
    <w:rsid w:val="00343D68"/>
    <w:rsid w:val="00343D75"/>
    <w:rsid w:val="00344113"/>
    <w:rsid w:val="00344E5D"/>
    <w:rsid w:val="00345087"/>
    <w:rsid w:val="003456F2"/>
    <w:rsid w:val="00346EC1"/>
    <w:rsid w:val="003519AA"/>
    <w:rsid w:val="00351D38"/>
    <w:rsid w:val="0035228F"/>
    <w:rsid w:val="003524E3"/>
    <w:rsid w:val="00353F57"/>
    <w:rsid w:val="00354576"/>
    <w:rsid w:val="00354BEB"/>
    <w:rsid w:val="003553B5"/>
    <w:rsid w:val="00355C21"/>
    <w:rsid w:val="00356464"/>
    <w:rsid w:val="003566B5"/>
    <w:rsid w:val="00356C13"/>
    <w:rsid w:val="00357131"/>
    <w:rsid w:val="0035720B"/>
    <w:rsid w:val="00360FB5"/>
    <w:rsid w:val="0036177C"/>
    <w:rsid w:val="00361A75"/>
    <w:rsid w:val="00362773"/>
    <w:rsid w:val="00362A53"/>
    <w:rsid w:val="00362B7C"/>
    <w:rsid w:val="003635CD"/>
    <w:rsid w:val="0036391D"/>
    <w:rsid w:val="003645EE"/>
    <w:rsid w:val="00365DDB"/>
    <w:rsid w:val="00365FDF"/>
    <w:rsid w:val="003660E4"/>
    <w:rsid w:val="00366624"/>
    <w:rsid w:val="00366643"/>
    <w:rsid w:val="00366B4D"/>
    <w:rsid w:val="00366FA7"/>
    <w:rsid w:val="00372099"/>
    <w:rsid w:val="003726E1"/>
    <w:rsid w:val="00372B2C"/>
    <w:rsid w:val="00372BF9"/>
    <w:rsid w:val="00373CE2"/>
    <w:rsid w:val="00374D3D"/>
    <w:rsid w:val="00374F5D"/>
    <w:rsid w:val="00375D9D"/>
    <w:rsid w:val="003769FA"/>
    <w:rsid w:val="00380053"/>
    <w:rsid w:val="00380680"/>
    <w:rsid w:val="00380DF2"/>
    <w:rsid w:val="00380E0B"/>
    <w:rsid w:val="003814B4"/>
    <w:rsid w:val="0038151E"/>
    <w:rsid w:val="003845FD"/>
    <w:rsid w:val="00384CDE"/>
    <w:rsid w:val="003851D5"/>
    <w:rsid w:val="003853A1"/>
    <w:rsid w:val="00385767"/>
    <w:rsid w:val="00385DBA"/>
    <w:rsid w:val="00385DF0"/>
    <w:rsid w:val="00386929"/>
    <w:rsid w:val="00386E83"/>
    <w:rsid w:val="003872AC"/>
    <w:rsid w:val="00387680"/>
    <w:rsid w:val="00387C7E"/>
    <w:rsid w:val="003901F2"/>
    <w:rsid w:val="0039109A"/>
    <w:rsid w:val="003916DE"/>
    <w:rsid w:val="0039174D"/>
    <w:rsid w:val="00394067"/>
    <w:rsid w:val="00394AD3"/>
    <w:rsid w:val="0039686B"/>
    <w:rsid w:val="003979E3"/>
    <w:rsid w:val="003A0108"/>
    <w:rsid w:val="003A0636"/>
    <w:rsid w:val="003A113F"/>
    <w:rsid w:val="003A13DE"/>
    <w:rsid w:val="003A1743"/>
    <w:rsid w:val="003A32B4"/>
    <w:rsid w:val="003A3BBC"/>
    <w:rsid w:val="003A41AF"/>
    <w:rsid w:val="003A4AB9"/>
    <w:rsid w:val="003A4CF2"/>
    <w:rsid w:val="003A4D81"/>
    <w:rsid w:val="003A4EAA"/>
    <w:rsid w:val="003A5A9B"/>
    <w:rsid w:val="003A746B"/>
    <w:rsid w:val="003A789D"/>
    <w:rsid w:val="003A7BD8"/>
    <w:rsid w:val="003B0203"/>
    <w:rsid w:val="003B062D"/>
    <w:rsid w:val="003B0DB8"/>
    <w:rsid w:val="003B17F7"/>
    <w:rsid w:val="003B1F0B"/>
    <w:rsid w:val="003B2CB1"/>
    <w:rsid w:val="003B394E"/>
    <w:rsid w:val="003B3ABA"/>
    <w:rsid w:val="003B44D5"/>
    <w:rsid w:val="003B4738"/>
    <w:rsid w:val="003B57C8"/>
    <w:rsid w:val="003C0F7E"/>
    <w:rsid w:val="003C1029"/>
    <w:rsid w:val="003C1091"/>
    <w:rsid w:val="003C1F79"/>
    <w:rsid w:val="003C216A"/>
    <w:rsid w:val="003C21C6"/>
    <w:rsid w:val="003C24BB"/>
    <w:rsid w:val="003C3B88"/>
    <w:rsid w:val="003C3E45"/>
    <w:rsid w:val="003C4A7F"/>
    <w:rsid w:val="003C4C62"/>
    <w:rsid w:val="003C550A"/>
    <w:rsid w:val="003C5F8A"/>
    <w:rsid w:val="003C62EC"/>
    <w:rsid w:val="003C6475"/>
    <w:rsid w:val="003C66D6"/>
    <w:rsid w:val="003C6CE9"/>
    <w:rsid w:val="003C6FD7"/>
    <w:rsid w:val="003C76A7"/>
    <w:rsid w:val="003C7C1A"/>
    <w:rsid w:val="003C7DAE"/>
    <w:rsid w:val="003D0B56"/>
    <w:rsid w:val="003D24CC"/>
    <w:rsid w:val="003D4D92"/>
    <w:rsid w:val="003D51CA"/>
    <w:rsid w:val="003D51E3"/>
    <w:rsid w:val="003D5429"/>
    <w:rsid w:val="003D549A"/>
    <w:rsid w:val="003D5695"/>
    <w:rsid w:val="003D6AAF"/>
    <w:rsid w:val="003D7CF5"/>
    <w:rsid w:val="003D7DC6"/>
    <w:rsid w:val="003E07B0"/>
    <w:rsid w:val="003E07F7"/>
    <w:rsid w:val="003E0EBE"/>
    <w:rsid w:val="003E1E63"/>
    <w:rsid w:val="003E239C"/>
    <w:rsid w:val="003E2401"/>
    <w:rsid w:val="003E2C1B"/>
    <w:rsid w:val="003E2E8B"/>
    <w:rsid w:val="003E2E9B"/>
    <w:rsid w:val="003E40E9"/>
    <w:rsid w:val="003E40F2"/>
    <w:rsid w:val="003E412C"/>
    <w:rsid w:val="003E4352"/>
    <w:rsid w:val="003E4E55"/>
    <w:rsid w:val="003E5DE0"/>
    <w:rsid w:val="003E5DFB"/>
    <w:rsid w:val="003E7323"/>
    <w:rsid w:val="003F1002"/>
    <w:rsid w:val="003F1356"/>
    <w:rsid w:val="003F2C9A"/>
    <w:rsid w:val="003F302B"/>
    <w:rsid w:val="003F3CA3"/>
    <w:rsid w:val="003F3E02"/>
    <w:rsid w:val="003F44BE"/>
    <w:rsid w:val="003F490C"/>
    <w:rsid w:val="003F4F02"/>
    <w:rsid w:val="003F5078"/>
    <w:rsid w:val="003F5755"/>
    <w:rsid w:val="003F5D25"/>
    <w:rsid w:val="003F6CC5"/>
    <w:rsid w:val="003F6EFA"/>
    <w:rsid w:val="003F6F8A"/>
    <w:rsid w:val="003F77C7"/>
    <w:rsid w:val="004000DA"/>
    <w:rsid w:val="004011F4"/>
    <w:rsid w:val="00401C56"/>
    <w:rsid w:val="0040249C"/>
    <w:rsid w:val="004026AD"/>
    <w:rsid w:val="00403A9A"/>
    <w:rsid w:val="00404FFF"/>
    <w:rsid w:val="00405394"/>
    <w:rsid w:val="0040575F"/>
    <w:rsid w:val="004077D6"/>
    <w:rsid w:val="004102E6"/>
    <w:rsid w:val="004104F7"/>
    <w:rsid w:val="004111EA"/>
    <w:rsid w:val="0041156C"/>
    <w:rsid w:val="0041156F"/>
    <w:rsid w:val="00411691"/>
    <w:rsid w:val="004116FB"/>
    <w:rsid w:val="004118BE"/>
    <w:rsid w:val="00411A5F"/>
    <w:rsid w:val="004120CE"/>
    <w:rsid w:val="0041405E"/>
    <w:rsid w:val="004171B7"/>
    <w:rsid w:val="004200C1"/>
    <w:rsid w:val="004210B7"/>
    <w:rsid w:val="0042122D"/>
    <w:rsid w:val="004219E4"/>
    <w:rsid w:val="00421B31"/>
    <w:rsid w:val="00421B37"/>
    <w:rsid w:val="00421CF7"/>
    <w:rsid w:val="004225C3"/>
    <w:rsid w:val="00422EDF"/>
    <w:rsid w:val="00423C5C"/>
    <w:rsid w:val="00424D4A"/>
    <w:rsid w:val="00424EC5"/>
    <w:rsid w:val="004256D7"/>
    <w:rsid w:val="0042602D"/>
    <w:rsid w:val="004263BB"/>
    <w:rsid w:val="00426623"/>
    <w:rsid w:val="00427889"/>
    <w:rsid w:val="00430600"/>
    <w:rsid w:val="00431E5C"/>
    <w:rsid w:val="00432D5A"/>
    <w:rsid w:val="00433BA1"/>
    <w:rsid w:val="00433C01"/>
    <w:rsid w:val="00433C07"/>
    <w:rsid w:val="00434201"/>
    <w:rsid w:val="00434470"/>
    <w:rsid w:val="004352DB"/>
    <w:rsid w:val="00435CED"/>
    <w:rsid w:val="00436BB3"/>
    <w:rsid w:val="00436C6E"/>
    <w:rsid w:val="00437715"/>
    <w:rsid w:val="00440903"/>
    <w:rsid w:val="00440BE6"/>
    <w:rsid w:val="00441DAF"/>
    <w:rsid w:val="00441E0F"/>
    <w:rsid w:val="00442683"/>
    <w:rsid w:val="00442963"/>
    <w:rsid w:val="00442B59"/>
    <w:rsid w:val="004430AC"/>
    <w:rsid w:val="004430B6"/>
    <w:rsid w:val="00443745"/>
    <w:rsid w:val="00443E01"/>
    <w:rsid w:val="00445F16"/>
    <w:rsid w:val="00446A74"/>
    <w:rsid w:val="004474E4"/>
    <w:rsid w:val="00447C7F"/>
    <w:rsid w:val="00447EA3"/>
    <w:rsid w:val="00451C7F"/>
    <w:rsid w:val="004535FD"/>
    <w:rsid w:val="00453CD9"/>
    <w:rsid w:val="004549E3"/>
    <w:rsid w:val="0045503C"/>
    <w:rsid w:val="004558C8"/>
    <w:rsid w:val="0045672F"/>
    <w:rsid w:val="0045681C"/>
    <w:rsid w:val="0045716B"/>
    <w:rsid w:val="0046164A"/>
    <w:rsid w:val="004620D8"/>
    <w:rsid w:val="00462A20"/>
    <w:rsid w:val="00462D49"/>
    <w:rsid w:val="00463552"/>
    <w:rsid w:val="00464D33"/>
    <w:rsid w:val="00465C47"/>
    <w:rsid w:val="0046603C"/>
    <w:rsid w:val="004666E8"/>
    <w:rsid w:val="0046682C"/>
    <w:rsid w:val="00467163"/>
    <w:rsid w:val="00467AD9"/>
    <w:rsid w:val="00470132"/>
    <w:rsid w:val="00470948"/>
    <w:rsid w:val="00470D2F"/>
    <w:rsid w:val="004711AF"/>
    <w:rsid w:val="0047139B"/>
    <w:rsid w:val="00471788"/>
    <w:rsid w:val="00471B0B"/>
    <w:rsid w:val="0047269D"/>
    <w:rsid w:val="0047294D"/>
    <w:rsid w:val="00472B1F"/>
    <w:rsid w:val="0047373D"/>
    <w:rsid w:val="004737A8"/>
    <w:rsid w:val="0047413D"/>
    <w:rsid w:val="00474F7B"/>
    <w:rsid w:val="00475263"/>
    <w:rsid w:val="00475375"/>
    <w:rsid w:val="00475AAB"/>
    <w:rsid w:val="00475B57"/>
    <w:rsid w:val="0047657C"/>
    <w:rsid w:val="00476866"/>
    <w:rsid w:val="00476941"/>
    <w:rsid w:val="00480AD9"/>
    <w:rsid w:val="00480F56"/>
    <w:rsid w:val="004814BD"/>
    <w:rsid w:val="00481CED"/>
    <w:rsid w:val="004821A7"/>
    <w:rsid w:val="0048278D"/>
    <w:rsid w:val="004829B7"/>
    <w:rsid w:val="0048319C"/>
    <w:rsid w:val="00484132"/>
    <w:rsid w:val="00484512"/>
    <w:rsid w:val="00484948"/>
    <w:rsid w:val="004849EA"/>
    <w:rsid w:val="004853E1"/>
    <w:rsid w:val="00485AFA"/>
    <w:rsid w:val="004861F8"/>
    <w:rsid w:val="004865E9"/>
    <w:rsid w:val="004866AD"/>
    <w:rsid w:val="004872C4"/>
    <w:rsid w:val="0048754A"/>
    <w:rsid w:val="0049058F"/>
    <w:rsid w:val="00490874"/>
    <w:rsid w:val="004910A0"/>
    <w:rsid w:val="00491E9A"/>
    <w:rsid w:val="00491F51"/>
    <w:rsid w:val="00492EF0"/>
    <w:rsid w:val="004938C1"/>
    <w:rsid w:val="00493F37"/>
    <w:rsid w:val="0049446B"/>
    <w:rsid w:val="004948EE"/>
    <w:rsid w:val="00494B37"/>
    <w:rsid w:val="00494C85"/>
    <w:rsid w:val="00495516"/>
    <w:rsid w:val="00495E4A"/>
    <w:rsid w:val="00495E9F"/>
    <w:rsid w:val="00496779"/>
    <w:rsid w:val="00496B78"/>
    <w:rsid w:val="00496F29"/>
    <w:rsid w:val="004978FF"/>
    <w:rsid w:val="00497983"/>
    <w:rsid w:val="00497D34"/>
    <w:rsid w:val="004A0066"/>
    <w:rsid w:val="004A046F"/>
    <w:rsid w:val="004A0944"/>
    <w:rsid w:val="004A0F56"/>
    <w:rsid w:val="004A19DD"/>
    <w:rsid w:val="004A3923"/>
    <w:rsid w:val="004A3A26"/>
    <w:rsid w:val="004A4261"/>
    <w:rsid w:val="004A46F4"/>
    <w:rsid w:val="004A4D6D"/>
    <w:rsid w:val="004A51BB"/>
    <w:rsid w:val="004A7450"/>
    <w:rsid w:val="004B0054"/>
    <w:rsid w:val="004B111B"/>
    <w:rsid w:val="004B16C7"/>
    <w:rsid w:val="004B24AB"/>
    <w:rsid w:val="004B2D12"/>
    <w:rsid w:val="004B2F7A"/>
    <w:rsid w:val="004B32FE"/>
    <w:rsid w:val="004B3B1D"/>
    <w:rsid w:val="004B43CC"/>
    <w:rsid w:val="004B451D"/>
    <w:rsid w:val="004B4994"/>
    <w:rsid w:val="004B4BE9"/>
    <w:rsid w:val="004B55F4"/>
    <w:rsid w:val="004B5C8A"/>
    <w:rsid w:val="004B7C8E"/>
    <w:rsid w:val="004C1921"/>
    <w:rsid w:val="004C23DA"/>
    <w:rsid w:val="004C3BA5"/>
    <w:rsid w:val="004C3D33"/>
    <w:rsid w:val="004C53F3"/>
    <w:rsid w:val="004C618A"/>
    <w:rsid w:val="004C6F8E"/>
    <w:rsid w:val="004C7372"/>
    <w:rsid w:val="004C7F55"/>
    <w:rsid w:val="004D04B2"/>
    <w:rsid w:val="004D0F1B"/>
    <w:rsid w:val="004D16D5"/>
    <w:rsid w:val="004D1B8A"/>
    <w:rsid w:val="004D225B"/>
    <w:rsid w:val="004D24C5"/>
    <w:rsid w:val="004D3E60"/>
    <w:rsid w:val="004D3FDC"/>
    <w:rsid w:val="004D42B7"/>
    <w:rsid w:val="004D4C07"/>
    <w:rsid w:val="004D4C17"/>
    <w:rsid w:val="004D4CC6"/>
    <w:rsid w:val="004D5590"/>
    <w:rsid w:val="004D5A14"/>
    <w:rsid w:val="004D5FE0"/>
    <w:rsid w:val="004D6221"/>
    <w:rsid w:val="004D69E1"/>
    <w:rsid w:val="004D6C92"/>
    <w:rsid w:val="004E05F9"/>
    <w:rsid w:val="004E23B0"/>
    <w:rsid w:val="004E248B"/>
    <w:rsid w:val="004E3037"/>
    <w:rsid w:val="004E31F9"/>
    <w:rsid w:val="004E3E1D"/>
    <w:rsid w:val="004E5804"/>
    <w:rsid w:val="004E5AB0"/>
    <w:rsid w:val="004E5FD0"/>
    <w:rsid w:val="004E66F9"/>
    <w:rsid w:val="004E6F2B"/>
    <w:rsid w:val="004E785B"/>
    <w:rsid w:val="004F0237"/>
    <w:rsid w:val="004F04DA"/>
    <w:rsid w:val="004F0C3F"/>
    <w:rsid w:val="004F217C"/>
    <w:rsid w:val="004F23C6"/>
    <w:rsid w:val="004F29B4"/>
    <w:rsid w:val="004F31F6"/>
    <w:rsid w:val="004F33B6"/>
    <w:rsid w:val="004F4EC0"/>
    <w:rsid w:val="004F5150"/>
    <w:rsid w:val="004F6F56"/>
    <w:rsid w:val="004F7918"/>
    <w:rsid w:val="004F7A36"/>
    <w:rsid w:val="005008AB"/>
    <w:rsid w:val="00500E21"/>
    <w:rsid w:val="005019FF"/>
    <w:rsid w:val="0050370B"/>
    <w:rsid w:val="00504C4A"/>
    <w:rsid w:val="005057E8"/>
    <w:rsid w:val="00506779"/>
    <w:rsid w:val="0050692E"/>
    <w:rsid w:val="00506AB4"/>
    <w:rsid w:val="00507967"/>
    <w:rsid w:val="005103AA"/>
    <w:rsid w:val="00510692"/>
    <w:rsid w:val="005107D1"/>
    <w:rsid w:val="00510BE4"/>
    <w:rsid w:val="00510EC8"/>
    <w:rsid w:val="00510F8C"/>
    <w:rsid w:val="00511710"/>
    <w:rsid w:val="005119C1"/>
    <w:rsid w:val="00511BEF"/>
    <w:rsid w:val="005128F0"/>
    <w:rsid w:val="00513B9F"/>
    <w:rsid w:val="00514959"/>
    <w:rsid w:val="00514BCD"/>
    <w:rsid w:val="00515970"/>
    <w:rsid w:val="005160EA"/>
    <w:rsid w:val="00516A59"/>
    <w:rsid w:val="00516D23"/>
    <w:rsid w:val="00516EA2"/>
    <w:rsid w:val="00517DCB"/>
    <w:rsid w:val="005215E0"/>
    <w:rsid w:val="00521DA0"/>
    <w:rsid w:val="0052316D"/>
    <w:rsid w:val="005239E3"/>
    <w:rsid w:val="00523C84"/>
    <w:rsid w:val="00524ED9"/>
    <w:rsid w:val="005255E5"/>
    <w:rsid w:val="005263F9"/>
    <w:rsid w:val="00526737"/>
    <w:rsid w:val="00527238"/>
    <w:rsid w:val="00527342"/>
    <w:rsid w:val="005273DC"/>
    <w:rsid w:val="00530D98"/>
    <w:rsid w:val="005323B9"/>
    <w:rsid w:val="00532876"/>
    <w:rsid w:val="0053303F"/>
    <w:rsid w:val="00533EAC"/>
    <w:rsid w:val="00534E0B"/>
    <w:rsid w:val="005354B1"/>
    <w:rsid w:val="0053586F"/>
    <w:rsid w:val="005362A7"/>
    <w:rsid w:val="00536451"/>
    <w:rsid w:val="00536845"/>
    <w:rsid w:val="00536FE5"/>
    <w:rsid w:val="0053763B"/>
    <w:rsid w:val="00537E2B"/>
    <w:rsid w:val="00540275"/>
    <w:rsid w:val="00541C47"/>
    <w:rsid w:val="00542B0F"/>
    <w:rsid w:val="00542E49"/>
    <w:rsid w:val="00542F08"/>
    <w:rsid w:val="0054321A"/>
    <w:rsid w:val="00543270"/>
    <w:rsid w:val="00543F5F"/>
    <w:rsid w:val="0054401D"/>
    <w:rsid w:val="00544143"/>
    <w:rsid w:val="00544A2E"/>
    <w:rsid w:val="00545CB0"/>
    <w:rsid w:val="00546A7D"/>
    <w:rsid w:val="0055003C"/>
    <w:rsid w:val="00551B7F"/>
    <w:rsid w:val="00551F5F"/>
    <w:rsid w:val="00552126"/>
    <w:rsid w:val="00552C5C"/>
    <w:rsid w:val="00552E67"/>
    <w:rsid w:val="00553105"/>
    <w:rsid w:val="00553C49"/>
    <w:rsid w:val="00553E50"/>
    <w:rsid w:val="0055553C"/>
    <w:rsid w:val="00555F05"/>
    <w:rsid w:val="00556097"/>
    <w:rsid w:val="00556E4C"/>
    <w:rsid w:val="0055705C"/>
    <w:rsid w:val="005577C1"/>
    <w:rsid w:val="00557E99"/>
    <w:rsid w:val="005602AB"/>
    <w:rsid w:val="00560939"/>
    <w:rsid w:val="00561364"/>
    <w:rsid w:val="00562283"/>
    <w:rsid w:val="005626C2"/>
    <w:rsid w:val="005630D0"/>
    <w:rsid w:val="00564C17"/>
    <w:rsid w:val="00565290"/>
    <w:rsid w:val="0056550F"/>
    <w:rsid w:val="00567F1B"/>
    <w:rsid w:val="00570428"/>
    <w:rsid w:val="00571E09"/>
    <w:rsid w:val="00571E3D"/>
    <w:rsid w:val="00572622"/>
    <w:rsid w:val="00572729"/>
    <w:rsid w:val="0057273C"/>
    <w:rsid w:val="00573013"/>
    <w:rsid w:val="00574F19"/>
    <w:rsid w:val="005758B5"/>
    <w:rsid w:val="005763E5"/>
    <w:rsid w:val="00576C69"/>
    <w:rsid w:val="005771CE"/>
    <w:rsid w:val="00577498"/>
    <w:rsid w:val="00577741"/>
    <w:rsid w:val="005801DE"/>
    <w:rsid w:val="00580657"/>
    <w:rsid w:val="00580E9D"/>
    <w:rsid w:val="005821CD"/>
    <w:rsid w:val="0058293C"/>
    <w:rsid w:val="005835A8"/>
    <w:rsid w:val="00583BF2"/>
    <w:rsid w:val="00584A70"/>
    <w:rsid w:val="00584BF9"/>
    <w:rsid w:val="00584EAA"/>
    <w:rsid w:val="00584F34"/>
    <w:rsid w:val="00585E51"/>
    <w:rsid w:val="00585E69"/>
    <w:rsid w:val="00585F9F"/>
    <w:rsid w:val="00586B1F"/>
    <w:rsid w:val="00587D64"/>
    <w:rsid w:val="0059041D"/>
    <w:rsid w:val="00591965"/>
    <w:rsid w:val="00591BD4"/>
    <w:rsid w:val="0059205D"/>
    <w:rsid w:val="005920AB"/>
    <w:rsid w:val="00592DF8"/>
    <w:rsid w:val="005940EB"/>
    <w:rsid w:val="00594456"/>
    <w:rsid w:val="0059447D"/>
    <w:rsid w:val="00594A32"/>
    <w:rsid w:val="00595193"/>
    <w:rsid w:val="005956CD"/>
    <w:rsid w:val="005964FC"/>
    <w:rsid w:val="00596891"/>
    <w:rsid w:val="00596F40"/>
    <w:rsid w:val="005A0A28"/>
    <w:rsid w:val="005A1A2E"/>
    <w:rsid w:val="005A1BBF"/>
    <w:rsid w:val="005A2F2C"/>
    <w:rsid w:val="005A310F"/>
    <w:rsid w:val="005A4875"/>
    <w:rsid w:val="005A542B"/>
    <w:rsid w:val="005A55F0"/>
    <w:rsid w:val="005A590B"/>
    <w:rsid w:val="005A5C39"/>
    <w:rsid w:val="005A71AA"/>
    <w:rsid w:val="005A7726"/>
    <w:rsid w:val="005A7D99"/>
    <w:rsid w:val="005B0004"/>
    <w:rsid w:val="005B0BD7"/>
    <w:rsid w:val="005B0DB9"/>
    <w:rsid w:val="005B12C7"/>
    <w:rsid w:val="005B1527"/>
    <w:rsid w:val="005B16BD"/>
    <w:rsid w:val="005B1C40"/>
    <w:rsid w:val="005B27D7"/>
    <w:rsid w:val="005B3148"/>
    <w:rsid w:val="005B4310"/>
    <w:rsid w:val="005B4B39"/>
    <w:rsid w:val="005B570C"/>
    <w:rsid w:val="005B7605"/>
    <w:rsid w:val="005C0510"/>
    <w:rsid w:val="005C3419"/>
    <w:rsid w:val="005C3796"/>
    <w:rsid w:val="005C3B1C"/>
    <w:rsid w:val="005C518D"/>
    <w:rsid w:val="005C57F1"/>
    <w:rsid w:val="005C5A88"/>
    <w:rsid w:val="005C672D"/>
    <w:rsid w:val="005D08EE"/>
    <w:rsid w:val="005D0B86"/>
    <w:rsid w:val="005D1060"/>
    <w:rsid w:val="005D229D"/>
    <w:rsid w:val="005D404E"/>
    <w:rsid w:val="005D4487"/>
    <w:rsid w:val="005D5949"/>
    <w:rsid w:val="005D605E"/>
    <w:rsid w:val="005D705D"/>
    <w:rsid w:val="005D7E27"/>
    <w:rsid w:val="005E059A"/>
    <w:rsid w:val="005E0661"/>
    <w:rsid w:val="005E0BA9"/>
    <w:rsid w:val="005E0CA9"/>
    <w:rsid w:val="005E1326"/>
    <w:rsid w:val="005E1A94"/>
    <w:rsid w:val="005E22B8"/>
    <w:rsid w:val="005E3AF1"/>
    <w:rsid w:val="005E3EB3"/>
    <w:rsid w:val="005E40F1"/>
    <w:rsid w:val="005E42B4"/>
    <w:rsid w:val="005E4F2F"/>
    <w:rsid w:val="005E629C"/>
    <w:rsid w:val="005E7AA7"/>
    <w:rsid w:val="005F1486"/>
    <w:rsid w:val="005F23D9"/>
    <w:rsid w:val="005F324F"/>
    <w:rsid w:val="005F3B06"/>
    <w:rsid w:val="005F5C41"/>
    <w:rsid w:val="005F5F53"/>
    <w:rsid w:val="005F6256"/>
    <w:rsid w:val="005F6958"/>
    <w:rsid w:val="005F7213"/>
    <w:rsid w:val="006007AB"/>
    <w:rsid w:val="00602E82"/>
    <w:rsid w:val="00603BB7"/>
    <w:rsid w:val="00604540"/>
    <w:rsid w:val="0060473C"/>
    <w:rsid w:val="006048F2"/>
    <w:rsid w:val="00604CBB"/>
    <w:rsid w:val="00605E7C"/>
    <w:rsid w:val="006072F2"/>
    <w:rsid w:val="00607357"/>
    <w:rsid w:val="006102E2"/>
    <w:rsid w:val="0061060F"/>
    <w:rsid w:val="00610862"/>
    <w:rsid w:val="006125D0"/>
    <w:rsid w:val="00612CB6"/>
    <w:rsid w:val="006131B8"/>
    <w:rsid w:val="00613203"/>
    <w:rsid w:val="006134B1"/>
    <w:rsid w:val="0061368E"/>
    <w:rsid w:val="00613EB2"/>
    <w:rsid w:val="006145B5"/>
    <w:rsid w:val="0061551E"/>
    <w:rsid w:val="006169FF"/>
    <w:rsid w:val="00617636"/>
    <w:rsid w:val="006201F8"/>
    <w:rsid w:val="00621C5D"/>
    <w:rsid w:val="006228EA"/>
    <w:rsid w:val="00622A5F"/>
    <w:rsid w:val="00622D33"/>
    <w:rsid w:val="006231C6"/>
    <w:rsid w:val="00623DD1"/>
    <w:rsid w:val="00623EA5"/>
    <w:rsid w:val="00624A8D"/>
    <w:rsid w:val="00626349"/>
    <w:rsid w:val="006264DA"/>
    <w:rsid w:val="00626944"/>
    <w:rsid w:val="00626A2D"/>
    <w:rsid w:val="00627204"/>
    <w:rsid w:val="006278BA"/>
    <w:rsid w:val="00627A61"/>
    <w:rsid w:val="0063014C"/>
    <w:rsid w:val="0063052A"/>
    <w:rsid w:val="00630FD1"/>
    <w:rsid w:val="00631249"/>
    <w:rsid w:val="006322A1"/>
    <w:rsid w:val="00632D5A"/>
    <w:rsid w:val="00633908"/>
    <w:rsid w:val="006341A6"/>
    <w:rsid w:val="00634E4E"/>
    <w:rsid w:val="0063518C"/>
    <w:rsid w:val="00635286"/>
    <w:rsid w:val="00635E44"/>
    <w:rsid w:val="00636DF0"/>
    <w:rsid w:val="00637B77"/>
    <w:rsid w:val="00640A97"/>
    <w:rsid w:val="006437D6"/>
    <w:rsid w:val="00643BCC"/>
    <w:rsid w:val="006443F2"/>
    <w:rsid w:val="006452BF"/>
    <w:rsid w:val="00645A72"/>
    <w:rsid w:val="006466F5"/>
    <w:rsid w:val="00646BAF"/>
    <w:rsid w:val="00647152"/>
    <w:rsid w:val="0064777D"/>
    <w:rsid w:val="006514A9"/>
    <w:rsid w:val="0065190D"/>
    <w:rsid w:val="00651AC1"/>
    <w:rsid w:val="00651D9F"/>
    <w:rsid w:val="00651E81"/>
    <w:rsid w:val="006528CD"/>
    <w:rsid w:val="00653696"/>
    <w:rsid w:val="00653E75"/>
    <w:rsid w:val="006540C4"/>
    <w:rsid w:val="00655083"/>
    <w:rsid w:val="0065536E"/>
    <w:rsid w:val="00655649"/>
    <w:rsid w:val="006558C1"/>
    <w:rsid w:val="00655DB4"/>
    <w:rsid w:val="006563F2"/>
    <w:rsid w:val="0065717F"/>
    <w:rsid w:val="00657BDF"/>
    <w:rsid w:val="00660925"/>
    <w:rsid w:val="00660FF6"/>
    <w:rsid w:val="0066108A"/>
    <w:rsid w:val="00661A52"/>
    <w:rsid w:val="00661FE6"/>
    <w:rsid w:val="00663A19"/>
    <w:rsid w:val="00664E55"/>
    <w:rsid w:val="006650F9"/>
    <w:rsid w:val="00665ECF"/>
    <w:rsid w:val="00665F54"/>
    <w:rsid w:val="00666252"/>
    <w:rsid w:val="00670856"/>
    <w:rsid w:val="00670C13"/>
    <w:rsid w:val="006713A9"/>
    <w:rsid w:val="006714DA"/>
    <w:rsid w:val="00671AC9"/>
    <w:rsid w:val="00671E7C"/>
    <w:rsid w:val="0067279D"/>
    <w:rsid w:val="00674E66"/>
    <w:rsid w:val="00675058"/>
    <w:rsid w:val="006759EF"/>
    <w:rsid w:val="00676140"/>
    <w:rsid w:val="006769BB"/>
    <w:rsid w:val="00676FA5"/>
    <w:rsid w:val="00676FB7"/>
    <w:rsid w:val="006804AC"/>
    <w:rsid w:val="006806C5"/>
    <w:rsid w:val="00680AE1"/>
    <w:rsid w:val="0068225C"/>
    <w:rsid w:val="00683562"/>
    <w:rsid w:val="00683790"/>
    <w:rsid w:val="00684013"/>
    <w:rsid w:val="00684111"/>
    <w:rsid w:val="006843C5"/>
    <w:rsid w:val="006845F0"/>
    <w:rsid w:val="00684FE1"/>
    <w:rsid w:val="006854FA"/>
    <w:rsid w:val="0068589F"/>
    <w:rsid w:val="00686976"/>
    <w:rsid w:val="00687081"/>
    <w:rsid w:val="00687430"/>
    <w:rsid w:val="00690CF1"/>
    <w:rsid w:val="006912F0"/>
    <w:rsid w:val="0069223B"/>
    <w:rsid w:val="006928D9"/>
    <w:rsid w:val="00692B06"/>
    <w:rsid w:val="00692E7F"/>
    <w:rsid w:val="00694E4D"/>
    <w:rsid w:val="00694E8E"/>
    <w:rsid w:val="00695072"/>
    <w:rsid w:val="00695CBA"/>
    <w:rsid w:val="00696A48"/>
    <w:rsid w:val="00696E0C"/>
    <w:rsid w:val="00697103"/>
    <w:rsid w:val="00697153"/>
    <w:rsid w:val="006975D4"/>
    <w:rsid w:val="006A00A0"/>
    <w:rsid w:val="006A0153"/>
    <w:rsid w:val="006A0579"/>
    <w:rsid w:val="006A0A26"/>
    <w:rsid w:val="006A1307"/>
    <w:rsid w:val="006A15A3"/>
    <w:rsid w:val="006A16CA"/>
    <w:rsid w:val="006A2089"/>
    <w:rsid w:val="006A2359"/>
    <w:rsid w:val="006A2A5D"/>
    <w:rsid w:val="006A2AFC"/>
    <w:rsid w:val="006A2B75"/>
    <w:rsid w:val="006A2D97"/>
    <w:rsid w:val="006A2EC4"/>
    <w:rsid w:val="006A3A88"/>
    <w:rsid w:val="006A445B"/>
    <w:rsid w:val="006A4964"/>
    <w:rsid w:val="006A4C02"/>
    <w:rsid w:val="006A501A"/>
    <w:rsid w:val="006A5053"/>
    <w:rsid w:val="006A57FB"/>
    <w:rsid w:val="006A5F64"/>
    <w:rsid w:val="006A6247"/>
    <w:rsid w:val="006A6956"/>
    <w:rsid w:val="006A6FA7"/>
    <w:rsid w:val="006A72E4"/>
    <w:rsid w:val="006B0136"/>
    <w:rsid w:val="006B04A4"/>
    <w:rsid w:val="006B0733"/>
    <w:rsid w:val="006B0E71"/>
    <w:rsid w:val="006B14F2"/>
    <w:rsid w:val="006B1583"/>
    <w:rsid w:val="006B20C8"/>
    <w:rsid w:val="006B2CA9"/>
    <w:rsid w:val="006B3177"/>
    <w:rsid w:val="006B3298"/>
    <w:rsid w:val="006B37FE"/>
    <w:rsid w:val="006B3B21"/>
    <w:rsid w:val="006B4395"/>
    <w:rsid w:val="006B4BB9"/>
    <w:rsid w:val="006B54DC"/>
    <w:rsid w:val="006B5A84"/>
    <w:rsid w:val="006B6237"/>
    <w:rsid w:val="006B6CBD"/>
    <w:rsid w:val="006B7B3C"/>
    <w:rsid w:val="006C0516"/>
    <w:rsid w:val="006C0EF5"/>
    <w:rsid w:val="006C16D9"/>
    <w:rsid w:val="006C2AC1"/>
    <w:rsid w:val="006C2D11"/>
    <w:rsid w:val="006C3B54"/>
    <w:rsid w:val="006C4441"/>
    <w:rsid w:val="006C48EF"/>
    <w:rsid w:val="006C4BD7"/>
    <w:rsid w:val="006C5C7F"/>
    <w:rsid w:val="006C68B6"/>
    <w:rsid w:val="006C6B06"/>
    <w:rsid w:val="006C6C79"/>
    <w:rsid w:val="006D03DB"/>
    <w:rsid w:val="006D049F"/>
    <w:rsid w:val="006D06A0"/>
    <w:rsid w:val="006D0D8C"/>
    <w:rsid w:val="006D0E3C"/>
    <w:rsid w:val="006D17A0"/>
    <w:rsid w:val="006D1841"/>
    <w:rsid w:val="006D3716"/>
    <w:rsid w:val="006D418D"/>
    <w:rsid w:val="006D46E8"/>
    <w:rsid w:val="006D5317"/>
    <w:rsid w:val="006D560E"/>
    <w:rsid w:val="006D59CC"/>
    <w:rsid w:val="006D5E2B"/>
    <w:rsid w:val="006D7BA6"/>
    <w:rsid w:val="006E0113"/>
    <w:rsid w:val="006E27CB"/>
    <w:rsid w:val="006E2AD4"/>
    <w:rsid w:val="006E3459"/>
    <w:rsid w:val="006E430A"/>
    <w:rsid w:val="006E5138"/>
    <w:rsid w:val="006E521E"/>
    <w:rsid w:val="006E522B"/>
    <w:rsid w:val="006E5706"/>
    <w:rsid w:val="006E6AB3"/>
    <w:rsid w:val="006E6C6D"/>
    <w:rsid w:val="006E6E3A"/>
    <w:rsid w:val="006F0726"/>
    <w:rsid w:val="006F0FBB"/>
    <w:rsid w:val="006F12B2"/>
    <w:rsid w:val="006F17E9"/>
    <w:rsid w:val="006F1B95"/>
    <w:rsid w:val="006F27EB"/>
    <w:rsid w:val="006F3D0D"/>
    <w:rsid w:val="006F3EA7"/>
    <w:rsid w:val="006F40CA"/>
    <w:rsid w:val="006F569F"/>
    <w:rsid w:val="006F5746"/>
    <w:rsid w:val="006F71E5"/>
    <w:rsid w:val="006F76E4"/>
    <w:rsid w:val="006F7D81"/>
    <w:rsid w:val="00700161"/>
    <w:rsid w:val="007006FD"/>
    <w:rsid w:val="00700F04"/>
    <w:rsid w:val="007010F2"/>
    <w:rsid w:val="007013F5"/>
    <w:rsid w:val="00701AF4"/>
    <w:rsid w:val="00701FD7"/>
    <w:rsid w:val="00702DA1"/>
    <w:rsid w:val="00702E96"/>
    <w:rsid w:val="00703082"/>
    <w:rsid w:val="00703C87"/>
    <w:rsid w:val="007049E2"/>
    <w:rsid w:val="00704F57"/>
    <w:rsid w:val="007050B2"/>
    <w:rsid w:val="0070511D"/>
    <w:rsid w:val="00705173"/>
    <w:rsid w:val="00705672"/>
    <w:rsid w:val="00705ECA"/>
    <w:rsid w:val="007070AC"/>
    <w:rsid w:val="007071D9"/>
    <w:rsid w:val="00707681"/>
    <w:rsid w:val="00710BC7"/>
    <w:rsid w:val="00710DD3"/>
    <w:rsid w:val="00711D1C"/>
    <w:rsid w:val="00711F35"/>
    <w:rsid w:val="00712329"/>
    <w:rsid w:val="00712DA6"/>
    <w:rsid w:val="00712E1D"/>
    <w:rsid w:val="007133A6"/>
    <w:rsid w:val="00713595"/>
    <w:rsid w:val="007139F0"/>
    <w:rsid w:val="007145B7"/>
    <w:rsid w:val="00714A64"/>
    <w:rsid w:val="00715717"/>
    <w:rsid w:val="00715AF3"/>
    <w:rsid w:val="00716DAB"/>
    <w:rsid w:val="00716E45"/>
    <w:rsid w:val="00716FBE"/>
    <w:rsid w:val="00717124"/>
    <w:rsid w:val="00717C3F"/>
    <w:rsid w:val="00717CA1"/>
    <w:rsid w:val="007207E9"/>
    <w:rsid w:val="00721B9A"/>
    <w:rsid w:val="00722AC6"/>
    <w:rsid w:val="00725363"/>
    <w:rsid w:val="00725421"/>
    <w:rsid w:val="00726A31"/>
    <w:rsid w:val="00726E51"/>
    <w:rsid w:val="00726FC7"/>
    <w:rsid w:val="00727244"/>
    <w:rsid w:val="00730C6D"/>
    <w:rsid w:val="00731299"/>
    <w:rsid w:val="0073140A"/>
    <w:rsid w:val="0073177A"/>
    <w:rsid w:val="00732B5D"/>
    <w:rsid w:val="007333E2"/>
    <w:rsid w:val="00733FE5"/>
    <w:rsid w:val="00734257"/>
    <w:rsid w:val="00734C24"/>
    <w:rsid w:val="0073535B"/>
    <w:rsid w:val="0073798E"/>
    <w:rsid w:val="00740417"/>
    <w:rsid w:val="0074124E"/>
    <w:rsid w:val="00741304"/>
    <w:rsid w:val="00741DA4"/>
    <w:rsid w:val="00742427"/>
    <w:rsid w:val="00742840"/>
    <w:rsid w:val="00743510"/>
    <w:rsid w:val="0074454A"/>
    <w:rsid w:val="007445CD"/>
    <w:rsid w:val="007452BF"/>
    <w:rsid w:val="00746F74"/>
    <w:rsid w:val="00750210"/>
    <w:rsid w:val="00750486"/>
    <w:rsid w:val="00751C45"/>
    <w:rsid w:val="00752B23"/>
    <w:rsid w:val="00752F71"/>
    <w:rsid w:val="007533A5"/>
    <w:rsid w:val="00753789"/>
    <w:rsid w:val="00753A17"/>
    <w:rsid w:val="00753DAB"/>
    <w:rsid w:val="00753E4C"/>
    <w:rsid w:val="007542B5"/>
    <w:rsid w:val="00754CD5"/>
    <w:rsid w:val="00756471"/>
    <w:rsid w:val="00756C23"/>
    <w:rsid w:val="007607D0"/>
    <w:rsid w:val="00760CD3"/>
    <w:rsid w:val="00760F1B"/>
    <w:rsid w:val="007613D9"/>
    <w:rsid w:val="007616ED"/>
    <w:rsid w:val="00761A53"/>
    <w:rsid w:val="00761E98"/>
    <w:rsid w:val="007621D1"/>
    <w:rsid w:val="00762529"/>
    <w:rsid w:val="0076280C"/>
    <w:rsid w:val="00763B86"/>
    <w:rsid w:val="00764B0A"/>
    <w:rsid w:val="00765826"/>
    <w:rsid w:val="0076594F"/>
    <w:rsid w:val="007662FD"/>
    <w:rsid w:val="00766953"/>
    <w:rsid w:val="00766BF0"/>
    <w:rsid w:val="007675F8"/>
    <w:rsid w:val="007676DD"/>
    <w:rsid w:val="00767D87"/>
    <w:rsid w:val="00770BDD"/>
    <w:rsid w:val="00770C7D"/>
    <w:rsid w:val="00770DD1"/>
    <w:rsid w:val="00770DDA"/>
    <w:rsid w:val="0077100B"/>
    <w:rsid w:val="00771244"/>
    <w:rsid w:val="00772648"/>
    <w:rsid w:val="0077295C"/>
    <w:rsid w:val="0077297F"/>
    <w:rsid w:val="00772E08"/>
    <w:rsid w:val="007731F8"/>
    <w:rsid w:val="00773509"/>
    <w:rsid w:val="007737C1"/>
    <w:rsid w:val="00773A3A"/>
    <w:rsid w:val="00774399"/>
    <w:rsid w:val="0077625C"/>
    <w:rsid w:val="00776695"/>
    <w:rsid w:val="00781201"/>
    <w:rsid w:val="00781F7A"/>
    <w:rsid w:val="007820B6"/>
    <w:rsid w:val="0078218C"/>
    <w:rsid w:val="00783187"/>
    <w:rsid w:val="007839FB"/>
    <w:rsid w:val="00784318"/>
    <w:rsid w:val="00784980"/>
    <w:rsid w:val="007850EB"/>
    <w:rsid w:val="0078791E"/>
    <w:rsid w:val="00787A01"/>
    <w:rsid w:val="00790A42"/>
    <w:rsid w:val="00791CF6"/>
    <w:rsid w:val="0079245D"/>
    <w:rsid w:val="00792770"/>
    <w:rsid w:val="007928D4"/>
    <w:rsid w:val="00792B66"/>
    <w:rsid w:val="0079311C"/>
    <w:rsid w:val="007934B6"/>
    <w:rsid w:val="0079390C"/>
    <w:rsid w:val="00793CE1"/>
    <w:rsid w:val="00793D54"/>
    <w:rsid w:val="0079470C"/>
    <w:rsid w:val="0079499D"/>
    <w:rsid w:val="00794F59"/>
    <w:rsid w:val="0079533E"/>
    <w:rsid w:val="00796709"/>
    <w:rsid w:val="0079721C"/>
    <w:rsid w:val="00797557"/>
    <w:rsid w:val="007A0CE1"/>
    <w:rsid w:val="007A1029"/>
    <w:rsid w:val="007A221C"/>
    <w:rsid w:val="007A23F2"/>
    <w:rsid w:val="007A2AA7"/>
    <w:rsid w:val="007A310C"/>
    <w:rsid w:val="007A42A0"/>
    <w:rsid w:val="007A4948"/>
    <w:rsid w:val="007A4BB0"/>
    <w:rsid w:val="007A5748"/>
    <w:rsid w:val="007A58B9"/>
    <w:rsid w:val="007A5BDB"/>
    <w:rsid w:val="007A6066"/>
    <w:rsid w:val="007A6075"/>
    <w:rsid w:val="007A623D"/>
    <w:rsid w:val="007A6A34"/>
    <w:rsid w:val="007A6B01"/>
    <w:rsid w:val="007A722A"/>
    <w:rsid w:val="007A77A9"/>
    <w:rsid w:val="007B0DC7"/>
    <w:rsid w:val="007B1820"/>
    <w:rsid w:val="007B184F"/>
    <w:rsid w:val="007B1F19"/>
    <w:rsid w:val="007B24A8"/>
    <w:rsid w:val="007B2A36"/>
    <w:rsid w:val="007B33AD"/>
    <w:rsid w:val="007B3D5B"/>
    <w:rsid w:val="007B4B1E"/>
    <w:rsid w:val="007B4C85"/>
    <w:rsid w:val="007B4F6F"/>
    <w:rsid w:val="007B5454"/>
    <w:rsid w:val="007B68D0"/>
    <w:rsid w:val="007B6D84"/>
    <w:rsid w:val="007B76B2"/>
    <w:rsid w:val="007B78D8"/>
    <w:rsid w:val="007B7BA7"/>
    <w:rsid w:val="007C1813"/>
    <w:rsid w:val="007C1C08"/>
    <w:rsid w:val="007C1C57"/>
    <w:rsid w:val="007C251E"/>
    <w:rsid w:val="007C3783"/>
    <w:rsid w:val="007C3A88"/>
    <w:rsid w:val="007C4F50"/>
    <w:rsid w:val="007C50B6"/>
    <w:rsid w:val="007C53B9"/>
    <w:rsid w:val="007C56F3"/>
    <w:rsid w:val="007C589F"/>
    <w:rsid w:val="007C5ABC"/>
    <w:rsid w:val="007C6088"/>
    <w:rsid w:val="007C714E"/>
    <w:rsid w:val="007C72EE"/>
    <w:rsid w:val="007C7708"/>
    <w:rsid w:val="007D05D4"/>
    <w:rsid w:val="007D10C7"/>
    <w:rsid w:val="007D2657"/>
    <w:rsid w:val="007D28D6"/>
    <w:rsid w:val="007D3040"/>
    <w:rsid w:val="007D33FE"/>
    <w:rsid w:val="007D3659"/>
    <w:rsid w:val="007D44EC"/>
    <w:rsid w:val="007D4F62"/>
    <w:rsid w:val="007D4FA0"/>
    <w:rsid w:val="007D50A3"/>
    <w:rsid w:val="007D5253"/>
    <w:rsid w:val="007D583B"/>
    <w:rsid w:val="007D6345"/>
    <w:rsid w:val="007D6533"/>
    <w:rsid w:val="007D6553"/>
    <w:rsid w:val="007D7687"/>
    <w:rsid w:val="007D7AA9"/>
    <w:rsid w:val="007E1079"/>
    <w:rsid w:val="007E261D"/>
    <w:rsid w:val="007E3A59"/>
    <w:rsid w:val="007E417D"/>
    <w:rsid w:val="007E5488"/>
    <w:rsid w:val="007E554D"/>
    <w:rsid w:val="007E5ED5"/>
    <w:rsid w:val="007E69AB"/>
    <w:rsid w:val="007E703A"/>
    <w:rsid w:val="007E755D"/>
    <w:rsid w:val="007E763A"/>
    <w:rsid w:val="007E7FD0"/>
    <w:rsid w:val="007F00F3"/>
    <w:rsid w:val="007F0D2C"/>
    <w:rsid w:val="007F186B"/>
    <w:rsid w:val="007F2CF0"/>
    <w:rsid w:val="007F350B"/>
    <w:rsid w:val="007F37C7"/>
    <w:rsid w:val="007F3896"/>
    <w:rsid w:val="007F3EF3"/>
    <w:rsid w:val="007F533C"/>
    <w:rsid w:val="007F7167"/>
    <w:rsid w:val="007F7502"/>
    <w:rsid w:val="00803D82"/>
    <w:rsid w:val="00804031"/>
    <w:rsid w:val="008040AB"/>
    <w:rsid w:val="00804112"/>
    <w:rsid w:val="0080595D"/>
    <w:rsid w:val="008061E2"/>
    <w:rsid w:val="00806520"/>
    <w:rsid w:val="00806848"/>
    <w:rsid w:val="008071CE"/>
    <w:rsid w:val="00807B83"/>
    <w:rsid w:val="008100A3"/>
    <w:rsid w:val="00810C1C"/>
    <w:rsid w:val="0081107D"/>
    <w:rsid w:val="008113EF"/>
    <w:rsid w:val="00811432"/>
    <w:rsid w:val="00811F3C"/>
    <w:rsid w:val="00812785"/>
    <w:rsid w:val="00813716"/>
    <w:rsid w:val="00813A31"/>
    <w:rsid w:val="00814027"/>
    <w:rsid w:val="00814488"/>
    <w:rsid w:val="00814DBF"/>
    <w:rsid w:val="008153E0"/>
    <w:rsid w:val="00815FC7"/>
    <w:rsid w:val="008163F0"/>
    <w:rsid w:val="008165F8"/>
    <w:rsid w:val="0081667F"/>
    <w:rsid w:val="008169DC"/>
    <w:rsid w:val="008171CE"/>
    <w:rsid w:val="008200E6"/>
    <w:rsid w:val="00820E55"/>
    <w:rsid w:val="00820E86"/>
    <w:rsid w:val="00821740"/>
    <w:rsid w:val="008219B0"/>
    <w:rsid w:val="00822688"/>
    <w:rsid w:val="00822870"/>
    <w:rsid w:val="00822FF6"/>
    <w:rsid w:val="008266EA"/>
    <w:rsid w:val="008278E5"/>
    <w:rsid w:val="00830438"/>
    <w:rsid w:val="00831A13"/>
    <w:rsid w:val="00832582"/>
    <w:rsid w:val="008328C3"/>
    <w:rsid w:val="00832E6B"/>
    <w:rsid w:val="00833389"/>
    <w:rsid w:val="0083390D"/>
    <w:rsid w:val="008339EC"/>
    <w:rsid w:val="00833AC8"/>
    <w:rsid w:val="00834F67"/>
    <w:rsid w:val="0083692E"/>
    <w:rsid w:val="00836C9F"/>
    <w:rsid w:val="00837A4D"/>
    <w:rsid w:val="00837FEC"/>
    <w:rsid w:val="00840871"/>
    <w:rsid w:val="00841CAB"/>
    <w:rsid w:val="00841F2F"/>
    <w:rsid w:val="00842077"/>
    <w:rsid w:val="00842FC5"/>
    <w:rsid w:val="00843012"/>
    <w:rsid w:val="008440E8"/>
    <w:rsid w:val="008441EC"/>
    <w:rsid w:val="00844410"/>
    <w:rsid w:val="00846111"/>
    <w:rsid w:val="008462C9"/>
    <w:rsid w:val="00846774"/>
    <w:rsid w:val="00847739"/>
    <w:rsid w:val="008479D2"/>
    <w:rsid w:val="00847A91"/>
    <w:rsid w:val="00847E0D"/>
    <w:rsid w:val="008502C2"/>
    <w:rsid w:val="0085178A"/>
    <w:rsid w:val="00851852"/>
    <w:rsid w:val="00851E6E"/>
    <w:rsid w:val="00852F57"/>
    <w:rsid w:val="00853E15"/>
    <w:rsid w:val="00853F1B"/>
    <w:rsid w:val="008550DE"/>
    <w:rsid w:val="0085645A"/>
    <w:rsid w:val="008571A1"/>
    <w:rsid w:val="00857851"/>
    <w:rsid w:val="00857B64"/>
    <w:rsid w:val="00860744"/>
    <w:rsid w:val="00862812"/>
    <w:rsid w:val="00862B5C"/>
    <w:rsid w:val="00862C61"/>
    <w:rsid w:val="008632A3"/>
    <w:rsid w:val="008635E2"/>
    <w:rsid w:val="00864552"/>
    <w:rsid w:val="008646AD"/>
    <w:rsid w:val="008657E9"/>
    <w:rsid w:val="00865D18"/>
    <w:rsid w:val="00866070"/>
    <w:rsid w:val="00866145"/>
    <w:rsid w:val="008669A1"/>
    <w:rsid w:val="00866E9D"/>
    <w:rsid w:val="008672CC"/>
    <w:rsid w:val="008677F9"/>
    <w:rsid w:val="00867AAC"/>
    <w:rsid w:val="00867ECF"/>
    <w:rsid w:val="008707A4"/>
    <w:rsid w:val="008714F4"/>
    <w:rsid w:val="00871ACE"/>
    <w:rsid w:val="00871B18"/>
    <w:rsid w:val="00871D1F"/>
    <w:rsid w:val="00872335"/>
    <w:rsid w:val="008731F8"/>
    <w:rsid w:val="00873676"/>
    <w:rsid w:val="00874A74"/>
    <w:rsid w:val="00875023"/>
    <w:rsid w:val="0087645F"/>
    <w:rsid w:val="0087682D"/>
    <w:rsid w:val="00876AA6"/>
    <w:rsid w:val="00876B0D"/>
    <w:rsid w:val="0087742E"/>
    <w:rsid w:val="008807F5"/>
    <w:rsid w:val="00880A56"/>
    <w:rsid w:val="008830D6"/>
    <w:rsid w:val="008842D8"/>
    <w:rsid w:val="00886C2E"/>
    <w:rsid w:val="00886DDF"/>
    <w:rsid w:val="0088715C"/>
    <w:rsid w:val="008876EE"/>
    <w:rsid w:val="008901E0"/>
    <w:rsid w:val="00891DB9"/>
    <w:rsid w:val="00892719"/>
    <w:rsid w:val="00892C4B"/>
    <w:rsid w:val="00893EDA"/>
    <w:rsid w:val="0089439A"/>
    <w:rsid w:val="00894814"/>
    <w:rsid w:val="008954D5"/>
    <w:rsid w:val="00895F4D"/>
    <w:rsid w:val="00896C4E"/>
    <w:rsid w:val="00896D58"/>
    <w:rsid w:val="008978C0"/>
    <w:rsid w:val="008A014B"/>
    <w:rsid w:val="008A08F3"/>
    <w:rsid w:val="008A1131"/>
    <w:rsid w:val="008A14F2"/>
    <w:rsid w:val="008A1B3E"/>
    <w:rsid w:val="008A2371"/>
    <w:rsid w:val="008A3DDD"/>
    <w:rsid w:val="008A44F9"/>
    <w:rsid w:val="008A5308"/>
    <w:rsid w:val="008A72B3"/>
    <w:rsid w:val="008A771B"/>
    <w:rsid w:val="008A7B6C"/>
    <w:rsid w:val="008A7FBC"/>
    <w:rsid w:val="008B0FE2"/>
    <w:rsid w:val="008B1FAA"/>
    <w:rsid w:val="008B2D24"/>
    <w:rsid w:val="008B2EF9"/>
    <w:rsid w:val="008B3F1A"/>
    <w:rsid w:val="008B676C"/>
    <w:rsid w:val="008B6C4E"/>
    <w:rsid w:val="008B72D0"/>
    <w:rsid w:val="008B75BB"/>
    <w:rsid w:val="008B772A"/>
    <w:rsid w:val="008B7FB3"/>
    <w:rsid w:val="008C02DA"/>
    <w:rsid w:val="008C0D4A"/>
    <w:rsid w:val="008C1686"/>
    <w:rsid w:val="008C3F49"/>
    <w:rsid w:val="008C469E"/>
    <w:rsid w:val="008C4C0F"/>
    <w:rsid w:val="008C50B1"/>
    <w:rsid w:val="008C57F7"/>
    <w:rsid w:val="008C5AD6"/>
    <w:rsid w:val="008C5FF9"/>
    <w:rsid w:val="008C6633"/>
    <w:rsid w:val="008C6CC1"/>
    <w:rsid w:val="008C70FA"/>
    <w:rsid w:val="008C76D0"/>
    <w:rsid w:val="008D0033"/>
    <w:rsid w:val="008D0035"/>
    <w:rsid w:val="008D057D"/>
    <w:rsid w:val="008D1500"/>
    <w:rsid w:val="008D16A3"/>
    <w:rsid w:val="008D1DAE"/>
    <w:rsid w:val="008D3906"/>
    <w:rsid w:val="008D3E25"/>
    <w:rsid w:val="008D4615"/>
    <w:rsid w:val="008D4948"/>
    <w:rsid w:val="008D5F11"/>
    <w:rsid w:val="008D612C"/>
    <w:rsid w:val="008D6C09"/>
    <w:rsid w:val="008D6CAB"/>
    <w:rsid w:val="008D7219"/>
    <w:rsid w:val="008D742A"/>
    <w:rsid w:val="008D7BF8"/>
    <w:rsid w:val="008E091D"/>
    <w:rsid w:val="008E0C9B"/>
    <w:rsid w:val="008E0E4E"/>
    <w:rsid w:val="008E17C6"/>
    <w:rsid w:val="008E1E94"/>
    <w:rsid w:val="008E4584"/>
    <w:rsid w:val="008E45B3"/>
    <w:rsid w:val="008E5356"/>
    <w:rsid w:val="008E620B"/>
    <w:rsid w:val="008F0A9D"/>
    <w:rsid w:val="008F0AD7"/>
    <w:rsid w:val="008F116A"/>
    <w:rsid w:val="008F1268"/>
    <w:rsid w:val="008F1FA9"/>
    <w:rsid w:val="008F20B4"/>
    <w:rsid w:val="008F2B4F"/>
    <w:rsid w:val="008F2E5A"/>
    <w:rsid w:val="008F315D"/>
    <w:rsid w:val="008F4408"/>
    <w:rsid w:val="008F49EB"/>
    <w:rsid w:val="008F61DC"/>
    <w:rsid w:val="008F6B40"/>
    <w:rsid w:val="008F762F"/>
    <w:rsid w:val="008F7708"/>
    <w:rsid w:val="008F79AB"/>
    <w:rsid w:val="0090026F"/>
    <w:rsid w:val="009004C9"/>
    <w:rsid w:val="009005EB"/>
    <w:rsid w:val="0090089C"/>
    <w:rsid w:val="009031F7"/>
    <w:rsid w:val="0090403F"/>
    <w:rsid w:val="00904582"/>
    <w:rsid w:val="00905DDD"/>
    <w:rsid w:val="0090656A"/>
    <w:rsid w:val="009069A9"/>
    <w:rsid w:val="00907BD2"/>
    <w:rsid w:val="00907CE9"/>
    <w:rsid w:val="00910683"/>
    <w:rsid w:val="00910BD4"/>
    <w:rsid w:val="00911091"/>
    <w:rsid w:val="009114CF"/>
    <w:rsid w:val="00911D14"/>
    <w:rsid w:val="00911F11"/>
    <w:rsid w:val="0091239C"/>
    <w:rsid w:val="00912ACC"/>
    <w:rsid w:val="00913046"/>
    <w:rsid w:val="00913223"/>
    <w:rsid w:val="00913711"/>
    <w:rsid w:val="00913D1A"/>
    <w:rsid w:val="009145E4"/>
    <w:rsid w:val="00914A0C"/>
    <w:rsid w:val="00914ABE"/>
    <w:rsid w:val="00915EB8"/>
    <w:rsid w:val="00915EF3"/>
    <w:rsid w:val="009161BD"/>
    <w:rsid w:val="00916218"/>
    <w:rsid w:val="009165F5"/>
    <w:rsid w:val="009173B6"/>
    <w:rsid w:val="00917436"/>
    <w:rsid w:val="00917755"/>
    <w:rsid w:val="0092018C"/>
    <w:rsid w:val="0092142B"/>
    <w:rsid w:val="0092173D"/>
    <w:rsid w:val="0092176D"/>
    <w:rsid w:val="009219B2"/>
    <w:rsid w:val="00921CAB"/>
    <w:rsid w:val="00922652"/>
    <w:rsid w:val="009235DE"/>
    <w:rsid w:val="00924DF4"/>
    <w:rsid w:val="00924ECF"/>
    <w:rsid w:val="0092546F"/>
    <w:rsid w:val="00925D86"/>
    <w:rsid w:val="0092609D"/>
    <w:rsid w:val="009260AB"/>
    <w:rsid w:val="00926577"/>
    <w:rsid w:val="00926E08"/>
    <w:rsid w:val="009270A3"/>
    <w:rsid w:val="00927CD3"/>
    <w:rsid w:val="00927E67"/>
    <w:rsid w:val="00927E83"/>
    <w:rsid w:val="00930E9B"/>
    <w:rsid w:val="009310DD"/>
    <w:rsid w:val="00931803"/>
    <w:rsid w:val="00931EDD"/>
    <w:rsid w:val="00932859"/>
    <w:rsid w:val="009331C8"/>
    <w:rsid w:val="00933471"/>
    <w:rsid w:val="00933A6C"/>
    <w:rsid w:val="00934539"/>
    <w:rsid w:val="00934C84"/>
    <w:rsid w:val="00935785"/>
    <w:rsid w:val="009357AF"/>
    <w:rsid w:val="00936ABE"/>
    <w:rsid w:val="00936C46"/>
    <w:rsid w:val="00936DCE"/>
    <w:rsid w:val="009379AC"/>
    <w:rsid w:val="00937B87"/>
    <w:rsid w:val="00937D17"/>
    <w:rsid w:val="00937DB4"/>
    <w:rsid w:val="00940462"/>
    <w:rsid w:val="00940D68"/>
    <w:rsid w:val="00941AC3"/>
    <w:rsid w:val="0094339C"/>
    <w:rsid w:val="0094352F"/>
    <w:rsid w:val="00944A95"/>
    <w:rsid w:val="00944D17"/>
    <w:rsid w:val="00945826"/>
    <w:rsid w:val="00945B81"/>
    <w:rsid w:val="009460CB"/>
    <w:rsid w:val="00946652"/>
    <w:rsid w:val="009466BE"/>
    <w:rsid w:val="00946D5E"/>
    <w:rsid w:val="00946EF8"/>
    <w:rsid w:val="009478A7"/>
    <w:rsid w:val="00947ACB"/>
    <w:rsid w:val="009509FB"/>
    <w:rsid w:val="00951772"/>
    <w:rsid w:val="00951A3E"/>
    <w:rsid w:val="00952747"/>
    <w:rsid w:val="00955427"/>
    <w:rsid w:val="00955F18"/>
    <w:rsid w:val="00956B86"/>
    <w:rsid w:val="0096074A"/>
    <w:rsid w:val="00961398"/>
    <w:rsid w:val="00961E37"/>
    <w:rsid w:val="00962097"/>
    <w:rsid w:val="009637A9"/>
    <w:rsid w:val="0096386A"/>
    <w:rsid w:val="00965EDB"/>
    <w:rsid w:val="009703B2"/>
    <w:rsid w:val="00970E85"/>
    <w:rsid w:val="00971D3C"/>
    <w:rsid w:val="00972FE3"/>
    <w:rsid w:val="0097308A"/>
    <w:rsid w:val="0097333E"/>
    <w:rsid w:val="00974F6E"/>
    <w:rsid w:val="00976129"/>
    <w:rsid w:val="009762A8"/>
    <w:rsid w:val="0097673D"/>
    <w:rsid w:val="00976B59"/>
    <w:rsid w:val="00977198"/>
    <w:rsid w:val="00977DFE"/>
    <w:rsid w:val="00980293"/>
    <w:rsid w:val="00981340"/>
    <w:rsid w:val="00982061"/>
    <w:rsid w:val="009821AE"/>
    <w:rsid w:val="00983F08"/>
    <w:rsid w:val="00985393"/>
    <w:rsid w:val="00986DE4"/>
    <w:rsid w:val="0098738C"/>
    <w:rsid w:val="009875F1"/>
    <w:rsid w:val="00990427"/>
    <w:rsid w:val="00991AF3"/>
    <w:rsid w:val="0099222F"/>
    <w:rsid w:val="00992D0C"/>
    <w:rsid w:val="009938C2"/>
    <w:rsid w:val="0099499F"/>
    <w:rsid w:val="009951D1"/>
    <w:rsid w:val="00995D2A"/>
    <w:rsid w:val="009963CF"/>
    <w:rsid w:val="00996BA0"/>
    <w:rsid w:val="00996D25"/>
    <w:rsid w:val="00997852"/>
    <w:rsid w:val="009A1811"/>
    <w:rsid w:val="009A2474"/>
    <w:rsid w:val="009A2736"/>
    <w:rsid w:val="009A2A14"/>
    <w:rsid w:val="009A3513"/>
    <w:rsid w:val="009A3659"/>
    <w:rsid w:val="009A36B3"/>
    <w:rsid w:val="009A3C49"/>
    <w:rsid w:val="009A3C66"/>
    <w:rsid w:val="009A400F"/>
    <w:rsid w:val="009A51B1"/>
    <w:rsid w:val="009A5C1B"/>
    <w:rsid w:val="009A5FE2"/>
    <w:rsid w:val="009B05BA"/>
    <w:rsid w:val="009B0B9A"/>
    <w:rsid w:val="009B0E46"/>
    <w:rsid w:val="009B131B"/>
    <w:rsid w:val="009B1875"/>
    <w:rsid w:val="009B1E0E"/>
    <w:rsid w:val="009B24F7"/>
    <w:rsid w:val="009B371B"/>
    <w:rsid w:val="009B3CB5"/>
    <w:rsid w:val="009B60DB"/>
    <w:rsid w:val="009B6B06"/>
    <w:rsid w:val="009B7077"/>
    <w:rsid w:val="009C0278"/>
    <w:rsid w:val="009C1580"/>
    <w:rsid w:val="009C2213"/>
    <w:rsid w:val="009C2868"/>
    <w:rsid w:val="009C2F2B"/>
    <w:rsid w:val="009C3504"/>
    <w:rsid w:val="009C46A7"/>
    <w:rsid w:val="009C4D60"/>
    <w:rsid w:val="009C5B0A"/>
    <w:rsid w:val="009C7C3F"/>
    <w:rsid w:val="009C7E80"/>
    <w:rsid w:val="009D0958"/>
    <w:rsid w:val="009D1C6B"/>
    <w:rsid w:val="009D2770"/>
    <w:rsid w:val="009D27A2"/>
    <w:rsid w:val="009D3266"/>
    <w:rsid w:val="009D4C99"/>
    <w:rsid w:val="009D4F33"/>
    <w:rsid w:val="009D65B6"/>
    <w:rsid w:val="009E0190"/>
    <w:rsid w:val="009E0AB2"/>
    <w:rsid w:val="009E2195"/>
    <w:rsid w:val="009E28D3"/>
    <w:rsid w:val="009E2CA1"/>
    <w:rsid w:val="009E2EF4"/>
    <w:rsid w:val="009E3B3D"/>
    <w:rsid w:val="009E4ECC"/>
    <w:rsid w:val="009E5ED0"/>
    <w:rsid w:val="009E627B"/>
    <w:rsid w:val="009E67C3"/>
    <w:rsid w:val="009E6B3E"/>
    <w:rsid w:val="009E72EA"/>
    <w:rsid w:val="009E7515"/>
    <w:rsid w:val="009F0044"/>
    <w:rsid w:val="009F0E58"/>
    <w:rsid w:val="009F1450"/>
    <w:rsid w:val="009F17EA"/>
    <w:rsid w:val="009F22DB"/>
    <w:rsid w:val="009F28FC"/>
    <w:rsid w:val="009F2FFB"/>
    <w:rsid w:val="009F4437"/>
    <w:rsid w:val="009F4812"/>
    <w:rsid w:val="009F5834"/>
    <w:rsid w:val="009F5C9D"/>
    <w:rsid w:val="009F6ABE"/>
    <w:rsid w:val="009F6B34"/>
    <w:rsid w:val="009F6F23"/>
    <w:rsid w:val="009F7A2A"/>
    <w:rsid w:val="009F7AFD"/>
    <w:rsid w:val="009F7B41"/>
    <w:rsid w:val="00A01234"/>
    <w:rsid w:val="00A0156D"/>
    <w:rsid w:val="00A01EC1"/>
    <w:rsid w:val="00A02736"/>
    <w:rsid w:val="00A030B7"/>
    <w:rsid w:val="00A05042"/>
    <w:rsid w:val="00A05455"/>
    <w:rsid w:val="00A05DBF"/>
    <w:rsid w:val="00A0681C"/>
    <w:rsid w:val="00A06958"/>
    <w:rsid w:val="00A07631"/>
    <w:rsid w:val="00A07736"/>
    <w:rsid w:val="00A10E96"/>
    <w:rsid w:val="00A10FE8"/>
    <w:rsid w:val="00A11093"/>
    <w:rsid w:val="00A115DB"/>
    <w:rsid w:val="00A1300D"/>
    <w:rsid w:val="00A13271"/>
    <w:rsid w:val="00A1493D"/>
    <w:rsid w:val="00A149EB"/>
    <w:rsid w:val="00A157EF"/>
    <w:rsid w:val="00A15837"/>
    <w:rsid w:val="00A16CBD"/>
    <w:rsid w:val="00A17062"/>
    <w:rsid w:val="00A1716E"/>
    <w:rsid w:val="00A172D0"/>
    <w:rsid w:val="00A17452"/>
    <w:rsid w:val="00A17ECF"/>
    <w:rsid w:val="00A2012C"/>
    <w:rsid w:val="00A20C14"/>
    <w:rsid w:val="00A20F25"/>
    <w:rsid w:val="00A21374"/>
    <w:rsid w:val="00A2149E"/>
    <w:rsid w:val="00A21726"/>
    <w:rsid w:val="00A218A8"/>
    <w:rsid w:val="00A21A45"/>
    <w:rsid w:val="00A21A7D"/>
    <w:rsid w:val="00A22BE7"/>
    <w:rsid w:val="00A22DB3"/>
    <w:rsid w:val="00A248D9"/>
    <w:rsid w:val="00A26A12"/>
    <w:rsid w:val="00A26C4D"/>
    <w:rsid w:val="00A2766B"/>
    <w:rsid w:val="00A27AB4"/>
    <w:rsid w:val="00A27ECA"/>
    <w:rsid w:val="00A3105C"/>
    <w:rsid w:val="00A31791"/>
    <w:rsid w:val="00A31D09"/>
    <w:rsid w:val="00A31E81"/>
    <w:rsid w:val="00A32781"/>
    <w:rsid w:val="00A33D1C"/>
    <w:rsid w:val="00A34B30"/>
    <w:rsid w:val="00A368E8"/>
    <w:rsid w:val="00A369E3"/>
    <w:rsid w:val="00A37F09"/>
    <w:rsid w:val="00A40C5B"/>
    <w:rsid w:val="00A40D2C"/>
    <w:rsid w:val="00A40D5E"/>
    <w:rsid w:val="00A418E1"/>
    <w:rsid w:val="00A4196B"/>
    <w:rsid w:val="00A42411"/>
    <w:rsid w:val="00A427E8"/>
    <w:rsid w:val="00A43011"/>
    <w:rsid w:val="00A443CA"/>
    <w:rsid w:val="00A44408"/>
    <w:rsid w:val="00A44526"/>
    <w:rsid w:val="00A44CBF"/>
    <w:rsid w:val="00A46267"/>
    <w:rsid w:val="00A47B93"/>
    <w:rsid w:val="00A47C71"/>
    <w:rsid w:val="00A47D11"/>
    <w:rsid w:val="00A47EBD"/>
    <w:rsid w:val="00A50012"/>
    <w:rsid w:val="00A504E0"/>
    <w:rsid w:val="00A531B5"/>
    <w:rsid w:val="00A534AE"/>
    <w:rsid w:val="00A53B7E"/>
    <w:rsid w:val="00A53D52"/>
    <w:rsid w:val="00A54375"/>
    <w:rsid w:val="00A54484"/>
    <w:rsid w:val="00A551B2"/>
    <w:rsid w:val="00A60F9F"/>
    <w:rsid w:val="00A621E0"/>
    <w:rsid w:val="00A6368A"/>
    <w:rsid w:val="00A636EF"/>
    <w:rsid w:val="00A6534F"/>
    <w:rsid w:val="00A6626F"/>
    <w:rsid w:val="00A6671D"/>
    <w:rsid w:val="00A6716C"/>
    <w:rsid w:val="00A672E5"/>
    <w:rsid w:val="00A7021E"/>
    <w:rsid w:val="00A704F6"/>
    <w:rsid w:val="00A71016"/>
    <w:rsid w:val="00A724D5"/>
    <w:rsid w:val="00A72DBC"/>
    <w:rsid w:val="00A73464"/>
    <w:rsid w:val="00A741FA"/>
    <w:rsid w:val="00A752A1"/>
    <w:rsid w:val="00A75878"/>
    <w:rsid w:val="00A76056"/>
    <w:rsid w:val="00A762BF"/>
    <w:rsid w:val="00A76B63"/>
    <w:rsid w:val="00A770A4"/>
    <w:rsid w:val="00A77924"/>
    <w:rsid w:val="00A77DAF"/>
    <w:rsid w:val="00A80AAC"/>
    <w:rsid w:val="00A80BEB"/>
    <w:rsid w:val="00A81345"/>
    <w:rsid w:val="00A827F7"/>
    <w:rsid w:val="00A82E93"/>
    <w:rsid w:val="00A83B6B"/>
    <w:rsid w:val="00A83BC5"/>
    <w:rsid w:val="00A8493D"/>
    <w:rsid w:val="00A84DF0"/>
    <w:rsid w:val="00A85D79"/>
    <w:rsid w:val="00A86100"/>
    <w:rsid w:val="00A870CB"/>
    <w:rsid w:val="00A872DF"/>
    <w:rsid w:val="00A87934"/>
    <w:rsid w:val="00A87EB8"/>
    <w:rsid w:val="00A9205D"/>
    <w:rsid w:val="00A922A0"/>
    <w:rsid w:val="00A92479"/>
    <w:rsid w:val="00A92621"/>
    <w:rsid w:val="00A92B0C"/>
    <w:rsid w:val="00A92B92"/>
    <w:rsid w:val="00A92FE0"/>
    <w:rsid w:val="00A93487"/>
    <w:rsid w:val="00A93C75"/>
    <w:rsid w:val="00A94102"/>
    <w:rsid w:val="00A94B15"/>
    <w:rsid w:val="00A94B63"/>
    <w:rsid w:val="00A94EA6"/>
    <w:rsid w:val="00A9559B"/>
    <w:rsid w:val="00AA04C4"/>
    <w:rsid w:val="00AA22E2"/>
    <w:rsid w:val="00AA232A"/>
    <w:rsid w:val="00AA416B"/>
    <w:rsid w:val="00AA46B1"/>
    <w:rsid w:val="00AA4934"/>
    <w:rsid w:val="00AA611B"/>
    <w:rsid w:val="00AA62CB"/>
    <w:rsid w:val="00AA72EB"/>
    <w:rsid w:val="00AA7894"/>
    <w:rsid w:val="00AA7EDD"/>
    <w:rsid w:val="00AB0C0C"/>
    <w:rsid w:val="00AB190A"/>
    <w:rsid w:val="00AB1BE6"/>
    <w:rsid w:val="00AB1ED5"/>
    <w:rsid w:val="00AB1FAA"/>
    <w:rsid w:val="00AB2179"/>
    <w:rsid w:val="00AB25C0"/>
    <w:rsid w:val="00AB46AE"/>
    <w:rsid w:val="00AB4803"/>
    <w:rsid w:val="00AB4BA0"/>
    <w:rsid w:val="00AB5280"/>
    <w:rsid w:val="00AB5DDF"/>
    <w:rsid w:val="00AB61ED"/>
    <w:rsid w:val="00AB643A"/>
    <w:rsid w:val="00AB665C"/>
    <w:rsid w:val="00AB67B3"/>
    <w:rsid w:val="00AB6F62"/>
    <w:rsid w:val="00AB7A0F"/>
    <w:rsid w:val="00AB7DE7"/>
    <w:rsid w:val="00AC0F48"/>
    <w:rsid w:val="00AC131F"/>
    <w:rsid w:val="00AC147E"/>
    <w:rsid w:val="00AC2838"/>
    <w:rsid w:val="00AC2887"/>
    <w:rsid w:val="00AC2891"/>
    <w:rsid w:val="00AC2D16"/>
    <w:rsid w:val="00AC339C"/>
    <w:rsid w:val="00AC3E21"/>
    <w:rsid w:val="00AC4CCD"/>
    <w:rsid w:val="00AC5447"/>
    <w:rsid w:val="00AC59BB"/>
    <w:rsid w:val="00AC668D"/>
    <w:rsid w:val="00AC6F22"/>
    <w:rsid w:val="00AD0332"/>
    <w:rsid w:val="00AD04F5"/>
    <w:rsid w:val="00AD0866"/>
    <w:rsid w:val="00AD1849"/>
    <w:rsid w:val="00AD1B55"/>
    <w:rsid w:val="00AD1DA3"/>
    <w:rsid w:val="00AD27DE"/>
    <w:rsid w:val="00AD2C6C"/>
    <w:rsid w:val="00AD335F"/>
    <w:rsid w:val="00AD410D"/>
    <w:rsid w:val="00AD4E39"/>
    <w:rsid w:val="00AD4E90"/>
    <w:rsid w:val="00AD516E"/>
    <w:rsid w:val="00AD58BE"/>
    <w:rsid w:val="00AD5D6D"/>
    <w:rsid w:val="00AE08F8"/>
    <w:rsid w:val="00AE0A3D"/>
    <w:rsid w:val="00AE129F"/>
    <w:rsid w:val="00AE1B3C"/>
    <w:rsid w:val="00AE1EAB"/>
    <w:rsid w:val="00AE316D"/>
    <w:rsid w:val="00AE3553"/>
    <w:rsid w:val="00AE37EA"/>
    <w:rsid w:val="00AE3B1E"/>
    <w:rsid w:val="00AE3D3E"/>
    <w:rsid w:val="00AE5BF8"/>
    <w:rsid w:val="00AE5DDD"/>
    <w:rsid w:val="00AE603D"/>
    <w:rsid w:val="00AE6050"/>
    <w:rsid w:val="00AE6BA7"/>
    <w:rsid w:val="00AE6E56"/>
    <w:rsid w:val="00AE7060"/>
    <w:rsid w:val="00AE7B6B"/>
    <w:rsid w:val="00AE7C28"/>
    <w:rsid w:val="00AF0485"/>
    <w:rsid w:val="00AF075D"/>
    <w:rsid w:val="00AF0C1A"/>
    <w:rsid w:val="00AF0DAF"/>
    <w:rsid w:val="00AF2F16"/>
    <w:rsid w:val="00AF3E8A"/>
    <w:rsid w:val="00AF43B0"/>
    <w:rsid w:val="00AF4AF8"/>
    <w:rsid w:val="00AF5665"/>
    <w:rsid w:val="00AF56A1"/>
    <w:rsid w:val="00AF5EE5"/>
    <w:rsid w:val="00AF6174"/>
    <w:rsid w:val="00AF6D67"/>
    <w:rsid w:val="00AF7D8B"/>
    <w:rsid w:val="00B00730"/>
    <w:rsid w:val="00B00AAB"/>
    <w:rsid w:val="00B00E90"/>
    <w:rsid w:val="00B027FC"/>
    <w:rsid w:val="00B0418A"/>
    <w:rsid w:val="00B041F4"/>
    <w:rsid w:val="00B04C69"/>
    <w:rsid w:val="00B04FE8"/>
    <w:rsid w:val="00B05B13"/>
    <w:rsid w:val="00B0790F"/>
    <w:rsid w:val="00B1010D"/>
    <w:rsid w:val="00B105DD"/>
    <w:rsid w:val="00B10735"/>
    <w:rsid w:val="00B121A2"/>
    <w:rsid w:val="00B12CC5"/>
    <w:rsid w:val="00B140CD"/>
    <w:rsid w:val="00B141EF"/>
    <w:rsid w:val="00B14A84"/>
    <w:rsid w:val="00B14CC9"/>
    <w:rsid w:val="00B1585D"/>
    <w:rsid w:val="00B15C74"/>
    <w:rsid w:val="00B1650C"/>
    <w:rsid w:val="00B16D89"/>
    <w:rsid w:val="00B17D0B"/>
    <w:rsid w:val="00B208FC"/>
    <w:rsid w:val="00B211B7"/>
    <w:rsid w:val="00B220C5"/>
    <w:rsid w:val="00B2223A"/>
    <w:rsid w:val="00B226E4"/>
    <w:rsid w:val="00B24F10"/>
    <w:rsid w:val="00B256B4"/>
    <w:rsid w:val="00B2651A"/>
    <w:rsid w:val="00B2733E"/>
    <w:rsid w:val="00B276DF"/>
    <w:rsid w:val="00B31D38"/>
    <w:rsid w:val="00B32DA1"/>
    <w:rsid w:val="00B33BDD"/>
    <w:rsid w:val="00B33E70"/>
    <w:rsid w:val="00B33F54"/>
    <w:rsid w:val="00B348C0"/>
    <w:rsid w:val="00B34FA8"/>
    <w:rsid w:val="00B364BD"/>
    <w:rsid w:val="00B37D35"/>
    <w:rsid w:val="00B401D4"/>
    <w:rsid w:val="00B401DA"/>
    <w:rsid w:val="00B4069F"/>
    <w:rsid w:val="00B40CC7"/>
    <w:rsid w:val="00B413CF"/>
    <w:rsid w:val="00B41EEF"/>
    <w:rsid w:val="00B43568"/>
    <w:rsid w:val="00B4359B"/>
    <w:rsid w:val="00B45224"/>
    <w:rsid w:val="00B45592"/>
    <w:rsid w:val="00B45AC5"/>
    <w:rsid w:val="00B46870"/>
    <w:rsid w:val="00B46A79"/>
    <w:rsid w:val="00B47521"/>
    <w:rsid w:val="00B47D3A"/>
    <w:rsid w:val="00B47EF6"/>
    <w:rsid w:val="00B47EFD"/>
    <w:rsid w:val="00B50CF9"/>
    <w:rsid w:val="00B51064"/>
    <w:rsid w:val="00B51736"/>
    <w:rsid w:val="00B534CD"/>
    <w:rsid w:val="00B5361D"/>
    <w:rsid w:val="00B53E78"/>
    <w:rsid w:val="00B5409F"/>
    <w:rsid w:val="00B5415F"/>
    <w:rsid w:val="00B54C00"/>
    <w:rsid w:val="00B54D9E"/>
    <w:rsid w:val="00B54E53"/>
    <w:rsid w:val="00B5518E"/>
    <w:rsid w:val="00B557DE"/>
    <w:rsid w:val="00B55BF8"/>
    <w:rsid w:val="00B568C9"/>
    <w:rsid w:val="00B57A3C"/>
    <w:rsid w:val="00B57C15"/>
    <w:rsid w:val="00B57CD8"/>
    <w:rsid w:val="00B57F87"/>
    <w:rsid w:val="00B60005"/>
    <w:rsid w:val="00B60320"/>
    <w:rsid w:val="00B60648"/>
    <w:rsid w:val="00B608F7"/>
    <w:rsid w:val="00B6103D"/>
    <w:rsid w:val="00B613C5"/>
    <w:rsid w:val="00B615DD"/>
    <w:rsid w:val="00B619A2"/>
    <w:rsid w:val="00B61A8A"/>
    <w:rsid w:val="00B61F29"/>
    <w:rsid w:val="00B62582"/>
    <w:rsid w:val="00B630FF"/>
    <w:rsid w:val="00B64959"/>
    <w:rsid w:val="00B64B58"/>
    <w:rsid w:val="00B656E9"/>
    <w:rsid w:val="00B65F38"/>
    <w:rsid w:val="00B669E2"/>
    <w:rsid w:val="00B66E76"/>
    <w:rsid w:val="00B66FE6"/>
    <w:rsid w:val="00B671A1"/>
    <w:rsid w:val="00B7024D"/>
    <w:rsid w:val="00B71240"/>
    <w:rsid w:val="00B7204E"/>
    <w:rsid w:val="00B73163"/>
    <w:rsid w:val="00B7355D"/>
    <w:rsid w:val="00B74100"/>
    <w:rsid w:val="00B74B6B"/>
    <w:rsid w:val="00B75060"/>
    <w:rsid w:val="00B75A7A"/>
    <w:rsid w:val="00B762AB"/>
    <w:rsid w:val="00B81F69"/>
    <w:rsid w:val="00B82A2B"/>
    <w:rsid w:val="00B82F08"/>
    <w:rsid w:val="00B830B4"/>
    <w:rsid w:val="00B836DE"/>
    <w:rsid w:val="00B83E16"/>
    <w:rsid w:val="00B843E2"/>
    <w:rsid w:val="00B8459B"/>
    <w:rsid w:val="00B84A30"/>
    <w:rsid w:val="00B84E32"/>
    <w:rsid w:val="00B85945"/>
    <w:rsid w:val="00B85980"/>
    <w:rsid w:val="00B85F02"/>
    <w:rsid w:val="00B85FF0"/>
    <w:rsid w:val="00B869AB"/>
    <w:rsid w:val="00B8775B"/>
    <w:rsid w:val="00B87813"/>
    <w:rsid w:val="00B91245"/>
    <w:rsid w:val="00B916D3"/>
    <w:rsid w:val="00B9189C"/>
    <w:rsid w:val="00B91B79"/>
    <w:rsid w:val="00B91C5F"/>
    <w:rsid w:val="00B92035"/>
    <w:rsid w:val="00B925ED"/>
    <w:rsid w:val="00B934AA"/>
    <w:rsid w:val="00B93DA5"/>
    <w:rsid w:val="00B940C0"/>
    <w:rsid w:val="00B943C2"/>
    <w:rsid w:val="00B964AD"/>
    <w:rsid w:val="00B96BA8"/>
    <w:rsid w:val="00B97019"/>
    <w:rsid w:val="00B9707C"/>
    <w:rsid w:val="00B9709B"/>
    <w:rsid w:val="00BA08CC"/>
    <w:rsid w:val="00BA0A30"/>
    <w:rsid w:val="00BA0D74"/>
    <w:rsid w:val="00BA0EAD"/>
    <w:rsid w:val="00BA152D"/>
    <w:rsid w:val="00BA1657"/>
    <w:rsid w:val="00BA2A23"/>
    <w:rsid w:val="00BA361D"/>
    <w:rsid w:val="00BA4E5B"/>
    <w:rsid w:val="00BA59FB"/>
    <w:rsid w:val="00BA5C58"/>
    <w:rsid w:val="00BA6B18"/>
    <w:rsid w:val="00BA77AF"/>
    <w:rsid w:val="00BB0505"/>
    <w:rsid w:val="00BB0B67"/>
    <w:rsid w:val="00BB21CF"/>
    <w:rsid w:val="00BB37D3"/>
    <w:rsid w:val="00BB48D2"/>
    <w:rsid w:val="00BB4EA2"/>
    <w:rsid w:val="00BB5057"/>
    <w:rsid w:val="00BB68C2"/>
    <w:rsid w:val="00BB6B08"/>
    <w:rsid w:val="00BB7909"/>
    <w:rsid w:val="00BC055B"/>
    <w:rsid w:val="00BC069C"/>
    <w:rsid w:val="00BC0B7F"/>
    <w:rsid w:val="00BC1299"/>
    <w:rsid w:val="00BC2013"/>
    <w:rsid w:val="00BC2AB3"/>
    <w:rsid w:val="00BC3257"/>
    <w:rsid w:val="00BC36FA"/>
    <w:rsid w:val="00BC45CB"/>
    <w:rsid w:val="00BC5057"/>
    <w:rsid w:val="00BC54DF"/>
    <w:rsid w:val="00BC7034"/>
    <w:rsid w:val="00BD04CF"/>
    <w:rsid w:val="00BD2814"/>
    <w:rsid w:val="00BD331E"/>
    <w:rsid w:val="00BD3A65"/>
    <w:rsid w:val="00BD3D54"/>
    <w:rsid w:val="00BD40B7"/>
    <w:rsid w:val="00BD43C9"/>
    <w:rsid w:val="00BD44BA"/>
    <w:rsid w:val="00BD4CAC"/>
    <w:rsid w:val="00BD5BCB"/>
    <w:rsid w:val="00BD64A9"/>
    <w:rsid w:val="00BD71DF"/>
    <w:rsid w:val="00BD7663"/>
    <w:rsid w:val="00BD7AC6"/>
    <w:rsid w:val="00BD7B2F"/>
    <w:rsid w:val="00BD7B5C"/>
    <w:rsid w:val="00BE0E7F"/>
    <w:rsid w:val="00BE10B3"/>
    <w:rsid w:val="00BE1DE8"/>
    <w:rsid w:val="00BE3BCD"/>
    <w:rsid w:val="00BE4C15"/>
    <w:rsid w:val="00BE5EE1"/>
    <w:rsid w:val="00BE64EE"/>
    <w:rsid w:val="00BE7434"/>
    <w:rsid w:val="00BF05C8"/>
    <w:rsid w:val="00BF05FA"/>
    <w:rsid w:val="00BF15D4"/>
    <w:rsid w:val="00BF1BD9"/>
    <w:rsid w:val="00BF208D"/>
    <w:rsid w:val="00BF2371"/>
    <w:rsid w:val="00BF25AA"/>
    <w:rsid w:val="00BF3786"/>
    <w:rsid w:val="00BF3DB6"/>
    <w:rsid w:val="00BF3F8E"/>
    <w:rsid w:val="00BF51B1"/>
    <w:rsid w:val="00BF6E08"/>
    <w:rsid w:val="00C00679"/>
    <w:rsid w:val="00C00685"/>
    <w:rsid w:val="00C00756"/>
    <w:rsid w:val="00C00978"/>
    <w:rsid w:val="00C010C7"/>
    <w:rsid w:val="00C01F58"/>
    <w:rsid w:val="00C02C1B"/>
    <w:rsid w:val="00C030EE"/>
    <w:rsid w:val="00C043B4"/>
    <w:rsid w:val="00C044D1"/>
    <w:rsid w:val="00C05943"/>
    <w:rsid w:val="00C05B8D"/>
    <w:rsid w:val="00C065A0"/>
    <w:rsid w:val="00C06CB5"/>
    <w:rsid w:val="00C07074"/>
    <w:rsid w:val="00C077B7"/>
    <w:rsid w:val="00C10618"/>
    <w:rsid w:val="00C111B7"/>
    <w:rsid w:val="00C115FF"/>
    <w:rsid w:val="00C116F6"/>
    <w:rsid w:val="00C12070"/>
    <w:rsid w:val="00C12136"/>
    <w:rsid w:val="00C127C7"/>
    <w:rsid w:val="00C13A2D"/>
    <w:rsid w:val="00C13D72"/>
    <w:rsid w:val="00C1444B"/>
    <w:rsid w:val="00C14738"/>
    <w:rsid w:val="00C14F76"/>
    <w:rsid w:val="00C15790"/>
    <w:rsid w:val="00C15F2A"/>
    <w:rsid w:val="00C16E02"/>
    <w:rsid w:val="00C173EE"/>
    <w:rsid w:val="00C17790"/>
    <w:rsid w:val="00C17E0F"/>
    <w:rsid w:val="00C207EA"/>
    <w:rsid w:val="00C2115B"/>
    <w:rsid w:val="00C2124E"/>
    <w:rsid w:val="00C21ED3"/>
    <w:rsid w:val="00C21EEA"/>
    <w:rsid w:val="00C22534"/>
    <w:rsid w:val="00C231A5"/>
    <w:rsid w:val="00C231D4"/>
    <w:rsid w:val="00C24C77"/>
    <w:rsid w:val="00C25734"/>
    <w:rsid w:val="00C266FF"/>
    <w:rsid w:val="00C26A3B"/>
    <w:rsid w:val="00C26A5A"/>
    <w:rsid w:val="00C2778D"/>
    <w:rsid w:val="00C30960"/>
    <w:rsid w:val="00C30E77"/>
    <w:rsid w:val="00C30E85"/>
    <w:rsid w:val="00C3137C"/>
    <w:rsid w:val="00C324AE"/>
    <w:rsid w:val="00C32FBE"/>
    <w:rsid w:val="00C34C03"/>
    <w:rsid w:val="00C34F90"/>
    <w:rsid w:val="00C36F63"/>
    <w:rsid w:val="00C37E33"/>
    <w:rsid w:val="00C41268"/>
    <w:rsid w:val="00C41454"/>
    <w:rsid w:val="00C41847"/>
    <w:rsid w:val="00C4274D"/>
    <w:rsid w:val="00C42851"/>
    <w:rsid w:val="00C42972"/>
    <w:rsid w:val="00C42F0A"/>
    <w:rsid w:val="00C43BBE"/>
    <w:rsid w:val="00C43D32"/>
    <w:rsid w:val="00C4416D"/>
    <w:rsid w:val="00C4466C"/>
    <w:rsid w:val="00C44AE9"/>
    <w:rsid w:val="00C44BA4"/>
    <w:rsid w:val="00C44D40"/>
    <w:rsid w:val="00C4554F"/>
    <w:rsid w:val="00C4630A"/>
    <w:rsid w:val="00C46DD6"/>
    <w:rsid w:val="00C46ECB"/>
    <w:rsid w:val="00C47430"/>
    <w:rsid w:val="00C47523"/>
    <w:rsid w:val="00C47C07"/>
    <w:rsid w:val="00C47E44"/>
    <w:rsid w:val="00C5070B"/>
    <w:rsid w:val="00C50900"/>
    <w:rsid w:val="00C50F7C"/>
    <w:rsid w:val="00C51C30"/>
    <w:rsid w:val="00C5306A"/>
    <w:rsid w:val="00C534FC"/>
    <w:rsid w:val="00C5399B"/>
    <w:rsid w:val="00C53DEB"/>
    <w:rsid w:val="00C54571"/>
    <w:rsid w:val="00C54F6F"/>
    <w:rsid w:val="00C550F8"/>
    <w:rsid w:val="00C5527C"/>
    <w:rsid w:val="00C5563E"/>
    <w:rsid w:val="00C55892"/>
    <w:rsid w:val="00C55FAC"/>
    <w:rsid w:val="00C56B56"/>
    <w:rsid w:val="00C61360"/>
    <w:rsid w:val="00C617D6"/>
    <w:rsid w:val="00C6300B"/>
    <w:rsid w:val="00C63406"/>
    <w:rsid w:val="00C6344F"/>
    <w:rsid w:val="00C63A24"/>
    <w:rsid w:val="00C63B4A"/>
    <w:rsid w:val="00C6489E"/>
    <w:rsid w:val="00C64B62"/>
    <w:rsid w:val="00C6501E"/>
    <w:rsid w:val="00C652B4"/>
    <w:rsid w:val="00C70D09"/>
    <w:rsid w:val="00C7163D"/>
    <w:rsid w:val="00C71E12"/>
    <w:rsid w:val="00C721DC"/>
    <w:rsid w:val="00C7334F"/>
    <w:rsid w:val="00C73581"/>
    <w:rsid w:val="00C73B44"/>
    <w:rsid w:val="00C73FC5"/>
    <w:rsid w:val="00C74163"/>
    <w:rsid w:val="00C74B3E"/>
    <w:rsid w:val="00C74C98"/>
    <w:rsid w:val="00C7502F"/>
    <w:rsid w:val="00C76DBD"/>
    <w:rsid w:val="00C800EC"/>
    <w:rsid w:val="00C805DC"/>
    <w:rsid w:val="00C8114E"/>
    <w:rsid w:val="00C81891"/>
    <w:rsid w:val="00C81E74"/>
    <w:rsid w:val="00C82670"/>
    <w:rsid w:val="00C827AC"/>
    <w:rsid w:val="00C830B1"/>
    <w:rsid w:val="00C83CE3"/>
    <w:rsid w:val="00C83E12"/>
    <w:rsid w:val="00C846B0"/>
    <w:rsid w:val="00C84EC4"/>
    <w:rsid w:val="00C8508D"/>
    <w:rsid w:val="00C8563D"/>
    <w:rsid w:val="00C85B04"/>
    <w:rsid w:val="00C86F03"/>
    <w:rsid w:val="00C86F2C"/>
    <w:rsid w:val="00C87692"/>
    <w:rsid w:val="00C87CBD"/>
    <w:rsid w:val="00C90AC6"/>
    <w:rsid w:val="00C91621"/>
    <w:rsid w:val="00C9287D"/>
    <w:rsid w:val="00C93231"/>
    <w:rsid w:val="00C93AEF"/>
    <w:rsid w:val="00C93E68"/>
    <w:rsid w:val="00C94075"/>
    <w:rsid w:val="00C9524E"/>
    <w:rsid w:val="00C9586C"/>
    <w:rsid w:val="00C95ADF"/>
    <w:rsid w:val="00C961E9"/>
    <w:rsid w:val="00C96A8E"/>
    <w:rsid w:val="00C96FE1"/>
    <w:rsid w:val="00C974E3"/>
    <w:rsid w:val="00C97683"/>
    <w:rsid w:val="00CA11B8"/>
    <w:rsid w:val="00CA1796"/>
    <w:rsid w:val="00CA2A13"/>
    <w:rsid w:val="00CA4A17"/>
    <w:rsid w:val="00CA4B58"/>
    <w:rsid w:val="00CA4EC0"/>
    <w:rsid w:val="00CA52E6"/>
    <w:rsid w:val="00CA6411"/>
    <w:rsid w:val="00CA693E"/>
    <w:rsid w:val="00CA6A8A"/>
    <w:rsid w:val="00CA7503"/>
    <w:rsid w:val="00CA787B"/>
    <w:rsid w:val="00CA7AAF"/>
    <w:rsid w:val="00CB013D"/>
    <w:rsid w:val="00CB09B1"/>
    <w:rsid w:val="00CB0A07"/>
    <w:rsid w:val="00CB1BF7"/>
    <w:rsid w:val="00CB2895"/>
    <w:rsid w:val="00CB2D3D"/>
    <w:rsid w:val="00CB309F"/>
    <w:rsid w:val="00CB37C7"/>
    <w:rsid w:val="00CB62E1"/>
    <w:rsid w:val="00CB6F30"/>
    <w:rsid w:val="00CB75E1"/>
    <w:rsid w:val="00CC04A5"/>
    <w:rsid w:val="00CC130D"/>
    <w:rsid w:val="00CC1976"/>
    <w:rsid w:val="00CC1998"/>
    <w:rsid w:val="00CC1A70"/>
    <w:rsid w:val="00CC1AC7"/>
    <w:rsid w:val="00CC27FF"/>
    <w:rsid w:val="00CC2AC4"/>
    <w:rsid w:val="00CC2C4F"/>
    <w:rsid w:val="00CC32A2"/>
    <w:rsid w:val="00CC3753"/>
    <w:rsid w:val="00CC4066"/>
    <w:rsid w:val="00CC41BF"/>
    <w:rsid w:val="00CC47B6"/>
    <w:rsid w:val="00CC53A8"/>
    <w:rsid w:val="00CC5662"/>
    <w:rsid w:val="00CC5AE8"/>
    <w:rsid w:val="00CC5C95"/>
    <w:rsid w:val="00CC647B"/>
    <w:rsid w:val="00CC6703"/>
    <w:rsid w:val="00CC70D8"/>
    <w:rsid w:val="00CC746C"/>
    <w:rsid w:val="00CC7594"/>
    <w:rsid w:val="00CC7F4B"/>
    <w:rsid w:val="00CD0A88"/>
    <w:rsid w:val="00CD1678"/>
    <w:rsid w:val="00CD1687"/>
    <w:rsid w:val="00CD2437"/>
    <w:rsid w:val="00CD2ADB"/>
    <w:rsid w:val="00CD2D56"/>
    <w:rsid w:val="00CD3033"/>
    <w:rsid w:val="00CD396F"/>
    <w:rsid w:val="00CD42C4"/>
    <w:rsid w:val="00CD4305"/>
    <w:rsid w:val="00CD4955"/>
    <w:rsid w:val="00CD520B"/>
    <w:rsid w:val="00CD5948"/>
    <w:rsid w:val="00CD5C89"/>
    <w:rsid w:val="00CD66DD"/>
    <w:rsid w:val="00CD6DEC"/>
    <w:rsid w:val="00CD71A5"/>
    <w:rsid w:val="00CE0869"/>
    <w:rsid w:val="00CE123A"/>
    <w:rsid w:val="00CE18FE"/>
    <w:rsid w:val="00CE2892"/>
    <w:rsid w:val="00CE354E"/>
    <w:rsid w:val="00CE382B"/>
    <w:rsid w:val="00CE3D6C"/>
    <w:rsid w:val="00CE43E6"/>
    <w:rsid w:val="00CE52FF"/>
    <w:rsid w:val="00CE5F09"/>
    <w:rsid w:val="00CF0E48"/>
    <w:rsid w:val="00CF1FFA"/>
    <w:rsid w:val="00CF2CEF"/>
    <w:rsid w:val="00CF3C4D"/>
    <w:rsid w:val="00CF696C"/>
    <w:rsid w:val="00CF6B2A"/>
    <w:rsid w:val="00CF77A2"/>
    <w:rsid w:val="00CF7B9D"/>
    <w:rsid w:val="00D0090C"/>
    <w:rsid w:val="00D01BC9"/>
    <w:rsid w:val="00D021E0"/>
    <w:rsid w:val="00D02793"/>
    <w:rsid w:val="00D02B60"/>
    <w:rsid w:val="00D03144"/>
    <w:rsid w:val="00D033E9"/>
    <w:rsid w:val="00D03947"/>
    <w:rsid w:val="00D03E2A"/>
    <w:rsid w:val="00D047CB"/>
    <w:rsid w:val="00D050D8"/>
    <w:rsid w:val="00D05B70"/>
    <w:rsid w:val="00D05E78"/>
    <w:rsid w:val="00D06010"/>
    <w:rsid w:val="00D068CC"/>
    <w:rsid w:val="00D06C06"/>
    <w:rsid w:val="00D070A4"/>
    <w:rsid w:val="00D07EA8"/>
    <w:rsid w:val="00D10377"/>
    <w:rsid w:val="00D1080B"/>
    <w:rsid w:val="00D10829"/>
    <w:rsid w:val="00D10A38"/>
    <w:rsid w:val="00D10A57"/>
    <w:rsid w:val="00D10AF8"/>
    <w:rsid w:val="00D10E12"/>
    <w:rsid w:val="00D11629"/>
    <w:rsid w:val="00D116B9"/>
    <w:rsid w:val="00D11C6C"/>
    <w:rsid w:val="00D11FBC"/>
    <w:rsid w:val="00D12C74"/>
    <w:rsid w:val="00D12CA8"/>
    <w:rsid w:val="00D12D97"/>
    <w:rsid w:val="00D13984"/>
    <w:rsid w:val="00D14A0C"/>
    <w:rsid w:val="00D14F2D"/>
    <w:rsid w:val="00D161A8"/>
    <w:rsid w:val="00D16BFE"/>
    <w:rsid w:val="00D172B6"/>
    <w:rsid w:val="00D1794B"/>
    <w:rsid w:val="00D2017D"/>
    <w:rsid w:val="00D20868"/>
    <w:rsid w:val="00D20B8F"/>
    <w:rsid w:val="00D21281"/>
    <w:rsid w:val="00D23A2C"/>
    <w:rsid w:val="00D259F1"/>
    <w:rsid w:val="00D260F8"/>
    <w:rsid w:val="00D263EC"/>
    <w:rsid w:val="00D268DA"/>
    <w:rsid w:val="00D26C01"/>
    <w:rsid w:val="00D26D27"/>
    <w:rsid w:val="00D26F5E"/>
    <w:rsid w:val="00D3037D"/>
    <w:rsid w:val="00D305FD"/>
    <w:rsid w:val="00D30AB5"/>
    <w:rsid w:val="00D311B7"/>
    <w:rsid w:val="00D3142B"/>
    <w:rsid w:val="00D333A6"/>
    <w:rsid w:val="00D34417"/>
    <w:rsid w:val="00D3490A"/>
    <w:rsid w:val="00D35F25"/>
    <w:rsid w:val="00D36563"/>
    <w:rsid w:val="00D36F8A"/>
    <w:rsid w:val="00D37635"/>
    <w:rsid w:val="00D4000A"/>
    <w:rsid w:val="00D404CA"/>
    <w:rsid w:val="00D41F21"/>
    <w:rsid w:val="00D432E5"/>
    <w:rsid w:val="00D4343E"/>
    <w:rsid w:val="00D4350C"/>
    <w:rsid w:val="00D43D45"/>
    <w:rsid w:val="00D4539E"/>
    <w:rsid w:val="00D45F35"/>
    <w:rsid w:val="00D463DF"/>
    <w:rsid w:val="00D46C53"/>
    <w:rsid w:val="00D47362"/>
    <w:rsid w:val="00D47C65"/>
    <w:rsid w:val="00D50663"/>
    <w:rsid w:val="00D50A1D"/>
    <w:rsid w:val="00D51997"/>
    <w:rsid w:val="00D522CD"/>
    <w:rsid w:val="00D52E98"/>
    <w:rsid w:val="00D52EA1"/>
    <w:rsid w:val="00D52F73"/>
    <w:rsid w:val="00D5372E"/>
    <w:rsid w:val="00D53E8A"/>
    <w:rsid w:val="00D54330"/>
    <w:rsid w:val="00D54AF5"/>
    <w:rsid w:val="00D55362"/>
    <w:rsid w:val="00D55610"/>
    <w:rsid w:val="00D55641"/>
    <w:rsid w:val="00D56922"/>
    <w:rsid w:val="00D571EC"/>
    <w:rsid w:val="00D574E6"/>
    <w:rsid w:val="00D57BEC"/>
    <w:rsid w:val="00D602DE"/>
    <w:rsid w:val="00D60313"/>
    <w:rsid w:val="00D60791"/>
    <w:rsid w:val="00D61EA6"/>
    <w:rsid w:val="00D630CD"/>
    <w:rsid w:val="00D6313B"/>
    <w:rsid w:val="00D63D65"/>
    <w:rsid w:val="00D64792"/>
    <w:rsid w:val="00D656C2"/>
    <w:rsid w:val="00D65A58"/>
    <w:rsid w:val="00D66867"/>
    <w:rsid w:val="00D668B3"/>
    <w:rsid w:val="00D67615"/>
    <w:rsid w:val="00D70211"/>
    <w:rsid w:val="00D713A8"/>
    <w:rsid w:val="00D71A27"/>
    <w:rsid w:val="00D71A5D"/>
    <w:rsid w:val="00D71C55"/>
    <w:rsid w:val="00D72CAB"/>
    <w:rsid w:val="00D72FA4"/>
    <w:rsid w:val="00D733A0"/>
    <w:rsid w:val="00D73553"/>
    <w:rsid w:val="00D74E23"/>
    <w:rsid w:val="00D75FBA"/>
    <w:rsid w:val="00D76219"/>
    <w:rsid w:val="00D76F94"/>
    <w:rsid w:val="00D7732E"/>
    <w:rsid w:val="00D774DD"/>
    <w:rsid w:val="00D7755D"/>
    <w:rsid w:val="00D7764C"/>
    <w:rsid w:val="00D7780B"/>
    <w:rsid w:val="00D80C13"/>
    <w:rsid w:val="00D81533"/>
    <w:rsid w:val="00D81E8F"/>
    <w:rsid w:val="00D81F91"/>
    <w:rsid w:val="00D82273"/>
    <w:rsid w:val="00D844D7"/>
    <w:rsid w:val="00D850CC"/>
    <w:rsid w:val="00D853AA"/>
    <w:rsid w:val="00D85DBD"/>
    <w:rsid w:val="00D86B9A"/>
    <w:rsid w:val="00D87297"/>
    <w:rsid w:val="00D87313"/>
    <w:rsid w:val="00D91300"/>
    <w:rsid w:val="00D91891"/>
    <w:rsid w:val="00D939B4"/>
    <w:rsid w:val="00D93D79"/>
    <w:rsid w:val="00D94436"/>
    <w:rsid w:val="00D94EA0"/>
    <w:rsid w:val="00D9538E"/>
    <w:rsid w:val="00D9562B"/>
    <w:rsid w:val="00D957C0"/>
    <w:rsid w:val="00D95B0D"/>
    <w:rsid w:val="00D96836"/>
    <w:rsid w:val="00D96875"/>
    <w:rsid w:val="00D97650"/>
    <w:rsid w:val="00DA140A"/>
    <w:rsid w:val="00DA185F"/>
    <w:rsid w:val="00DA2136"/>
    <w:rsid w:val="00DA2343"/>
    <w:rsid w:val="00DA2DBC"/>
    <w:rsid w:val="00DA382E"/>
    <w:rsid w:val="00DA4266"/>
    <w:rsid w:val="00DB030D"/>
    <w:rsid w:val="00DB0390"/>
    <w:rsid w:val="00DB0B1C"/>
    <w:rsid w:val="00DB392D"/>
    <w:rsid w:val="00DB3E5C"/>
    <w:rsid w:val="00DB5A11"/>
    <w:rsid w:val="00DB5ADD"/>
    <w:rsid w:val="00DB630D"/>
    <w:rsid w:val="00DC15E8"/>
    <w:rsid w:val="00DC1C79"/>
    <w:rsid w:val="00DC207B"/>
    <w:rsid w:val="00DC36CE"/>
    <w:rsid w:val="00DC53D3"/>
    <w:rsid w:val="00DC55E6"/>
    <w:rsid w:val="00DC5753"/>
    <w:rsid w:val="00DC6852"/>
    <w:rsid w:val="00DC6F06"/>
    <w:rsid w:val="00DD061D"/>
    <w:rsid w:val="00DD08DC"/>
    <w:rsid w:val="00DD1602"/>
    <w:rsid w:val="00DD1DC0"/>
    <w:rsid w:val="00DD220C"/>
    <w:rsid w:val="00DD2ADD"/>
    <w:rsid w:val="00DD2DF3"/>
    <w:rsid w:val="00DD3F99"/>
    <w:rsid w:val="00DD4409"/>
    <w:rsid w:val="00DD6757"/>
    <w:rsid w:val="00DD704D"/>
    <w:rsid w:val="00DE0EE5"/>
    <w:rsid w:val="00DE1AC4"/>
    <w:rsid w:val="00DE22C8"/>
    <w:rsid w:val="00DE34D6"/>
    <w:rsid w:val="00DE36D7"/>
    <w:rsid w:val="00DE4A1B"/>
    <w:rsid w:val="00DE4F68"/>
    <w:rsid w:val="00DE5498"/>
    <w:rsid w:val="00DE5FDD"/>
    <w:rsid w:val="00DE6D9F"/>
    <w:rsid w:val="00DE7523"/>
    <w:rsid w:val="00DE7758"/>
    <w:rsid w:val="00DE7975"/>
    <w:rsid w:val="00DE7D84"/>
    <w:rsid w:val="00DF0024"/>
    <w:rsid w:val="00DF0317"/>
    <w:rsid w:val="00DF0AAA"/>
    <w:rsid w:val="00DF0B86"/>
    <w:rsid w:val="00DF10FB"/>
    <w:rsid w:val="00DF208F"/>
    <w:rsid w:val="00DF3AE4"/>
    <w:rsid w:val="00DF406A"/>
    <w:rsid w:val="00DF453B"/>
    <w:rsid w:val="00DF4744"/>
    <w:rsid w:val="00DF4F65"/>
    <w:rsid w:val="00DF511A"/>
    <w:rsid w:val="00DF563E"/>
    <w:rsid w:val="00DF766A"/>
    <w:rsid w:val="00E017AA"/>
    <w:rsid w:val="00E01E39"/>
    <w:rsid w:val="00E02E58"/>
    <w:rsid w:val="00E03493"/>
    <w:rsid w:val="00E04AAD"/>
    <w:rsid w:val="00E0512E"/>
    <w:rsid w:val="00E055EE"/>
    <w:rsid w:val="00E05AC8"/>
    <w:rsid w:val="00E06812"/>
    <w:rsid w:val="00E06E9D"/>
    <w:rsid w:val="00E0751A"/>
    <w:rsid w:val="00E07ED8"/>
    <w:rsid w:val="00E11401"/>
    <w:rsid w:val="00E12469"/>
    <w:rsid w:val="00E129A5"/>
    <w:rsid w:val="00E139BE"/>
    <w:rsid w:val="00E147F3"/>
    <w:rsid w:val="00E15D83"/>
    <w:rsid w:val="00E165BC"/>
    <w:rsid w:val="00E17620"/>
    <w:rsid w:val="00E20504"/>
    <w:rsid w:val="00E20785"/>
    <w:rsid w:val="00E21105"/>
    <w:rsid w:val="00E21B0C"/>
    <w:rsid w:val="00E22206"/>
    <w:rsid w:val="00E25381"/>
    <w:rsid w:val="00E2541E"/>
    <w:rsid w:val="00E255BC"/>
    <w:rsid w:val="00E255D6"/>
    <w:rsid w:val="00E25A9C"/>
    <w:rsid w:val="00E25B3B"/>
    <w:rsid w:val="00E26270"/>
    <w:rsid w:val="00E27EDF"/>
    <w:rsid w:val="00E30057"/>
    <w:rsid w:val="00E30D0B"/>
    <w:rsid w:val="00E31F90"/>
    <w:rsid w:val="00E32CC6"/>
    <w:rsid w:val="00E335EE"/>
    <w:rsid w:val="00E33E59"/>
    <w:rsid w:val="00E34046"/>
    <w:rsid w:val="00E340A8"/>
    <w:rsid w:val="00E344E1"/>
    <w:rsid w:val="00E34784"/>
    <w:rsid w:val="00E35557"/>
    <w:rsid w:val="00E35A38"/>
    <w:rsid w:val="00E35D30"/>
    <w:rsid w:val="00E36144"/>
    <w:rsid w:val="00E420F0"/>
    <w:rsid w:val="00E42368"/>
    <w:rsid w:val="00E4247D"/>
    <w:rsid w:val="00E43028"/>
    <w:rsid w:val="00E43049"/>
    <w:rsid w:val="00E433C9"/>
    <w:rsid w:val="00E43551"/>
    <w:rsid w:val="00E43BC5"/>
    <w:rsid w:val="00E43BEE"/>
    <w:rsid w:val="00E43D9A"/>
    <w:rsid w:val="00E43DE4"/>
    <w:rsid w:val="00E44502"/>
    <w:rsid w:val="00E44741"/>
    <w:rsid w:val="00E4494F"/>
    <w:rsid w:val="00E4496F"/>
    <w:rsid w:val="00E45560"/>
    <w:rsid w:val="00E45A06"/>
    <w:rsid w:val="00E46EBB"/>
    <w:rsid w:val="00E47A39"/>
    <w:rsid w:val="00E47A75"/>
    <w:rsid w:val="00E47C17"/>
    <w:rsid w:val="00E47C5F"/>
    <w:rsid w:val="00E47E1C"/>
    <w:rsid w:val="00E5056B"/>
    <w:rsid w:val="00E51818"/>
    <w:rsid w:val="00E519C5"/>
    <w:rsid w:val="00E53278"/>
    <w:rsid w:val="00E53AA4"/>
    <w:rsid w:val="00E5488E"/>
    <w:rsid w:val="00E56F57"/>
    <w:rsid w:val="00E606A0"/>
    <w:rsid w:val="00E61DF0"/>
    <w:rsid w:val="00E61FE8"/>
    <w:rsid w:val="00E624B0"/>
    <w:rsid w:val="00E62645"/>
    <w:rsid w:val="00E62A33"/>
    <w:rsid w:val="00E63F49"/>
    <w:rsid w:val="00E64B78"/>
    <w:rsid w:val="00E6541A"/>
    <w:rsid w:val="00E65C2E"/>
    <w:rsid w:val="00E66072"/>
    <w:rsid w:val="00E6669F"/>
    <w:rsid w:val="00E669CF"/>
    <w:rsid w:val="00E66A1C"/>
    <w:rsid w:val="00E6789E"/>
    <w:rsid w:val="00E67B19"/>
    <w:rsid w:val="00E67CA1"/>
    <w:rsid w:val="00E67DED"/>
    <w:rsid w:val="00E70160"/>
    <w:rsid w:val="00E70310"/>
    <w:rsid w:val="00E70B32"/>
    <w:rsid w:val="00E719B4"/>
    <w:rsid w:val="00E71B3F"/>
    <w:rsid w:val="00E72022"/>
    <w:rsid w:val="00E72C4A"/>
    <w:rsid w:val="00E72F01"/>
    <w:rsid w:val="00E736F5"/>
    <w:rsid w:val="00E73C69"/>
    <w:rsid w:val="00E743C5"/>
    <w:rsid w:val="00E74D4E"/>
    <w:rsid w:val="00E753ED"/>
    <w:rsid w:val="00E75CA3"/>
    <w:rsid w:val="00E766DD"/>
    <w:rsid w:val="00E76F53"/>
    <w:rsid w:val="00E77CC8"/>
    <w:rsid w:val="00E8096E"/>
    <w:rsid w:val="00E80C17"/>
    <w:rsid w:val="00E81AE9"/>
    <w:rsid w:val="00E81FCB"/>
    <w:rsid w:val="00E82F2D"/>
    <w:rsid w:val="00E8388D"/>
    <w:rsid w:val="00E83899"/>
    <w:rsid w:val="00E83E09"/>
    <w:rsid w:val="00E85187"/>
    <w:rsid w:val="00E859E3"/>
    <w:rsid w:val="00E86E9E"/>
    <w:rsid w:val="00E87477"/>
    <w:rsid w:val="00E87E9F"/>
    <w:rsid w:val="00E903AA"/>
    <w:rsid w:val="00E90491"/>
    <w:rsid w:val="00E91143"/>
    <w:rsid w:val="00E91265"/>
    <w:rsid w:val="00E91F8B"/>
    <w:rsid w:val="00E920DF"/>
    <w:rsid w:val="00E9279E"/>
    <w:rsid w:val="00E92E25"/>
    <w:rsid w:val="00E94998"/>
    <w:rsid w:val="00E95543"/>
    <w:rsid w:val="00E95697"/>
    <w:rsid w:val="00E957B8"/>
    <w:rsid w:val="00E95934"/>
    <w:rsid w:val="00E9601F"/>
    <w:rsid w:val="00E9647E"/>
    <w:rsid w:val="00E969ED"/>
    <w:rsid w:val="00E97118"/>
    <w:rsid w:val="00E97171"/>
    <w:rsid w:val="00E974F1"/>
    <w:rsid w:val="00E977EA"/>
    <w:rsid w:val="00E97B9B"/>
    <w:rsid w:val="00EA00F3"/>
    <w:rsid w:val="00EA0543"/>
    <w:rsid w:val="00EA15EB"/>
    <w:rsid w:val="00EA2631"/>
    <w:rsid w:val="00EA2A01"/>
    <w:rsid w:val="00EA2DDC"/>
    <w:rsid w:val="00EA32C0"/>
    <w:rsid w:val="00EA3589"/>
    <w:rsid w:val="00EA3C6A"/>
    <w:rsid w:val="00EA4594"/>
    <w:rsid w:val="00EA4695"/>
    <w:rsid w:val="00EA4B0A"/>
    <w:rsid w:val="00EA60DF"/>
    <w:rsid w:val="00EA6F2F"/>
    <w:rsid w:val="00EA713A"/>
    <w:rsid w:val="00EB0225"/>
    <w:rsid w:val="00EB0B9B"/>
    <w:rsid w:val="00EB1572"/>
    <w:rsid w:val="00EB17A4"/>
    <w:rsid w:val="00EB22C5"/>
    <w:rsid w:val="00EB282A"/>
    <w:rsid w:val="00EB2866"/>
    <w:rsid w:val="00EB3679"/>
    <w:rsid w:val="00EB4046"/>
    <w:rsid w:val="00EB4340"/>
    <w:rsid w:val="00EB448C"/>
    <w:rsid w:val="00EB547E"/>
    <w:rsid w:val="00EB73B1"/>
    <w:rsid w:val="00EC05F4"/>
    <w:rsid w:val="00EC0CAB"/>
    <w:rsid w:val="00EC191E"/>
    <w:rsid w:val="00EC1A30"/>
    <w:rsid w:val="00EC1EE6"/>
    <w:rsid w:val="00EC26D5"/>
    <w:rsid w:val="00EC3929"/>
    <w:rsid w:val="00EC3A09"/>
    <w:rsid w:val="00EC42B1"/>
    <w:rsid w:val="00EC47F6"/>
    <w:rsid w:val="00EC6552"/>
    <w:rsid w:val="00EC7117"/>
    <w:rsid w:val="00EC7975"/>
    <w:rsid w:val="00EC7A1E"/>
    <w:rsid w:val="00EC7EAC"/>
    <w:rsid w:val="00EC7FC7"/>
    <w:rsid w:val="00ED00CB"/>
    <w:rsid w:val="00ED07BB"/>
    <w:rsid w:val="00ED0EF8"/>
    <w:rsid w:val="00ED0FD3"/>
    <w:rsid w:val="00ED137B"/>
    <w:rsid w:val="00ED36B4"/>
    <w:rsid w:val="00ED3E1A"/>
    <w:rsid w:val="00ED5166"/>
    <w:rsid w:val="00ED57E8"/>
    <w:rsid w:val="00ED79F5"/>
    <w:rsid w:val="00EE0416"/>
    <w:rsid w:val="00EE088F"/>
    <w:rsid w:val="00EE08DB"/>
    <w:rsid w:val="00EE19E8"/>
    <w:rsid w:val="00EE2B56"/>
    <w:rsid w:val="00EE40FE"/>
    <w:rsid w:val="00EE4C25"/>
    <w:rsid w:val="00EE4F77"/>
    <w:rsid w:val="00EE67D1"/>
    <w:rsid w:val="00EF017F"/>
    <w:rsid w:val="00EF02EB"/>
    <w:rsid w:val="00EF1F25"/>
    <w:rsid w:val="00EF2AF4"/>
    <w:rsid w:val="00EF30A0"/>
    <w:rsid w:val="00EF3980"/>
    <w:rsid w:val="00EF3ECB"/>
    <w:rsid w:val="00EF43C3"/>
    <w:rsid w:val="00EF4AA7"/>
    <w:rsid w:val="00EF4B3A"/>
    <w:rsid w:val="00EF778D"/>
    <w:rsid w:val="00F00038"/>
    <w:rsid w:val="00F001D2"/>
    <w:rsid w:val="00F00FF1"/>
    <w:rsid w:val="00F01A48"/>
    <w:rsid w:val="00F01F9A"/>
    <w:rsid w:val="00F0246D"/>
    <w:rsid w:val="00F02A11"/>
    <w:rsid w:val="00F02D57"/>
    <w:rsid w:val="00F033C6"/>
    <w:rsid w:val="00F039ED"/>
    <w:rsid w:val="00F03CD4"/>
    <w:rsid w:val="00F0456D"/>
    <w:rsid w:val="00F0470A"/>
    <w:rsid w:val="00F05B4C"/>
    <w:rsid w:val="00F05E7E"/>
    <w:rsid w:val="00F06E00"/>
    <w:rsid w:val="00F070D4"/>
    <w:rsid w:val="00F078CA"/>
    <w:rsid w:val="00F07FF0"/>
    <w:rsid w:val="00F10E9E"/>
    <w:rsid w:val="00F10FEC"/>
    <w:rsid w:val="00F114C2"/>
    <w:rsid w:val="00F11B18"/>
    <w:rsid w:val="00F11E6B"/>
    <w:rsid w:val="00F12304"/>
    <w:rsid w:val="00F12311"/>
    <w:rsid w:val="00F127BD"/>
    <w:rsid w:val="00F12BB3"/>
    <w:rsid w:val="00F13106"/>
    <w:rsid w:val="00F1319F"/>
    <w:rsid w:val="00F133A5"/>
    <w:rsid w:val="00F135DC"/>
    <w:rsid w:val="00F14680"/>
    <w:rsid w:val="00F14C89"/>
    <w:rsid w:val="00F14CD4"/>
    <w:rsid w:val="00F15ECD"/>
    <w:rsid w:val="00F16A25"/>
    <w:rsid w:val="00F17A60"/>
    <w:rsid w:val="00F17C41"/>
    <w:rsid w:val="00F20119"/>
    <w:rsid w:val="00F2166A"/>
    <w:rsid w:val="00F21DC0"/>
    <w:rsid w:val="00F22207"/>
    <w:rsid w:val="00F22649"/>
    <w:rsid w:val="00F23174"/>
    <w:rsid w:val="00F23C01"/>
    <w:rsid w:val="00F23C4B"/>
    <w:rsid w:val="00F252B1"/>
    <w:rsid w:val="00F26481"/>
    <w:rsid w:val="00F26D10"/>
    <w:rsid w:val="00F2773A"/>
    <w:rsid w:val="00F30723"/>
    <w:rsid w:val="00F3098C"/>
    <w:rsid w:val="00F30CAE"/>
    <w:rsid w:val="00F312B3"/>
    <w:rsid w:val="00F318A2"/>
    <w:rsid w:val="00F3280A"/>
    <w:rsid w:val="00F32B12"/>
    <w:rsid w:val="00F32D39"/>
    <w:rsid w:val="00F34A23"/>
    <w:rsid w:val="00F34C0A"/>
    <w:rsid w:val="00F35F59"/>
    <w:rsid w:val="00F36302"/>
    <w:rsid w:val="00F363AB"/>
    <w:rsid w:val="00F368F4"/>
    <w:rsid w:val="00F36F80"/>
    <w:rsid w:val="00F37539"/>
    <w:rsid w:val="00F41424"/>
    <w:rsid w:val="00F414A8"/>
    <w:rsid w:val="00F41E4A"/>
    <w:rsid w:val="00F41F0F"/>
    <w:rsid w:val="00F42489"/>
    <w:rsid w:val="00F43482"/>
    <w:rsid w:val="00F43C49"/>
    <w:rsid w:val="00F44235"/>
    <w:rsid w:val="00F44795"/>
    <w:rsid w:val="00F45637"/>
    <w:rsid w:val="00F45859"/>
    <w:rsid w:val="00F463BC"/>
    <w:rsid w:val="00F4688D"/>
    <w:rsid w:val="00F472B2"/>
    <w:rsid w:val="00F50F0E"/>
    <w:rsid w:val="00F52605"/>
    <w:rsid w:val="00F538B6"/>
    <w:rsid w:val="00F538E3"/>
    <w:rsid w:val="00F539EF"/>
    <w:rsid w:val="00F53B32"/>
    <w:rsid w:val="00F549A6"/>
    <w:rsid w:val="00F55595"/>
    <w:rsid w:val="00F5577A"/>
    <w:rsid w:val="00F572D3"/>
    <w:rsid w:val="00F61283"/>
    <w:rsid w:val="00F61599"/>
    <w:rsid w:val="00F6205B"/>
    <w:rsid w:val="00F62519"/>
    <w:rsid w:val="00F635AA"/>
    <w:rsid w:val="00F639BC"/>
    <w:rsid w:val="00F64790"/>
    <w:rsid w:val="00F65104"/>
    <w:rsid w:val="00F6543A"/>
    <w:rsid w:val="00F66081"/>
    <w:rsid w:val="00F67582"/>
    <w:rsid w:val="00F67A4D"/>
    <w:rsid w:val="00F67FBF"/>
    <w:rsid w:val="00F715DB"/>
    <w:rsid w:val="00F7207F"/>
    <w:rsid w:val="00F725F7"/>
    <w:rsid w:val="00F72944"/>
    <w:rsid w:val="00F72E7C"/>
    <w:rsid w:val="00F744CF"/>
    <w:rsid w:val="00F74687"/>
    <w:rsid w:val="00F7472D"/>
    <w:rsid w:val="00F74FA0"/>
    <w:rsid w:val="00F7565E"/>
    <w:rsid w:val="00F75E82"/>
    <w:rsid w:val="00F76921"/>
    <w:rsid w:val="00F8054B"/>
    <w:rsid w:val="00F80E1C"/>
    <w:rsid w:val="00F80F43"/>
    <w:rsid w:val="00F810C4"/>
    <w:rsid w:val="00F81AF3"/>
    <w:rsid w:val="00F84136"/>
    <w:rsid w:val="00F84539"/>
    <w:rsid w:val="00F847BC"/>
    <w:rsid w:val="00F849B4"/>
    <w:rsid w:val="00F8501A"/>
    <w:rsid w:val="00F85399"/>
    <w:rsid w:val="00F856CF"/>
    <w:rsid w:val="00F85F86"/>
    <w:rsid w:val="00F8600A"/>
    <w:rsid w:val="00F86407"/>
    <w:rsid w:val="00F90324"/>
    <w:rsid w:val="00F90E6F"/>
    <w:rsid w:val="00F91320"/>
    <w:rsid w:val="00F91913"/>
    <w:rsid w:val="00F922E8"/>
    <w:rsid w:val="00F92448"/>
    <w:rsid w:val="00F94BBB"/>
    <w:rsid w:val="00F95338"/>
    <w:rsid w:val="00F95C60"/>
    <w:rsid w:val="00F968AC"/>
    <w:rsid w:val="00F9699B"/>
    <w:rsid w:val="00F972D2"/>
    <w:rsid w:val="00F976AA"/>
    <w:rsid w:val="00F97DCD"/>
    <w:rsid w:val="00FA00F8"/>
    <w:rsid w:val="00FA15F3"/>
    <w:rsid w:val="00FA2148"/>
    <w:rsid w:val="00FA5159"/>
    <w:rsid w:val="00FA51F1"/>
    <w:rsid w:val="00FA5C92"/>
    <w:rsid w:val="00FA678B"/>
    <w:rsid w:val="00FA6BEB"/>
    <w:rsid w:val="00FA7E61"/>
    <w:rsid w:val="00FB0D72"/>
    <w:rsid w:val="00FB11EE"/>
    <w:rsid w:val="00FB1328"/>
    <w:rsid w:val="00FB1509"/>
    <w:rsid w:val="00FB1542"/>
    <w:rsid w:val="00FB18B4"/>
    <w:rsid w:val="00FB1F4D"/>
    <w:rsid w:val="00FB2810"/>
    <w:rsid w:val="00FB2F26"/>
    <w:rsid w:val="00FB342D"/>
    <w:rsid w:val="00FB4484"/>
    <w:rsid w:val="00FB4ACB"/>
    <w:rsid w:val="00FB4F32"/>
    <w:rsid w:val="00FB4F69"/>
    <w:rsid w:val="00FB5F8B"/>
    <w:rsid w:val="00FB7A2F"/>
    <w:rsid w:val="00FC0458"/>
    <w:rsid w:val="00FC10A3"/>
    <w:rsid w:val="00FC161C"/>
    <w:rsid w:val="00FC20BC"/>
    <w:rsid w:val="00FC47A1"/>
    <w:rsid w:val="00FC4B18"/>
    <w:rsid w:val="00FC5561"/>
    <w:rsid w:val="00FC5B7A"/>
    <w:rsid w:val="00FC5E9E"/>
    <w:rsid w:val="00FC6E39"/>
    <w:rsid w:val="00FC6F73"/>
    <w:rsid w:val="00FC7B2A"/>
    <w:rsid w:val="00FD015F"/>
    <w:rsid w:val="00FD1420"/>
    <w:rsid w:val="00FD18FF"/>
    <w:rsid w:val="00FD1B6F"/>
    <w:rsid w:val="00FD2B90"/>
    <w:rsid w:val="00FD3227"/>
    <w:rsid w:val="00FD355A"/>
    <w:rsid w:val="00FD578C"/>
    <w:rsid w:val="00FD63C1"/>
    <w:rsid w:val="00FD63EB"/>
    <w:rsid w:val="00FD6997"/>
    <w:rsid w:val="00FD6E01"/>
    <w:rsid w:val="00FD74BD"/>
    <w:rsid w:val="00FD7B5E"/>
    <w:rsid w:val="00FE12D7"/>
    <w:rsid w:val="00FE1D24"/>
    <w:rsid w:val="00FE3726"/>
    <w:rsid w:val="00FE4301"/>
    <w:rsid w:val="00FE4B5D"/>
    <w:rsid w:val="00FE5042"/>
    <w:rsid w:val="00FE5342"/>
    <w:rsid w:val="00FE55A9"/>
    <w:rsid w:val="00FE55B4"/>
    <w:rsid w:val="00FE675E"/>
    <w:rsid w:val="00FE6DE3"/>
    <w:rsid w:val="00FE741D"/>
    <w:rsid w:val="00FE79C0"/>
    <w:rsid w:val="00FF00B0"/>
    <w:rsid w:val="00FF060A"/>
    <w:rsid w:val="00FF09CE"/>
    <w:rsid w:val="00FF0FE9"/>
    <w:rsid w:val="00FF1C57"/>
    <w:rsid w:val="00FF1DB6"/>
    <w:rsid w:val="00FF2A4C"/>
    <w:rsid w:val="00FF2B5F"/>
    <w:rsid w:val="00FF3E9E"/>
    <w:rsid w:val="00FF4B6C"/>
    <w:rsid w:val="00FF4D97"/>
    <w:rsid w:val="00FF5066"/>
    <w:rsid w:val="00FF50D4"/>
    <w:rsid w:val="00FF5286"/>
    <w:rsid w:val="00FF587C"/>
    <w:rsid w:val="00FF5CF5"/>
    <w:rsid w:val="00FF5F13"/>
    <w:rsid w:val="00FF643A"/>
    <w:rsid w:val="00FF64DC"/>
    <w:rsid w:val="00FF6C09"/>
    <w:rsid w:val="00FF6D12"/>
    <w:rsid w:val="00FF6D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577C1"/>
    <w:pPr>
      <w:spacing w:before="120" w:after="120"/>
      <w:jc w:val="both"/>
    </w:pPr>
    <w:rPr>
      <w:rFonts w:ascii="Arial Narrow" w:hAnsi="Arial Narrow"/>
      <w:sz w:val="24"/>
      <w:szCs w:val="24"/>
      <w:lang w:eastAsia="en-GB"/>
    </w:rPr>
  </w:style>
  <w:style w:type="paragraph" w:styleId="Heading1">
    <w:name w:val="heading 1"/>
    <w:basedOn w:val="Normal"/>
    <w:next w:val="Normal"/>
    <w:qFormat/>
    <w:rsid w:val="00F07FF0"/>
    <w:pPr>
      <w:tabs>
        <w:tab w:val="left" w:pos="-720"/>
      </w:tabs>
      <w:suppressAutoHyphens/>
      <w:spacing w:before="0"/>
      <w:outlineLvl w:val="0"/>
    </w:pPr>
    <w:rPr>
      <w:rFonts w:ascii="Arial" w:hAnsi="Arial" w:cs="Arial"/>
      <w:b/>
      <w:spacing w:val="-2"/>
      <w:sz w:val="28"/>
      <w:szCs w:val="28"/>
      <w:lang w:eastAsia="en-US"/>
    </w:rPr>
  </w:style>
  <w:style w:type="paragraph" w:styleId="Heading2">
    <w:name w:val="heading 2"/>
    <w:basedOn w:val="Normal"/>
    <w:next w:val="Normal"/>
    <w:qFormat/>
    <w:rsid w:val="00F07FF0"/>
    <w:pPr>
      <w:autoSpaceDE w:val="0"/>
      <w:autoSpaceDN w:val="0"/>
      <w:adjustRightInd w:val="0"/>
      <w:outlineLvl w:val="1"/>
    </w:pPr>
    <w:rPr>
      <w:rFonts w:ascii="Arial" w:hAnsi="Arial" w:cs="Arial"/>
      <w:b/>
      <w:color w:val="000000"/>
      <w:lang w:val="en-GB"/>
    </w:rPr>
  </w:style>
  <w:style w:type="paragraph" w:styleId="Heading3">
    <w:name w:val="heading 3"/>
    <w:basedOn w:val="Heading2"/>
    <w:next w:val="Normal"/>
    <w:link w:val="Heading3Char"/>
    <w:qFormat/>
    <w:rsid w:val="00F07FF0"/>
    <w:pPr>
      <w:outlineLvl w:val="2"/>
    </w:pPr>
    <w:rPr>
      <w:i/>
      <w:sz w:val="22"/>
      <w:szCs w:val="22"/>
    </w:rPr>
  </w:style>
  <w:style w:type="paragraph" w:styleId="Heading4">
    <w:name w:val="heading 4"/>
    <w:basedOn w:val="Normal"/>
    <w:next w:val="Normal"/>
    <w:link w:val="Heading4Char"/>
    <w:semiHidden/>
    <w:unhideWhenUsed/>
    <w:qFormat/>
    <w:rsid w:val="000560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726FC7"/>
    <w:pPr>
      <w:tabs>
        <w:tab w:val="right" w:leader="dot" w:pos="9072"/>
      </w:tabs>
      <w:spacing w:before="0"/>
    </w:pPr>
    <w:rPr>
      <w:rFonts w:ascii="Arial" w:hAnsi="Arial" w:cs="Tahoma"/>
      <w:noProof/>
      <w:sz w:val="22"/>
      <w:szCs w:val="22"/>
    </w:rPr>
  </w:style>
  <w:style w:type="character" w:styleId="Hyperlink">
    <w:name w:val="Hyperlink"/>
    <w:uiPriority w:val="99"/>
    <w:rsid w:val="003E2E9B"/>
    <w:rPr>
      <w:color w:val="0000FF"/>
      <w:u w:val="single"/>
    </w:rPr>
  </w:style>
  <w:style w:type="paragraph" w:styleId="Header">
    <w:name w:val="header"/>
    <w:basedOn w:val="Normal"/>
    <w:link w:val="HeaderChar"/>
    <w:rsid w:val="003E2E9B"/>
    <w:pPr>
      <w:tabs>
        <w:tab w:val="center" w:pos="4153"/>
        <w:tab w:val="right" w:pos="8306"/>
      </w:tabs>
    </w:pPr>
  </w:style>
  <w:style w:type="paragraph" w:styleId="Footer">
    <w:name w:val="footer"/>
    <w:basedOn w:val="Normal"/>
    <w:link w:val="FooterChar"/>
    <w:uiPriority w:val="99"/>
    <w:rsid w:val="003E2E9B"/>
    <w:pPr>
      <w:tabs>
        <w:tab w:val="center" w:pos="4153"/>
        <w:tab w:val="right" w:pos="8306"/>
      </w:tabs>
    </w:pPr>
  </w:style>
  <w:style w:type="character" w:styleId="PageNumber">
    <w:name w:val="page number"/>
    <w:basedOn w:val="DefaultParagraphFont"/>
    <w:rsid w:val="00B45592"/>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57273C"/>
    <w:rPr>
      <w:sz w:val="20"/>
      <w:szCs w:val="20"/>
      <w:lang w:eastAsia="en-US"/>
    </w:rPr>
  </w:style>
  <w:style w:type="character" w:styleId="FootnoteReference">
    <w:name w:val="footnote reference"/>
    <w:rsid w:val="0057273C"/>
    <w:rPr>
      <w:vertAlign w:val="superscript"/>
    </w:rPr>
  </w:style>
  <w:style w:type="paragraph" w:styleId="BalloonText">
    <w:name w:val="Balloon Text"/>
    <w:basedOn w:val="Normal"/>
    <w:semiHidden/>
    <w:rsid w:val="00F74FA0"/>
    <w:rPr>
      <w:rFonts w:ascii="Tahoma" w:hAnsi="Tahoma" w:cs="Tahoma"/>
      <w:sz w:val="16"/>
      <w:szCs w:val="16"/>
    </w:rPr>
  </w:style>
  <w:style w:type="paragraph" w:styleId="BodyText">
    <w:name w:val="Body Text"/>
    <w:basedOn w:val="Normal"/>
    <w:rsid w:val="00D76219"/>
  </w:style>
  <w:style w:type="paragraph" w:customStyle="1" w:styleId="ac-01-head">
    <w:name w:val="ac-01-head"/>
    <w:basedOn w:val="Normal"/>
    <w:rsid w:val="00A7021E"/>
    <w:pPr>
      <w:tabs>
        <w:tab w:val="left" w:pos="454"/>
      </w:tabs>
    </w:pPr>
    <w:rPr>
      <w:sz w:val="20"/>
      <w:szCs w:val="20"/>
      <w:lang w:val="en-GB" w:eastAsia="en-US"/>
    </w:rPr>
  </w:style>
  <w:style w:type="paragraph" w:styleId="TOC2">
    <w:name w:val="toc 2"/>
    <w:basedOn w:val="Normal"/>
    <w:next w:val="Normal"/>
    <w:autoRedefine/>
    <w:uiPriority w:val="39"/>
    <w:qFormat/>
    <w:rsid w:val="00726FC7"/>
    <w:pPr>
      <w:tabs>
        <w:tab w:val="right" w:leader="dot" w:pos="9072"/>
      </w:tabs>
      <w:spacing w:before="0"/>
      <w:ind w:left="284"/>
      <w:jc w:val="left"/>
    </w:pPr>
    <w:rPr>
      <w:rFonts w:ascii="Arial" w:hAnsi="Arial"/>
      <w:sz w:val="22"/>
    </w:rPr>
  </w:style>
  <w:style w:type="paragraph" w:customStyle="1" w:styleId="ac-01">
    <w:name w:val="ac-01"/>
    <w:basedOn w:val="Normal"/>
    <w:uiPriority w:val="99"/>
    <w:rsid w:val="005D4487"/>
    <w:pPr>
      <w:tabs>
        <w:tab w:val="left" w:pos="454"/>
      </w:tabs>
      <w:spacing w:before="240"/>
    </w:pPr>
    <w:rPr>
      <w:sz w:val="20"/>
      <w:szCs w:val="20"/>
      <w:lang w:val="en-GB" w:eastAsia="en-US"/>
    </w:rPr>
  </w:style>
  <w:style w:type="paragraph" w:customStyle="1" w:styleId="ac-contents">
    <w:name w:val="ac-contents"/>
    <w:basedOn w:val="Normal"/>
    <w:rsid w:val="005D4487"/>
    <w:pPr>
      <w:tabs>
        <w:tab w:val="left" w:pos="5387"/>
      </w:tabs>
    </w:pPr>
    <w:rPr>
      <w:sz w:val="20"/>
      <w:szCs w:val="20"/>
      <w:lang w:val="en-GB" w:eastAsia="en-US"/>
    </w:rPr>
  </w:style>
  <w:style w:type="paragraph" w:customStyle="1" w:styleId="ac-head1">
    <w:name w:val="ac-head1"/>
    <w:basedOn w:val="Normal"/>
    <w:rsid w:val="005D4487"/>
    <w:pPr>
      <w:keepNext/>
      <w:keepLines/>
      <w:suppressAutoHyphens/>
      <w:spacing w:before="360" w:after="60"/>
    </w:pPr>
    <w:rPr>
      <w:b/>
      <w:szCs w:val="20"/>
      <w:lang w:val="en-GB" w:eastAsia="en-US"/>
    </w:rPr>
  </w:style>
  <w:style w:type="paragraph" w:styleId="PlainText">
    <w:name w:val="Plain Text"/>
    <w:basedOn w:val="Normal"/>
    <w:rsid w:val="005D4487"/>
    <w:rPr>
      <w:rFonts w:ascii="Courier New" w:hAnsi="Courier New"/>
      <w:sz w:val="20"/>
      <w:szCs w:val="20"/>
      <w:lang w:val="en-US" w:eastAsia="en-US"/>
    </w:rPr>
  </w:style>
  <w:style w:type="character" w:styleId="CommentReference">
    <w:name w:val="annotation reference"/>
    <w:semiHidden/>
    <w:rsid w:val="005D4487"/>
    <w:rPr>
      <w:sz w:val="16"/>
    </w:rPr>
  </w:style>
  <w:style w:type="paragraph" w:styleId="E-mailSignature">
    <w:name w:val="E-mail Signature"/>
    <w:basedOn w:val="Normal"/>
    <w:rsid w:val="007C7708"/>
    <w:rPr>
      <w:lang w:val="en-GB"/>
    </w:rPr>
  </w:style>
  <w:style w:type="paragraph" w:styleId="CommentText">
    <w:name w:val="annotation text"/>
    <w:basedOn w:val="Normal"/>
    <w:link w:val="CommentTextChar"/>
    <w:rsid w:val="000C7E69"/>
    <w:rPr>
      <w:sz w:val="20"/>
      <w:szCs w:val="20"/>
    </w:rPr>
  </w:style>
  <w:style w:type="paragraph" w:styleId="CommentSubject">
    <w:name w:val="annotation subject"/>
    <w:basedOn w:val="CommentText"/>
    <w:next w:val="CommentText"/>
    <w:semiHidden/>
    <w:rsid w:val="000C7E69"/>
    <w:rPr>
      <w:b/>
      <w:bCs/>
    </w:rPr>
  </w:style>
  <w:style w:type="paragraph" w:customStyle="1" w:styleId="subheading">
    <w:name w:val="subheading"/>
    <w:basedOn w:val="Normal"/>
    <w:rsid w:val="004666E8"/>
    <w:pPr>
      <w:spacing w:before="100" w:beforeAutospacing="1" w:after="100" w:afterAutospacing="1"/>
    </w:pPr>
    <w:rPr>
      <w:color w:val="000000"/>
      <w:lang w:val="en-GB"/>
    </w:rPr>
  </w:style>
  <w:style w:type="paragraph" w:customStyle="1" w:styleId="bodytext0">
    <w:name w:val="bodytext"/>
    <w:basedOn w:val="Normal"/>
    <w:rsid w:val="004666E8"/>
    <w:pPr>
      <w:spacing w:before="100" w:beforeAutospacing="1" w:after="100" w:afterAutospacing="1"/>
    </w:pPr>
    <w:rPr>
      <w:color w:val="000000"/>
      <w:lang w:val="en-GB"/>
    </w:rPr>
  </w:style>
  <w:style w:type="character" w:styleId="Strong">
    <w:name w:val="Strong"/>
    <w:uiPriority w:val="22"/>
    <w:qFormat/>
    <w:rsid w:val="004666E8"/>
    <w:rPr>
      <w:b/>
      <w:bCs/>
    </w:rPr>
  </w:style>
  <w:style w:type="paragraph" w:customStyle="1" w:styleId="Bulletnrs">
    <w:name w:val="Bullet nrs"/>
    <w:basedOn w:val="Normal"/>
    <w:link w:val="BulletnrsChar"/>
    <w:qFormat/>
    <w:rsid w:val="0022283B"/>
    <w:pPr>
      <w:numPr>
        <w:numId w:val="2"/>
      </w:numPr>
    </w:pPr>
    <w:rPr>
      <w:lang w:val="en-GB"/>
    </w:rPr>
  </w:style>
  <w:style w:type="paragraph" w:customStyle="1" w:styleId="Bulletsa">
    <w:name w:val="Bullets a"/>
    <w:basedOn w:val="Normal"/>
    <w:link w:val="BulletsaChar"/>
    <w:qFormat/>
    <w:rsid w:val="005577C1"/>
    <w:pPr>
      <w:autoSpaceDE w:val="0"/>
      <w:autoSpaceDN w:val="0"/>
      <w:adjustRightInd w:val="0"/>
    </w:pPr>
    <w:rPr>
      <w:color w:val="000000"/>
      <w:lang w:val="en-GB"/>
    </w:rPr>
  </w:style>
  <w:style w:type="character" w:customStyle="1" w:styleId="BulletnrsChar">
    <w:name w:val="Bullet nrs Char"/>
    <w:link w:val="Bulletnrs"/>
    <w:rsid w:val="0022283B"/>
    <w:rPr>
      <w:rFonts w:ascii="Arial Narrow" w:hAnsi="Arial Narrow"/>
      <w:sz w:val="24"/>
      <w:szCs w:val="24"/>
      <w:lang w:val="en-GB" w:eastAsia="en-GB"/>
    </w:rPr>
  </w:style>
  <w:style w:type="paragraph" w:customStyle="1" w:styleId="Footnote">
    <w:name w:val="Footnote"/>
    <w:basedOn w:val="FootnoteText"/>
    <w:link w:val="FootnoteChar"/>
    <w:qFormat/>
    <w:rsid w:val="006845F0"/>
    <w:rPr>
      <w:rFonts w:ascii="Arial" w:hAnsi="Arial" w:cs="Arial"/>
    </w:rPr>
  </w:style>
  <w:style w:type="character" w:customStyle="1" w:styleId="BulletsaChar">
    <w:name w:val="Bullets a Char"/>
    <w:link w:val="Bulletsa"/>
    <w:rsid w:val="005577C1"/>
    <w:rPr>
      <w:rFonts w:ascii="Arial Narrow" w:hAnsi="Arial Narrow"/>
      <w:color w:val="000000"/>
      <w:sz w:val="24"/>
      <w:szCs w:val="24"/>
      <w:lang w:val="en-GB" w:eastAsia="en-GB"/>
    </w:rPr>
  </w:style>
  <w:style w:type="paragraph" w:customStyle="1" w:styleId="3rdbulleta">
    <w:name w:val="3rd bullet a"/>
    <w:basedOn w:val="Normal"/>
    <w:link w:val="3rdbulletaChar"/>
    <w:qFormat/>
    <w:rsid w:val="00FF4B6C"/>
    <w:pPr>
      <w:numPr>
        <w:numId w:val="1"/>
      </w:numPr>
      <w:tabs>
        <w:tab w:val="left" w:pos="851"/>
      </w:tabs>
      <w:autoSpaceDE w:val="0"/>
      <w:autoSpaceDN w:val="0"/>
      <w:adjustRightInd w:val="0"/>
    </w:pPr>
    <w:rPr>
      <w:rFonts w:ascii="Times New Roman" w:hAnsi="Times New Roman"/>
      <w:color w:val="00000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5577C1"/>
    <w:rPr>
      <w:lang w:val="en-ZA" w:eastAsia="en-US"/>
    </w:rPr>
  </w:style>
  <w:style w:type="character" w:customStyle="1" w:styleId="FootnoteChar">
    <w:name w:val="Footnote Char"/>
    <w:link w:val="Footnote"/>
    <w:rsid w:val="006845F0"/>
    <w:rPr>
      <w:rFonts w:ascii="Arial" w:hAnsi="Arial" w:cs="Arial"/>
      <w:lang w:eastAsia="en-US"/>
    </w:rPr>
  </w:style>
  <w:style w:type="paragraph" w:styleId="TOC3">
    <w:name w:val="toc 3"/>
    <w:basedOn w:val="Normal"/>
    <w:next w:val="Normal"/>
    <w:autoRedefine/>
    <w:uiPriority w:val="39"/>
    <w:qFormat/>
    <w:rsid w:val="00AA46B1"/>
    <w:pPr>
      <w:tabs>
        <w:tab w:val="right" w:leader="dot" w:pos="8363"/>
      </w:tabs>
      <w:spacing w:before="0"/>
      <w:ind w:left="567"/>
    </w:pPr>
    <w:rPr>
      <w:rFonts w:ascii="Arial" w:hAnsi="Arial"/>
      <w:sz w:val="22"/>
    </w:rPr>
  </w:style>
  <w:style w:type="paragraph" w:customStyle="1" w:styleId="Regularbullets">
    <w:name w:val="Regular bullets"/>
    <w:basedOn w:val="Normal"/>
    <w:link w:val="RegularbulletsChar"/>
    <w:qFormat/>
    <w:rsid w:val="003F6F8A"/>
    <w:pPr>
      <w:numPr>
        <w:numId w:val="3"/>
      </w:numPr>
    </w:pPr>
    <w:rPr>
      <w:i/>
      <w:lang w:val="en-GB"/>
    </w:rPr>
  </w:style>
  <w:style w:type="character" w:customStyle="1" w:styleId="3rdbulletaChar">
    <w:name w:val="3rd bullet a Char"/>
    <w:link w:val="3rdbulleta"/>
    <w:rsid w:val="00FF4B6C"/>
    <w:rPr>
      <w:color w:val="000000"/>
      <w:sz w:val="24"/>
      <w:szCs w:val="24"/>
      <w:lang w:val="en-GB" w:eastAsia="en-GB"/>
    </w:rPr>
  </w:style>
  <w:style w:type="paragraph" w:customStyle="1" w:styleId="Heading41">
    <w:name w:val="Heading 41"/>
    <w:basedOn w:val="Heading4"/>
    <w:next w:val="Normal"/>
    <w:link w:val="heading4Char0"/>
    <w:autoRedefine/>
    <w:qFormat/>
    <w:rsid w:val="00431E5C"/>
    <w:pPr>
      <w:widowControl w:val="0"/>
      <w:tabs>
        <w:tab w:val="right" w:leader="dot" w:pos="8363"/>
      </w:tabs>
      <w:spacing w:before="0" w:after="120"/>
      <w:ind w:left="284"/>
    </w:pPr>
    <w:rPr>
      <w:rFonts w:ascii="Times New Roman" w:hAnsi="Times New Roman"/>
      <w:b w:val="0"/>
      <w:i/>
      <w:sz w:val="24"/>
      <w:szCs w:val="24"/>
    </w:rPr>
  </w:style>
  <w:style w:type="character" w:customStyle="1" w:styleId="RegularbulletsChar">
    <w:name w:val="Regular bullets Char"/>
    <w:link w:val="Regularbullets"/>
    <w:rsid w:val="003F6F8A"/>
    <w:rPr>
      <w:rFonts w:ascii="Arial Narrow" w:hAnsi="Arial Narrow"/>
      <w:i/>
      <w:sz w:val="24"/>
      <w:szCs w:val="24"/>
      <w:lang w:val="en-GB" w:eastAsia="en-GB"/>
    </w:rPr>
  </w:style>
  <w:style w:type="paragraph" w:styleId="Subtitle">
    <w:name w:val="Subtitle"/>
    <w:basedOn w:val="Heading3"/>
    <w:next w:val="Normal"/>
    <w:link w:val="SubtitleChar"/>
    <w:qFormat/>
    <w:rsid w:val="003F6F8A"/>
    <w:rPr>
      <w:i w:val="0"/>
      <w:szCs w:val="24"/>
    </w:rPr>
  </w:style>
  <w:style w:type="character" w:customStyle="1" w:styleId="heading4Char0">
    <w:name w:val="heading 4 Char"/>
    <w:link w:val="Heading41"/>
    <w:rsid w:val="00431E5C"/>
    <w:rPr>
      <w:bCs/>
      <w:i/>
      <w:sz w:val="24"/>
      <w:szCs w:val="24"/>
      <w:lang w:eastAsia="en-GB"/>
    </w:rPr>
  </w:style>
  <w:style w:type="character" w:customStyle="1" w:styleId="SubtitleChar">
    <w:name w:val="Subtitle Char"/>
    <w:link w:val="Subtitle"/>
    <w:rsid w:val="003F6F8A"/>
    <w:rPr>
      <w:rFonts w:ascii="Arial Narrow" w:hAnsi="Arial Narrow"/>
      <w:b/>
      <w:i/>
      <w:color w:val="000000"/>
      <w:sz w:val="24"/>
      <w:szCs w:val="24"/>
    </w:rPr>
  </w:style>
  <w:style w:type="paragraph" w:customStyle="1" w:styleId="Bullets">
    <w:name w:val="Bullets"/>
    <w:basedOn w:val="Normal"/>
    <w:link w:val="BulletsChar"/>
    <w:qFormat/>
    <w:rsid w:val="00E67CA1"/>
    <w:pPr>
      <w:numPr>
        <w:numId w:val="4"/>
      </w:numPr>
    </w:pPr>
    <w:rPr>
      <w:lang w:val="en-GB"/>
    </w:rPr>
  </w:style>
  <w:style w:type="paragraph" w:customStyle="1" w:styleId="Sub-bullets">
    <w:name w:val="Sub-bullets"/>
    <w:basedOn w:val="Bullets"/>
    <w:link w:val="Sub-bulletsChar"/>
    <w:qFormat/>
    <w:rsid w:val="001964D6"/>
    <w:pPr>
      <w:numPr>
        <w:numId w:val="5"/>
      </w:numPr>
    </w:pPr>
  </w:style>
  <w:style w:type="character" w:customStyle="1" w:styleId="BulletsChar">
    <w:name w:val="Bullets Char"/>
    <w:link w:val="Bullets"/>
    <w:rsid w:val="00E67CA1"/>
    <w:rPr>
      <w:rFonts w:ascii="Arial Narrow" w:hAnsi="Arial Narrow"/>
      <w:sz w:val="24"/>
      <w:szCs w:val="24"/>
      <w:lang w:val="en-GB" w:eastAsia="en-GB"/>
    </w:rPr>
  </w:style>
  <w:style w:type="table" w:styleId="TableGrid">
    <w:name w:val="Table Grid"/>
    <w:basedOn w:val="TableNormal"/>
    <w:uiPriority w:val="59"/>
    <w:rsid w:val="00196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bulletsChar">
    <w:name w:val="Sub-bullets Char"/>
    <w:basedOn w:val="BulletsChar"/>
    <w:link w:val="Sub-bullets"/>
    <w:rsid w:val="001964D6"/>
    <w:rPr>
      <w:rFonts w:ascii="Arial Narrow" w:hAnsi="Arial Narrow"/>
      <w:sz w:val="24"/>
      <w:szCs w:val="24"/>
      <w:lang w:val="en-GB" w:eastAsia="en-GB"/>
    </w:rPr>
  </w:style>
  <w:style w:type="paragraph" w:styleId="TOCHeading">
    <w:name w:val="TOC Heading"/>
    <w:basedOn w:val="Heading1"/>
    <w:next w:val="Normal"/>
    <w:uiPriority w:val="39"/>
    <w:unhideWhenUsed/>
    <w:qFormat/>
    <w:rsid w:val="00290413"/>
    <w:pPr>
      <w:keepNext/>
      <w:keepLines/>
      <w:tabs>
        <w:tab w:val="clear" w:pos="-720"/>
      </w:tabs>
      <w:suppressAutoHyphens w:val="0"/>
      <w:spacing w:before="480" w:after="0" w:line="276" w:lineRule="auto"/>
      <w:jc w:val="left"/>
      <w:outlineLvl w:val="9"/>
    </w:pPr>
    <w:rPr>
      <w:rFonts w:ascii="Cambria" w:hAnsi="Cambria"/>
      <w:bCs/>
      <w:color w:val="365F91"/>
      <w:spacing w:val="0"/>
      <w:lang w:val="en-US"/>
    </w:rPr>
  </w:style>
  <w:style w:type="paragraph" w:customStyle="1" w:styleId="Default">
    <w:name w:val="Default"/>
    <w:rsid w:val="00E139BE"/>
    <w:pPr>
      <w:autoSpaceDE w:val="0"/>
      <w:autoSpaceDN w:val="0"/>
      <w:adjustRightInd w:val="0"/>
    </w:pPr>
    <w:rPr>
      <w:color w:val="000000"/>
      <w:sz w:val="24"/>
      <w:szCs w:val="24"/>
    </w:rPr>
  </w:style>
  <w:style w:type="paragraph" w:styleId="ListBullet2">
    <w:name w:val="List Bullet 2"/>
    <w:basedOn w:val="Normal"/>
    <w:uiPriority w:val="99"/>
    <w:unhideWhenUsed/>
    <w:rsid w:val="003A4AB9"/>
    <w:pPr>
      <w:numPr>
        <w:numId w:val="19"/>
      </w:numPr>
      <w:spacing w:before="0" w:after="200" w:line="276" w:lineRule="auto"/>
      <w:contextualSpacing/>
      <w:jc w:val="left"/>
    </w:pPr>
    <w:rPr>
      <w:rFonts w:ascii="Calibri" w:eastAsia="Calibri" w:hAnsi="Calibri"/>
      <w:sz w:val="22"/>
      <w:szCs w:val="22"/>
      <w:lang w:val="en-GB" w:eastAsia="en-ZA"/>
    </w:rPr>
  </w:style>
  <w:style w:type="paragraph" w:styleId="ListParagraph">
    <w:name w:val="List Paragraph"/>
    <w:basedOn w:val="Normal"/>
    <w:uiPriority w:val="34"/>
    <w:qFormat/>
    <w:rsid w:val="003A4AB9"/>
    <w:pPr>
      <w:spacing w:before="0" w:after="200" w:line="276" w:lineRule="auto"/>
      <w:ind w:left="720"/>
      <w:contextualSpacing/>
      <w:jc w:val="left"/>
    </w:pPr>
    <w:rPr>
      <w:rFonts w:ascii="Calibri" w:hAnsi="Calibri"/>
      <w:sz w:val="22"/>
      <w:szCs w:val="22"/>
      <w:lang w:eastAsia="en-ZA"/>
    </w:rPr>
  </w:style>
  <w:style w:type="paragraph" w:styleId="BodyText2">
    <w:name w:val="Body Text 2"/>
    <w:basedOn w:val="Normal"/>
    <w:link w:val="BodyText2Char"/>
    <w:rsid w:val="00983F08"/>
    <w:pPr>
      <w:spacing w:line="480" w:lineRule="auto"/>
    </w:pPr>
  </w:style>
  <w:style w:type="character" w:customStyle="1" w:styleId="BodyText2Char">
    <w:name w:val="Body Text 2 Char"/>
    <w:link w:val="BodyText2"/>
    <w:rsid w:val="00983F08"/>
    <w:rPr>
      <w:rFonts w:ascii="Arial Narrow" w:hAnsi="Arial Narrow"/>
      <w:sz w:val="24"/>
      <w:szCs w:val="24"/>
      <w:lang w:eastAsia="en-GB"/>
    </w:rPr>
  </w:style>
  <w:style w:type="character" w:customStyle="1" w:styleId="CommentTextChar">
    <w:name w:val="Comment Text Char"/>
    <w:link w:val="CommentText"/>
    <w:uiPriority w:val="99"/>
    <w:rsid w:val="00983F08"/>
    <w:rPr>
      <w:rFonts w:ascii="Arial Narrow" w:hAnsi="Arial Narrow"/>
      <w:lang w:eastAsia="en-GB"/>
    </w:rPr>
  </w:style>
  <w:style w:type="character" w:customStyle="1" w:styleId="HeaderChar">
    <w:name w:val="Header Char"/>
    <w:link w:val="Header"/>
    <w:rsid w:val="00983F08"/>
    <w:rPr>
      <w:rFonts w:ascii="Arial Narrow" w:hAnsi="Arial Narrow"/>
      <w:sz w:val="24"/>
      <w:szCs w:val="24"/>
      <w:lang w:eastAsia="en-GB"/>
    </w:rPr>
  </w:style>
  <w:style w:type="paragraph" w:customStyle="1" w:styleId="LG-section">
    <w:name w:val="LG-section"/>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para3">
    <w:name w:val="LG-para3"/>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a-">
    <w:name w:val="LG-a-"/>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styleId="Revision">
    <w:name w:val="Revision"/>
    <w:hidden/>
    <w:uiPriority w:val="99"/>
    <w:semiHidden/>
    <w:rsid w:val="00424EC5"/>
    <w:rPr>
      <w:rFonts w:ascii="Arial Narrow" w:hAnsi="Arial Narrow"/>
      <w:sz w:val="24"/>
      <w:szCs w:val="24"/>
      <w:lang w:eastAsia="en-GB"/>
    </w:rPr>
  </w:style>
  <w:style w:type="character" w:styleId="FollowedHyperlink">
    <w:name w:val="FollowedHyperlink"/>
    <w:rsid w:val="00D047CB"/>
    <w:rPr>
      <w:color w:val="800080"/>
      <w:u w:val="single"/>
    </w:rPr>
  </w:style>
  <w:style w:type="character" w:customStyle="1" w:styleId="NumberedParagraphCharCharChar">
    <w:name w:val="Numbered Paragraph Char Char Char"/>
    <w:link w:val="NumberedParagraphCharChar"/>
    <w:locked/>
    <w:rsid w:val="004D225B"/>
    <w:rPr>
      <w:kern w:val="8"/>
      <w:sz w:val="24"/>
      <w:szCs w:val="24"/>
      <w:lang w:val="en-US" w:eastAsia="en-US" w:bidi="he-IL"/>
    </w:rPr>
  </w:style>
  <w:style w:type="paragraph" w:customStyle="1" w:styleId="NumberedParagraphCharChar">
    <w:name w:val="Numbered Paragraph Char Char"/>
    <w:basedOn w:val="Normal"/>
    <w:link w:val="NumberedParagraphCharCharChar"/>
    <w:rsid w:val="004D225B"/>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character" w:customStyle="1" w:styleId="NumberedParagraphChar1">
    <w:name w:val="Numbered Paragraph Char1"/>
    <w:link w:val="NumberedParagraph0"/>
    <w:locked/>
    <w:rsid w:val="007B4C85"/>
    <w:rPr>
      <w:kern w:val="8"/>
      <w:sz w:val="24"/>
      <w:szCs w:val="24"/>
      <w:lang w:val="en-US" w:eastAsia="en-US" w:bidi="he-IL"/>
    </w:rPr>
  </w:style>
  <w:style w:type="paragraph" w:customStyle="1" w:styleId="NumberedParagraph0">
    <w:name w:val="Numbered Paragraph"/>
    <w:basedOn w:val="Normal"/>
    <w:link w:val="NumberedParagraphChar1"/>
    <w:rsid w:val="007B4C85"/>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paragraph" w:customStyle="1" w:styleId="Heading2NoSpacebefore">
    <w:name w:val="Heading 2No Space before"/>
    <w:basedOn w:val="Heading2"/>
    <w:rsid w:val="007B4C85"/>
    <w:pPr>
      <w:keepNext/>
      <w:keepLines/>
      <w:autoSpaceDE/>
      <w:autoSpaceDN/>
      <w:adjustRightInd/>
      <w:spacing w:before="0" w:after="0" w:line="240" w:lineRule="atLeast"/>
      <w:jc w:val="left"/>
    </w:pPr>
    <w:rPr>
      <w:bCs/>
      <w:i/>
      <w:color w:val="auto"/>
      <w:szCs w:val="20"/>
      <w:lang w:val="en-US" w:eastAsia="en-US"/>
    </w:rPr>
  </w:style>
  <w:style w:type="paragraph" w:customStyle="1" w:styleId="mainhead">
    <w:name w:val="mainhead"/>
    <w:basedOn w:val="Normal"/>
    <w:rsid w:val="00260DFD"/>
    <w:pPr>
      <w:spacing w:before="240" w:after="0" w:line="360" w:lineRule="exact"/>
      <w:jc w:val="left"/>
    </w:pPr>
    <w:rPr>
      <w:rFonts w:ascii="Times New Roman" w:hAnsi="Times New Roman"/>
      <w:b/>
      <w:sz w:val="36"/>
      <w:szCs w:val="20"/>
      <w:lang w:val="en-GB" w:eastAsia="en-US"/>
    </w:rPr>
  </w:style>
  <w:style w:type="paragraph" w:styleId="NormalWeb">
    <w:name w:val="Normal (Web)"/>
    <w:basedOn w:val="Normal"/>
    <w:uiPriority w:val="99"/>
    <w:unhideWhenUsed/>
    <w:rsid w:val="007613D9"/>
    <w:pPr>
      <w:spacing w:before="100" w:beforeAutospacing="1" w:after="100" w:afterAutospacing="1"/>
      <w:jc w:val="left"/>
    </w:pPr>
    <w:rPr>
      <w:rFonts w:ascii="Times New Roman" w:eastAsia="Calibri" w:hAnsi="Times New Roman"/>
      <w:lang w:eastAsia="en-ZA"/>
    </w:rPr>
  </w:style>
  <w:style w:type="character" w:customStyle="1" w:styleId="FooterChar">
    <w:name w:val="Footer Char"/>
    <w:link w:val="Footer"/>
    <w:uiPriority w:val="99"/>
    <w:rsid w:val="00CD5948"/>
    <w:rPr>
      <w:rFonts w:ascii="Arial Narrow" w:hAnsi="Arial Narrow"/>
      <w:sz w:val="24"/>
      <w:szCs w:val="24"/>
      <w:lang w:eastAsia="en-GB"/>
    </w:rPr>
  </w:style>
  <w:style w:type="paragraph" w:styleId="EndnoteText">
    <w:name w:val="endnote text"/>
    <w:basedOn w:val="Normal"/>
    <w:link w:val="EndnoteTextChar"/>
    <w:unhideWhenUsed/>
    <w:rsid w:val="009C5B0A"/>
    <w:pPr>
      <w:spacing w:before="0" w:after="0"/>
      <w:jc w:val="left"/>
    </w:pPr>
    <w:rPr>
      <w:rFonts w:ascii="Times New Roman" w:hAnsi="Times New Roman"/>
      <w:sz w:val="20"/>
      <w:szCs w:val="20"/>
      <w:lang w:val="en-GB"/>
    </w:rPr>
  </w:style>
  <w:style w:type="character" w:customStyle="1" w:styleId="EndnoteTextChar">
    <w:name w:val="Endnote Text Char"/>
    <w:link w:val="EndnoteText"/>
    <w:rsid w:val="009C5B0A"/>
    <w:rPr>
      <w:lang w:val="en-GB" w:eastAsia="en-GB"/>
    </w:rPr>
  </w:style>
  <w:style w:type="paragraph" w:customStyle="1" w:styleId="FSItem">
    <w:name w:val="FSItem"/>
    <w:basedOn w:val="Normal"/>
    <w:rsid w:val="009C5B0A"/>
    <w:pPr>
      <w:overflowPunct w:val="0"/>
      <w:autoSpaceDE w:val="0"/>
      <w:autoSpaceDN w:val="0"/>
      <w:adjustRightInd w:val="0"/>
      <w:spacing w:before="0" w:after="0"/>
    </w:pPr>
    <w:rPr>
      <w:rFonts w:ascii="Garamond" w:hAnsi="Garamond"/>
      <w:sz w:val="22"/>
      <w:szCs w:val="20"/>
      <w:lang w:val="en-GB" w:eastAsia="en-US"/>
    </w:rPr>
  </w:style>
  <w:style w:type="character" w:customStyle="1" w:styleId="Heading4Char">
    <w:name w:val="Heading 4 Char"/>
    <w:link w:val="Heading4"/>
    <w:semiHidden/>
    <w:rsid w:val="0005601C"/>
    <w:rPr>
      <w:rFonts w:ascii="Calibri" w:eastAsia="Times New Roman" w:hAnsi="Calibri" w:cs="Times New Roman"/>
      <w:b/>
      <w:bCs/>
      <w:sz w:val="28"/>
      <w:szCs w:val="28"/>
      <w:lang w:eastAsia="en-GB"/>
    </w:rPr>
  </w:style>
  <w:style w:type="paragraph" w:styleId="TOC5">
    <w:name w:val="toc 5"/>
    <w:basedOn w:val="Normal"/>
    <w:next w:val="Normal"/>
    <w:autoRedefine/>
    <w:uiPriority w:val="39"/>
    <w:unhideWhenUsed/>
    <w:rsid w:val="002E5AE1"/>
    <w:pPr>
      <w:spacing w:before="0" w:after="100" w:line="276" w:lineRule="auto"/>
      <w:ind w:left="880"/>
      <w:jc w:val="left"/>
    </w:pPr>
    <w:rPr>
      <w:rFonts w:ascii="Calibri" w:hAnsi="Calibri"/>
      <w:sz w:val="22"/>
      <w:szCs w:val="22"/>
      <w:lang w:eastAsia="en-ZA"/>
    </w:rPr>
  </w:style>
  <w:style w:type="paragraph" w:styleId="TOC4">
    <w:name w:val="toc 4"/>
    <w:basedOn w:val="Normal"/>
    <w:next w:val="Normal"/>
    <w:autoRedefine/>
    <w:uiPriority w:val="39"/>
    <w:qFormat/>
    <w:rsid w:val="00523C84"/>
    <w:pPr>
      <w:tabs>
        <w:tab w:val="right" w:leader="dot" w:pos="8363"/>
      </w:tabs>
      <w:spacing w:before="0"/>
      <w:ind w:left="851"/>
      <w:jc w:val="left"/>
    </w:pPr>
    <w:rPr>
      <w:rFonts w:ascii="Times New Roman" w:hAnsi="Times New Roman"/>
    </w:rPr>
  </w:style>
  <w:style w:type="paragraph" w:styleId="TOC6">
    <w:name w:val="toc 6"/>
    <w:basedOn w:val="Normal"/>
    <w:next w:val="Normal"/>
    <w:autoRedefine/>
    <w:uiPriority w:val="39"/>
    <w:unhideWhenUsed/>
    <w:rsid w:val="002E5AE1"/>
    <w:pPr>
      <w:spacing w:before="0" w:after="100" w:line="276" w:lineRule="auto"/>
      <w:ind w:left="1100"/>
      <w:jc w:val="left"/>
    </w:pPr>
    <w:rPr>
      <w:rFonts w:ascii="Calibri" w:hAnsi="Calibri"/>
      <w:sz w:val="22"/>
      <w:szCs w:val="22"/>
      <w:lang w:eastAsia="en-ZA"/>
    </w:rPr>
  </w:style>
  <w:style w:type="paragraph" w:styleId="TOC7">
    <w:name w:val="toc 7"/>
    <w:basedOn w:val="Normal"/>
    <w:next w:val="Normal"/>
    <w:autoRedefine/>
    <w:uiPriority w:val="39"/>
    <w:unhideWhenUsed/>
    <w:rsid w:val="002E5AE1"/>
    <w:pPr>
      <w:spacing w:before="0" w:after="100" w:line="276" w:lineRule="auto"/>
      <w:ind w:left="1320"/>
      <w:jc w:val="left"/>
    </w:pPr>
    <w:rPr>
      <w:rFonts w:ascii="Calibri" w:hAnsi="Calibri"/>
      <w:sz w:val="22"/>
      <w:szCs w:val="22"/>
      <w:lang w:eastAsia="en-ZA"/>
    </w:rPr>
  </w:style>
  <w:style w:type="paragraph" w:styleId="TOC8">
    <w:name w:val="toc 8"/>
    <w:basedOn w:val="Normal"/>
    <w:next w:val="Normal"/>
    <w:autoRedefine/>
    <w:uiPriority w:val="39"/>
    <w:unhideWhenUsed/>
    <w:rsid w:val="002E5AE1"/>
    <w:pPr>
      <w:spacing w:before="0" w:after="100" w:line="276" w:lineRule="auto"/>
      <w:ind w:left="1540"/>
      <w:jc w:val="left"/>
    </w:pPr>
    <w:rPr>
      <w:rFonts w:ascii="Calibri" w:hAnsi="Calibri"/>
      <w:sz w:val="22"/>
      <w:szCs w:val="22"/>
      <w:lang w:eastAsia="en-ZA"/>
    </w:rPr>
  </w:style>
  <w:style w:type="paragraph" w:styleId="TOC9">
    <w:name w:val="toc 9"/>
    <w:basedOn w:val="Normal"/>
    <w:next w:val="Normal"/>
    <w:autoRedefine/>
    <w:uiPriority w:val="39"/>
    <w:unhideWhenUsed/>
    <w:rsid w:val="002E5AE1"/>
    <w:pPr>
      <w:spacing w:before="0" w:after="100" w:line="276" w:lineRule="auto"/>
      <w:ind w:left="1760"/>
      <w:jc w:val="left"/>
    </w:pPr>
    <w:rPr>
      <w:rFonts w:ascii="Calibri" w:hAnsi="Calibri"/>
      <w:sz w:val="22"/>
      <w:szCs w:val="22"/>
      <w:lang w:eastAsia="en-ZA"/>
    </w:rPr>
  </w:style>
  <w:style w:type="character" w:styleId="EndnoteReference">
    <w:name w:val="endnote reference"/>
    <w:rsid w:val="00670856"/>
    <w:rPr>
      <w:vertAlign w:val="superscript"/>
    </w:rPr>
  </w:style>
  <w:style w:type="paragraph" w:customStyle="1" w:styleId="TOCBody">
    <w:name w:val="TOC Body"/>
    <w:basedOn w:val="Normal"/>
    <w:rsid w:val="00734257"/>
    <w:pPr>
      <w:tabs>
        <w:tab w:val="left" w:pos="360"/>
        <w:tab w:val="left" w:pos="907"/>
        <w:tab w:val="right" w:leader="dot" w:pos="6120"/>
        <w:tab w:val="right" w:pos="6840"/>
      </w:tabs>
      <w:spacing w:after="0" w:line="240" w:lineRule="exact"/>
      <w:ind w:left="360" w:hanging="360"/>
      <w:jc w:val="left"/>
    </w:pPr>
    <w:rPr>
      <w:rFonts w:ascii="Times New Roman" w:hAnsi="Times New Roman"/>
      <w:sz w:val="20"/>
      <w:szCs w:val="20"/>
      <w:lang w:val="en-US" w:eastAsia="en-US"/>
    </w:rPr>
  </w:style>
  <w:style w:type="paragraph" w:customStyle="1" w:styleId="Indent">
    <w:name w:val="Indent"/>
    <w:basedOn w:val="NumberedParagraph0"/>
    <w:link w:val="IndentChar"/>
    <w:rsid w:val="008635E2"/>
    <w:pPr>
      <w:widowControl/>
      <w:tabs>
        <w:tab w:val="clear" w:pos="312"/>
        <w:tab w:val="clear" w:pos="480"/>
        <w:tab w:val="left" w:pos="960"/>
      </w:tabs>
      <w:overflowPunct/>
      <w:autoSpaceDE/>
      <w:autoSpaceDN/>
      <w:adjustRightInd/>
      <w:spacing w:before="140"/>
      <w:ind w:left="960"/>
    </w:pPr>
  </w:style>
  <w:style w:type="character" w:customStyle="1" w:styleId="IndentChar">
    <w:name w:val="Indent Char"/>
    <w:link w:val="Indent"/>
    <w:rsid w:val="008635E2"/>
    <w:rPr>
      <w:kern w:val="8"/>
      <w:sz w:val="24"/>
      <w:szCs w:val="24"/>
      <w:lang w:val="en-US" w:eastAsia="en-US" w:bidi="he-IL"/>
    </w:rPr>
  </w:style>
  <w:style w:type="paragraph" w:customStyle="1" w:styleId="LetteredList">
    <w:name w:val="Lettered List"/>
    <w:basedOn w:val="Normal"/>
    <w:rsid w:val="00D36563"/>
    <w:pPr>
      <w:numPr>
        <w:numId w:val="94"/>
      </w:numPr>
      <w:tabs>
        <w:tab w:val="left" w:pos="1267"/>
      </w:tabs>
      <w:spacing w:after="0" w:line="240" w:lineRule="exact"/>
    </w:pPr>
    <w:rPr>
      <w:rFonts w:ascii="Times New Roman" w:hAnsi="Times New Roman"/>
      <w:sz w:val="20"/>
      <w:szCs w:val="20"/>
      <w:lang w:val="en-US" w:eastAsia="en-US"/>
    </w:rPr>
  </w:style>
  <w:style w:type="paragraph" w:customStyle="1" w:styleId="NumberedParagraph-BulletelistLeft0Firstline0">
    <w:name w:val="Numbered Paragraph - Bullete list + Left:  0&quot; First line:  0&quot;"/>
    <w:basedOn w:val="Normal"/>
    <w:rsid w:val="00D36563"/>
    <w:pPr>
      <w:numPr>
        <w:numId w:val="93"/>
      </w:numPr>
      <w:spacing w:after="0" w:line="240" w:lineRule="exact"/>
    </w:pPr>
    <w:rPr>
      <w:rFonts w:ascii="Times New Roman" w:hAnsi="Times New Roman"/>
      <w:sz w:val="20"/>
      <w:szCs w:val="20"/>
      <w:lang w:val="en-US" w:eastAsia="en-US"/>
    </w:rPr>
  </w:style>
  <w:style w:type="paragraph" w:customStyle="1" w:styleId="GovNormal">
    <w:name w:val="Gov Normal"/>
    <w:basedOn w:val="NumberedParagraph0"/>
    <w:rsid w:val="00E46EBB"/>
    <w:pPr>
      <w:widowControl/>
      <w:tabs>
        <w:tab w:val="clear" w:pos="480"/>
        <w:tab w:val="left" w:pos="540"/>
      </w:tabs>
      <w:overflowPunct/>
      <w:autoSpaceDE/>
      <w:autoSpaceDN/>
      <w:adjustRightInd/>
      <w:spacing w:before="0"/>
      <w:ind w:left="540" w:hanging="540"/>
    </w:pPr>
  </w:style>
  <w:style w:type="paragraph" w:customStyle="1" w:styleId="Govi">
    <w:name w:val="Gov (i)"/>
    <w:basedOn w:val="Normal"/>
    <w:rsid w:val="00E46EBB"/>
    <w:pPr>
      <w:tabs>
        <w:tab w:val="left" w:pos="1620"/>
      </w:tabs>
      <w:spacing w:before="0" w:after="0" w:line="280" w:lineRule="exact"/>
      <w:ind w:left="1620" w:hanging="540"/>
    </w:pPr>
    <w:rPr>
      <w:rFonts w:ascii="Times New Roman" w:hAnsi="Times New Roman"/>
      <w:kern w:val="8"/>
      <w:lang w:val="en-US" w:eastAsia="en-US" w:bidi="he-IL"/>
    </w:rPr>
  </w:style>
  <w:style w:type="paragraph" w:customStyle="1" w:styleId="BulletedListundernumpara">
    <w:name w:val="Bulleted List under num para"/>
    <w:basedOn w:val="Normal"/>
    <w:rsid w:val="00091A4A"/>
    <w:pPr>
      <w:numPr>
        <w:numId w:val="97"/>
      </w:numPr>
      <w:spacing w:after="0" w:line="240" w:lineRule="exact"/>
    </w:pPr>
    <w:rPr>
      <w:rFonts w:ascii="Times New Roman" w:hAnsi="Times New Roman"/>
      <w:kern w:val="12"/>
      <w:sz w:val="20"/>
      <w:szCs w:val="20"/>
      <w:lang w:val="en-US" w:eastAsia="en-US" w:bidi="he-IL"/>
    </w:rPr>
  </w:style>
  <w:style w:type="paragraph" w:customStyle="1" w:styleId="IndentCharCharCharCharCharCharCharCharCharCharCharCharCharCharCharChar">
    <w:name w:val="Indent Char Char Char Char Char Char Char Char Char Char Char Char Char Char Char Char"/>
    <w:basedOn w:val="Normal"/>
    <w:rsid w:val="00091A4A"/>
    <w:pPr>
      <w:widowControl w:val="0"/>
      <w:tabs>
        <w:tab w:val="left" w:pos="960"/>
      </w:tabs>
      <w:spacing w:before="140" w:after="0" w:line="240" w:lineRule="exact"/>
      <w:ind w:left="960" w:hanging="480"/>
    </w:pPr>
    <w:rPr>
      <w:rFonts w:ascii="Times New Roman" w:eastAsia="MS Mincho" w:hAnsi="Times New Roman"/>
      <w:kern w:val="28"/>
      <w:sz w:val="20"/>
      <w:szCs w:val="20"/>
      <w:lang w:val="en-US" w:eastAsia="en-US" w:bidi="he-IL"/>
    </w:rPr>
  </w:style>
  <w:style w:type="paragraph" w:customStyle="1" w:styleId="bulleted">
    <w:name w:val="bulleted"/>
    <w:basedOn w:val="Normal"/>
    <w:rsid w:val="00171767"/>
    <w:pPr>
      <w:tabs>
        <w:tab w:val="num" w:pos="1080"/>
      </w:tabs>
      <w:spacing w:after="0" w:line="240" w:lineRule="exact"/>
      <w:ind w:left="1080" w:hanging="360"/>
    </w:pPr>
    <w:rPr>
      <w:rFonts w:ascii="Times New Roman" w:hAnsi="Times New Roman"/>
      <w:kern w:val="8"/>
      <w:sz w:val="20"/>
      <w:szCs w:val="20"/>
      <w:lang w:val="en-US" w:eastAsia="en-US" w:bidi="he-IL"/>
    </w:rPr>
  </w:style>
  <w:style w:type="paragraph" w:customStyle="1" w:styleId="level3">
    <w:name w:val="level 3"/>
    <w:basedOn w:val="Normal"/>
    <w:rsid w:val="003A5A9B"/>
    <w:pPr>
      <w:spacing w:before="0" w:line="220" w:lineRule="exact"/>
      <w:ind w:left="1440" w:hanging="432"/>
    </w:pPr>
    <w:rPr>
      <w:rFonts w:ascii="Times New Roman" w:hAnsi="Times New Roman"/>
      <w:kern w:val="8"/>
      <w:sz w:val="20"/>
      <w:szCs w:val="20"/>
      <w:lang w:val="en-US" w:eastAsia="en-US" w:bidi="he-IL"/>
    </w:rPr>
  </w:style>
  <w:style w:type="paragraph" w:customStyle="1" w:styleId="numberedparagraph">
    <w:name w:val="numbered paragraph"/>
    <w:basedOn w:val="Normal"/>
    <w:rsid w:val="003A5A9B"/>
    <w:pPr>
      <w:numPr>
        <w:numId w:val="113"/>
      </w:numPr>
      <w:spacing w:before="0" w:after="0" w:line="280" w:lineRule="exact"/>
    </w:pPr>
    <w:rPr>
      <w:rFonts w:ascii="Times New Roman" w:hAnsi="Times New Roman"/>
      <w:kern w:val="8"/>
      <w:lang w:val="en-US" w:eastAsia="en-US" w:bidi="he-IL"/>
    </w:rPr>
  </w:style>
  <w:style w:type="paragraph" w:customStyle="1" w:styleId="Name">
    <w:name w:val="Name"/>
    <w:basedOn w:val="Normal"/>
    <w:rsid w:val="003A5A9B"/>
    <w:pPr>
      <w:spacing w:after="0" w:line="300" w:lineRule="exact"/>
    </w:pPr>
    <w:rPr>
      <w:rFonts w:ascii="Myriad Pro Light" w:hAnsi="Myriad Pro Light"/>
      <w:b/>
      <w:kern w:val="8"/>
      <w:sz w:val="20"/>
      <w:szCs w:val="20"/>
      <w:lang w:val="en-US" w:eastAsia="en-US" w:bidi="he-IL"/>
    </w:rPr>
  </w:style>
  <w:style w:type="paragraph" w:customStyle="1" w:styleId="NumberedParagraphISA400">
    <w:name w:val="Numbered Paragraph ISA 400"/>
    <w:basedOn w:val="Normal"/>
    <w:rsid w:val="009963CF"/>
    <w:pPr>
      <w:tabs>
        <w:tab w:val="right" w:pos="312"/>
        <w:tab w:val="left" w:pos="480"/>
      </w:tabs>
      <w:spacing w:before="0" w:after="0" w:line="280" w:lineRule="exact"/>
      <w:ind w:left="480" w:hanging="480"/>
    </w:pPr>
    <w:rPr>
      <w:rFonts w:ascii="Times New Roman" w:eastAsia="MS Mincho" w:hAnsi="Times New Roman"/>
      <w:kern w:val="8"/>
      <w:lang w:val="en-GB" w:eastAsia="en-US" w:bidi="he-IL"/>
    </w:rPr>
  </w:style>
  <w:style w:type="paragraph" w:styleId="Title">
    <w:name w:val="Title"/>
    <w:basedOn w:val="Normal"/>
    <w:link w:val="TitleChar"/>
    <w:uiPriority w:val="99"/>
    <w:qFormat/>
    <w:rsid w:val="00C800EC"/>
    <w:pPr>
      <w:spacing w:before="0"/>
      <w:jc w:val="center"/>
    </w:pPr>
    <w:rPr>
      <w:rFonts w:ascii="Times New Roman" w:hAnsi="Times New Roman"/>
      <w:b/>
      <w:sz w:val="22"/>
      <w:szCs w:val="20"/>
      <w:lang w:val="en-US"/>
    </w:rPr>
  </w:style>
  <w:style w:type="character" w:customStyle="1" w:styleId="TitleChar">
    <w:name w:val="Title Char"/>
    <w:basedOn w:val="DefaultParagraphFont"/>
    <w:link w:val="Title"/>
    <w:uiPriority w:val="99"/>
    <w:rsid w:val="00C800EC"/>
    <w:rPr>
      <w:b/>
      <w:sz w:val="22"/>
      <w:lang w:val="en-US" w:eastAsia="en-GB"/>
    </w:rPr>
  </w:style>
  <w:style w:type="character" w:styleId="Emphasis">
    <w:name w:val="Emphasis"/>
    <w:basedOn w:val="DefaultParagraphFont"/>
    <w:uiPriority w:val="20"/>
    <w:qFormat/>
    <w:rsid w:val="009C4D60"/>
    <w:rPr>
      <w:i/>
      <w:iCs/>
    </w:rPr>
  </w:style>
  <w:style w:type="character" w:customStyle="1" w:styleId="apple-converted-space">
    <w:name w:val="apple-converted-space"/>
    <w:basedOn w:val="DefaultParagraphFont"/>
    <w:rsid w:val="00527342"/>
  </w:style>
  <w:style w:type="character" w:customStyle="1" w:styleId="Heading3Char">
    <w:name w:val="Heading 3 Char"/>
    <w:basedOn w:val="DefaultParagraphFont"/>
    <w:link w:val="Heading3"/>
    <w:rsid w:val="00680AE1"/>
    <w:rPr>
      <w:rFonts w:ascii="Arial" w:hAnsi="Arial" w:cs="Arial"/>
      <w:b/>
      <w:i/>
      <w:color w:val="000000"/>
      <w:sz w:val="22"/>
      <w:szCs w:val="22"/>
      <w:lang w:val="en-GB" w:eastAsia="en-GB"/>
    </w:rPr>
  </w:style>
  <w:style w:type="paragraph" w:customStyle="1" w:styleId="lg-para30">
    <w:name w:val="lg-para3"/>
    <w:basedOn w:val="Normal"/>
    <w:rsid w:val="00D74E23"/>
    <w:pPr>
      <w:spacing w:before="100" w:beforeAutospacing="1" w:after="100" w:afterAutospacing="1"/>
      <w:jc w:val="left"/>
    </w:pPr>
    <w:rPr>
      <w:rFonts w:ascii="Times New Roman" w:hAnsi="Times New Roman"/>
      <w:lang w:val="en-US" w:eastAsia="en-US"/>
    </w:rPr>
  </w:style>
  <w:style w:type="paragraph" w:customStyle="1" w:styleId="lg-a-1">
    <w:name w:val="lg-a-1"/>
    <w:basedOn w:val="Normal"/>
    <w:rsid w:val="00D74E23"/>
    <w:pPr>
      <w:spacing w:before="100" w:beforeAutospacing="1" w:after="100" w:afterAutospacing="1"/>
      <w:jc w:val="left"/>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720">
      <w:bodyDiv w:val="1"/>
      <w:marLeft w:val="0"/>
      <w:marRight w:val="0"/>
      <w:marTop w:val="0"/>
      <w:marBottom w:val="0"/>
      <w:divBdr>
        <w:top w:val="none" w:sz="0" w:space="0" w:color="auto"/>
        <w:left w:val="none" w:sz="0" w:space="0" w:color="auto"/>
        <w:bottom w:val="none" w:sz="0" w:space="0" w:color="auto"/>
        <w:right w:val="none" w:sz="0" w:space="0" w:color="auto"/>
      </w:divBdr>
    </w:div>
    <w:div w:id="36517844">
      <w:bodyDiv w:val="1"/>
      <w:marLeft w:val="0"/>
      <w:marRight w:val="0"/>
      <w:marTop w:val="0"/>
      <w:marBottom w:val="0"/>
      <w:divBdr>
        <w:top w:val="none" w:sz="0" w:space="0" w:color="auto"/>
        <w:left w:val="none" w:sz="0" w:space="0" w:color="auto"/>
        <w:bottom w:val="none" w:sz="0" w:space="0" w:color="auto"/>
        <w:right w:val="none" w:sz="0" w:space="0" w:color="auto"/>
      </w:divBdr>
    </w:div>
    <w:div w:id="41635766">
      <w:bodyDiv w:val="1"/>
      <w:marLeft w:val="0"/>
      <w:marRight w:val="0"/>
      <w:marTop w:val="0"/>
      <w:marBottom w:val="0"/>
      <w:divBdr>
        <w:top w:val="none" w:sz="0" w:space="0" w:color="auto"/>
        <w:left w:val="none" w:sz="0" w:space="0" w:color="auto"/>
        <w:bottom w:val="none" w:sz="0" w:space="0" w:color="auto"/>
        <w:right w:val="none" w:sz="0" w:space="0" w:color="auto"/>
      </w:divBdr>
    </w:div>
    <w:div w:id="96368671">
      <w:bodyDiv w:val="1"/>
      <w:marLeft w:val="0"/>
      <w:marRight w:val="0"/>
      <w:marTop w:val="0"/>
      <w:marBottom w:val="0"/>
      <w:divBdr>
        <w:top w:val="none" w:sz="0" w:space="0" w:color="auto"/>
        <w:left w:val="none" w:sz="0" w:space="0" w:color="auto"/>
        <w:bottom w:val="none" w:sz="0" w:space="0" w:color="auto"/>
        <w:right w:val="none" w:sz="0" w:space="0" w:color="auto"/>
      </w:divBdr>
    </w:div>
    <w:div w:id="122358337">
      <w:bodyDiv w:val="1"/>
      <w:marLeft w:val="0"/>
      <w:marRight w:val="0"/>
      <w:marTop w:val="0"/>
      <w:marBottom w:val="0"/>
      <w:divBdr>
        <w:top w:val="none" w:sz="0" w:space="0" w:color="auto"/>
        <w:left w:val="none" w:sz="0" w:space="0" w:color="auto"/>
        <w:bottom w:val="none" w:sz="0" w:space="0" w:color="auto"/>
        <w:right w:val="none" w:sz="0" w:space="0" w:color="auto"/>
      </w:divBdr>
    </w:div>
    <w:div w:id="170877059">
      <w:bodyDiv w:val="1"/>
      <w:marLeft w:val="0"/>
      <w:marRight w:val="0"/>
      <w:marTop w:val="0"/>
      <w:marBottom w:val="0"/>
      <w:divBdr>
        <w:top w:val="none" w:sz="0" w:space="0" w:color="auto"/>
        <w:left w:val="none" w:sz="0" w:space="0" w:color="auto"/>
        <w:bottom w:val="none" w:sz="0" w:space="0" w:color="auto"/>
        <w:right w:val="none" w:sz="0" w:space="0" w:color="auto"/>
      </w:divBdr>
    </w:div>
    <w:div w:id="191000736">
      <w:bodyDiv w:val="1"/>
      <w:marLeft w:val="0"/>
      <w:marRight w:val="0"/>
      <w:marTop w:val="0"/>
      <w:marBottom w:val="0"/>
      <w:divBdr>
        <w:top w:val="none" w:sz="0" w:space="0" w:color="auto"/>
        <w:left w:val="none" w:sz="0" w:space="0" w:color="auto"/>
        <w:bottom w:val="none" w:sz="0" w:space="0" w:color="auto"/>
        <w:right w:val="none" w:sz="0" w:space="0" w:color="auto"/>
      </w:divBdr>
    </w:div>
    <w:div w:id="388919903">
      <w:bodyDiv w:val="1"/>
      <w:marLeft w:val="0"/>
      <w:marRight w:val="0"/>
      <w:marTop w:val="0"/>
      <w:marBottom w:val="0"/>
      <w:divBdr>
        <w:top w:val="none" w:sz="0" w:space="0" w:color="auto"/>
        <w:left w:val="none" w:sz="0" w:space="0" w:color="auto"/>
        <w:bottom w:val="none" w:sz="0" w:space="0" w:color="auto"/>
        <w:right w:val="none" w:sz="0" w:space="0" w:color="auto"/>
      </w:divBdr>
    </w:div>
    <w:div w:id="411896638">
      <w:bodyDiv w:val="1"/>
      <w:marLeft w:val="0"/>
      <w:marRight w:val="0"/>
      <w:marTop w:val="0"/>
      <w:marBottom w:val="0"/>
      <w:divBdr>
        <w:top w:val="none" w:sz="0" w:space="0" w:color="auto"/>
        <w:left w:val="none" w:sz="0" w:space="0" w:color="auto"/>
        <w:bottom w:val="none" w:sz="0" w:space="0" w:color="auto"/>
        <w:right w:val="none" w:sz="0" w:space="0" w:color="auto"/>
      </w:divBdr>
    </w:div>
    <w:div w:id="454254126">
      <w:bodyDiv w:val="1"/>
      <w:marLeft w:val="0"/>
      <w:marRight w:val="0"/>
      <w:marTop w:val="0"/>
      <w:marBottom w:val="0"/>
      <w:divBdr>
        <w:top w:val="none" w:sz="0" w:space="0" w:color="auto"/>
        <w:left w:val="none" w:sz="0" w:space="0" w:color="auto"/>
        <w:bottom w:val="none" w:sz="0" w:space="0" w:color="auto"/>
        <w:right w:val="none" w:sz="0" w:space="0" w:color="auto"/>
      </w:divBdr>
    </w:div>
    <w:div w:id="489910948">
      <w:bodyDiv w:val="1"/>
      <w:marLeft w:val="0"/>
      <w:marRight w:val="0"/>
      <w:marTop w:val="0"/>
      <w:marBottom w:val="0"/>
      <w:divBdr>
        <w:top w:val="none" w:sz="0" w:space="0" w:color="auto"/>
        <w:left w:val="none" w:sz="0" w:space="0" w:color="auto"/>
        <w:bottom w:val="none" w:sz="0" w:space="0" w:color="auto"/>
        <w:right w:val="none" w:sz="0" w:space="0" w:color="auto"/>
      </w:divBdr>
    </w:div>
    <w:div w:id="505245434">
      <w:bodyDiv w:val="1"/>
      <w:marLeft w:val="0"/>
      <w:marRight w:val="0"/>
      <w:marTop w:val="0"/>
      <w:marBottom w:val="0"/>
      <w:divBdr>
        <w:top w:val="none" w:sz="0" w:space="0" w:color="auto"/>
        <w:left w:val="none" w:sz="0" w:space="0" w:color="auto"/>
        <w:bottom w:val="none" w:sz="0" w:space="0" w:color="auto"/>
        <w:right w:val="none" w:sz="0" w:space="0" w:color="auto"/>
      </w:divBdr>
    </w:div>
    <w:div w:id="519517243">
      <w:bodyDiv w:val="1"/>
      <w:marLeft w:val="0"/>
      <w:marRight w:val="0"/>
      <w:marTop w:val="0"/>
      <w:marBottom w:val="0"/>
      <w:divBdr>
        <w:top w:val="none" w:sz="0" w:space="0" w:color="auto"/>
        <w:left w:val="none" w:sz="0" w:space="0" w:color="auto"/>
        <w:bottom w:val="none" w:sz="0" w:space="0" w:color="auto"/>
        <w:right w:val="none" w:sz="0" w:space="0" w:color="auto"/>
      </w:divBdr>
    </w:div>
    <w:div w:id="528182699">
      <w:bodyDiv w:val="1"/>
      <w:marLeft w:val="0"/>
      <w:marRight w:val="0"/>
      <w:marTop w:val="0"/>
      <w:marBottom w:val="0"/>
      <w:divBdr>
        <w:top w:val="none" w:sz="0" w:space="0" w:color="auto"/>
        <w:left w:val="none" w:sz="0" w:space="0" w:color="auto"/>
        <w:bottom w:val="none" w:sz="0" w:space="0" w:color="auto"/>
        <w:right w:val="none" w:sz="0" w:space="0" w:color="auto"/>
      </w:divBdr>
    </w:div>
    <w:div w:id="565652065">
      <w:bodyDiv w:val="1"/>
      <w:marLeft w:val="0"/>
      <w:marRight w:val="0"/>
      <w:marTop w:val="0"/>
      <w:marBottom w:val="0"/>
      <w:divBdr>
        <w:top w:val="none" w:sz="0" w:space="0" w:color="auto"/>
        <w:left w:val="none" w:sz="0" w:space="0" w:color="auto"/>
        <w:bottom w:val="none" w:sz="0" w:space="0" w:color="auto"/>
        <w:right w:val="none" w:sz="0" w:space="0" w:color="auto"/>
      </w:divBdr>
    </w:div>
    <w:div w:id="623081322">
      <w:bodyDiv w:val="1"/>
      <w:marLeft w:val="0"/>
      <w:marRight w:val="0"/>
      <w:marTop w:val="0"/>
      <w:marBottom w:val="0"/>
      <w:divBdr>
        <w:top w:val="none" w:sz="0" w:space="0" w:color="auto"/>
        <w:left w:val="none" w:sz="0" w:space="0" w:color="auto"/>
        <w:bottom w:val="none" w:sz="0" w:space="0" w:color="auto"/>
        <w:right w:val="none" w:sz="0" w:space="0" w:color="auto"/>
      </w:divBdr>
    </w:div>
    <w:div w:id="641424314">
      <w:bodyDiv w:val="1"/>
      <w:marLeft w:val="0"/>
      <w:marRight w:val="0"/>
      <w:marTop w:val="0"/>
      <w:marBottom w:val="0"/>
      <w:divBdr>
        <w:top w:val="none" w:sz="0" w:space="0" w:color="auto"/>
        <w:left w:val="none" w:sz="0" w:space="0" w:color="auto"/>
        <w:bottom w:val="none" w:sz="0" w:space="0" w:color="auto"/>
        <w:right w:val="none" w:sz="0" w:space="0" w:color="auto"/>
      </w:divBdr>
    </w:div>
    <w:div w:id="685057220">
      <w:bodyDiv w:val="1"/>
      <w:marLeft w:val="0"/>
      <w:marRight w:val="0"/>
      <w:marTop w:val="0"/>
      <w:marBottom w:val="0"/>
      <w:divBdr>
        <w:top w:val="none" w:sz="0" w:space="0" w:color="auto"/>
        <w:left w:val="none" w:sz="0" w:space="0" w:color="auto"/>
        <w:bottom w:val="none" w:sz="0" w:space="0" w:color="auto"/>
        <w:right w:val="none" w:sz="0" w:space="0" w:color="auto"/>
      </w:divBdr>
    </w:div>
    <w:div w:id="697511550">
      <w:bodyDiv w:val="1"/>
      <w:marLeft w:val="0"/>
      <w:marRight w:val="0"/>
      <w:marTop w:val="0"/>
      <w:marBottom w:val="0"/>
      <w:divBdr>
        <w:top w:val="none" w:sz="0" w:space="0" w:color="auto"/>
        <w:left w:val="none" w:sz="0" w:space="0" w:color="auto"/>
        <w:bottom w:val="none" w:sz="0" w:space="0" w:color="auto"/>
        <w:right w:val="none" w:sz="0" w:space="0" w:color="auto"/>
      </w:divBdr>
    </w:div>
    <w:div w:id="704909425">
      <w:bodyDiv w:val="1"/>
      <w:marLeft w:val="0"/>
      <w:marRight w:val="0"/>
      <w:marTop w:val="0"/>
      <w:marBottom w:val="0"/>
      <w:divBdr>
        <w:top w:val="none" w:sz="0" w:space="0" w:color="auto"/>
        <w:left w:val="none" w:sz="0" w:space="0" w:color="auto"/>
        <w:bottom w:val="none" w:sz="0" w:space="0" w:color="auto"/>
        <w:right w:val="none" w:sz="0" w:space="0" w:color="auto"/>
      </w:divBdr>
    </w:div>
    <w:div w:id="731656542">
      <w:bodyDiv w:val="1"/>
      <w:marLeft w:val="0"/>
      <w:marRight w:val="0"/>
      <w:marTop w:val="0"/>
      <w:marBottom w:val="0"/>
      <w:divBdr>
        <w:top w:val="none" w:sz="0" w:space="0" w:color="auto"/>
        <w:left w:val="none" w:sz="0" w:space="0" w:color="auto"/>
        <w:bottom w:val="none" w:sz="0" w:space="0" w:color="auto"/>
        <w:right w:val="none" w:sz="0" w:space="0" w:color="auto"/>
      </w:divBdr>
    </w:div>
    <w:div w:id="813529568">
      <w:bodyDiv w:val="1"/>
      <w:marLeft w:val="0"/>
      <w:marRight w:val="0"/>
      <w:marTop w:val="0"/>
      <w:marBottom w:val="0"/>
      <w:divBdr>
        <w:top w:val="none" w:sz="0" w:space="0" w:color="auto"/>
        <w:left w:val="none" w:sz="0" w:space="0" w:color="auto"/>
        <w:bottom w:val="none" w:sz="0" w:space="0" w:color="auto"/>
        <w:right w:val="none" w:sz="0" w:space="0" w:color="auto"/>
      </w:divBdr>
    </w:div>
    <w:div w:id="829641438">
      <w:bodyDiv w:val="1"/>
      <w:marLeft w:val="0"/>
      <w:marRight w:val="0"/>
      <w:marTop w:val="0"/>
      <w:marBottom w:val="0"/>
      <w:divBdr>
        <w:top w:val="none" w:sz="0" w:space="0" w:color="auto"/>
        <w:left w:val="none" w:sz="0" w:space="0" w:color="auto"/>
        <w:bottom w:val="none" w:sz="0" w:space="0" w:color="auto"/>
        <w:right w:val="none" w:sz="0" w:space="0" w:color="auto"/>
      </w:divBdr>
    </w:div>
    <w:div w:id="839126488">
      <w:bodyDiv w:val="1"/>
      <w:marLeft w:val="0"/>
      <w:marRight w:val="0"/>
      <w:marTop w:val="0"/>
      <w:marBottom w:val="0"/>
      <w:divBdr>
        <w:top w:val="none" w:sz="0" w:space="0" w:color="auto"/>
        <w:left w:val="none" w:sz="0" w:space="0" w:color="auto"/>
        <w:bottom w:val="none" w:sz="0" w:space="0" w:color="auto"/>
        <w:right w:val="none" w:sz="0" w:space="0" w:color="auto"/>
      </w:divBdr>
    </w:div>
    <w:div w:id="907106862">
      <w:bodyDiv w:val="1"/>
      <w:marLeft w:val="0"/>
      <w:marRight w:val="0"/>
      <w:marTop w:val="0"/>
      <w:marBottom w:val="0"/>
      <w:divBdr>
        <w:top w:val="none" w:sz="0" w:space="0" w:color="auto"/>
        <w:left w:val="none" w:sz="0" w:space="0" w:color="auto"/>
        <w:bottom w:val="none" w:sz="0" w:space="0" w:color="auto"/>
        <w:right w:val="none" w:sz="0" w:space="0" w:color="auto"/>
      </w:divBdr>
    </w:div>
    <w:div w:id="981273191">
      <w:bodyDiv w:val="1"/>
      <w:marLeft w:val="0"/>
      <w:marRight w:val="0"/>
      <w:marTop w:val="0"/>
      <w:marBottom w:val="0"/>
      <w:divBdr>
        <w:top w:val="none" w:sz="0" w:space="0" w:color="auto"/>
        <w:left w:val="none" w:sz="0" w:space="0" w:color="auto"/>
        <w:bottom w:val="none" w:sz="0" w:space="0" w:color="auto"/>
        <w:right w:val="none" w:sz="0" w:space="0" w:color="auto"/>
      </w:divBdr>
    </w:div>
    <w:div w:id="1036388442">
      <w:bodyDiv w:val="1"/>
      <w:marLeft w:val="0"/>
      <w:marRight w:val="0"/>
      <w:marTop w:val="0"/>
      <w:marBottom w:val="0"/>
      <w:divBdr>
        <w:top w:val="none" w:sz="0" w:space="0" w:color="auto"/>
        <w:left w:val="none" w:sz="0" w:space="0" w:color="auto"/>
        <w:bottom w:val="none" w:sz="0" w:space="0" w:color="auto"/>
        <w:right w:val="none" w:sz="0" w:space="0" w:color="auto"/>
      </w:divBdr>
    </w:div>
    <w:div w:id="1037001847">
      <w:bodyDiv w:val="1"/>
      <w:marLeft w:val="0"/>
      <w:marRight w:val="0"/>
      <w:marTop w:val="0"/>
      <w:marBottom w:val="0"/>
      <w:divBdr>
        <w:top w:val="none" w:sz="0" w:space="0" w:color="auto"/>
        <w:left w:val="none" w:sz="0" w:space="0" w:color="auto"/>
        <w:bottom w:val="none" w:sz="0" w:space="0" w:color="auto"/>
        <w:right w:val="none" w:sz="0" w:space="0" w:color="auto"/>
      </w:divBdr>
    </w:div>
    <w:div w:id="1120344932">
      <w:bodyDiv w:val="1"/>
      <w:marLeft w:val="0"/>
      <w:marRight w:val="0"/>
      <w:marTop w:val="0"/>
      <w:marBottom w:val="0"/>
      <w:divBdr>
        <w:top w:val="none" w:sz="0" w:space="0" w:color="auto"/>
        <w:left w:val="none" w:sz="0" w:space="0" w:color="auto"/>
        <w:bottom w:val="none" w:sz="0" w:space="0" w:color="auto"/>
        <w:right w:val="none" w:sz="0" w:space="0" w:color="auto"/>
      </w:divBdr>
    </w:div>
    <w:div w:id="1281258650">
      <w:bodyDiv w:val="1"/>
      <w:marLeft w:val="0"/>
      <w:marRight w:val="0"/>
      <w:marTop w:val="0"/>
      <w:marBottom w:val="0"/>
      <w:divBdr>
        <w:top w:val="none" w:sz="0" w:space="0" w:color="auto"/>
        <w:left w:val="none" w:sz="0" w:space="0" w:color="auto"/>
        <w:bottom w:val="none" w:sz="0" w:space="0" w:color="auto"/>
        <w:right w:val="none" w:sz="0" w:space="0" w:color="auto"/>
      </w:divBdr>
    </w:div>
    <w:div w:id="1296066453">
      <w:bodyDiv w:val="1"/>
      <w:marLeft w:val="0"/>
      <w:marRight w:val="0"/>
      <w:marTop w:val="0"/>
      <w:marBottom w:val="0"/>
      <w:divBdr>
        <w:top w:val="none" w:sz="0" w:space="0" w:color="auto"/>
        <w:left w:val="none" w:sz="0" w:space="0" w:color="auto"/>
        <w:bottom w:val="none" w:sz="0" w:space="0" w:color="auto"/>
        <w:right w:val="none" w:sz="0" w:space="0" w:color="auto"/>
      </w:divBdr>
    </w:div>
    <w:div w:id="1337659745">
      <w:bodyDiv w:val="1"/>
      <w:marLeft w:val="0"/>
      <w:marRight w:val="0"/>
      <w:marTop w:val="0"/>
      <w:marBottom w:val="0"/>
      <w:divBdr>
        <w:top w:val="none" w:sz="0" w:space="0" w:color="auto"/>
        <w:left w:val="none" w:sz="0" w:space="0" w:color="auto"/>
        <w:bottom w:val="none" w:sz="0" w:space="0" w:color="auto"/>
        <w:right w:val="none" w:sz="0" w:space="0" w:color="auto"/>
      </w:divBdr>
    </w:div>
    <w:div w:id="1345978865">
      <w:bodyDiv w:val="1"/>
      <w:marLeft w:val="0"/>
      <w:marRight w:val="0"/>
      <w:marTop w:val="0"/>
      <w:marBottom w:val="0"/>
      <w:divBdr>
        <w:top w:val="none" w:sz="0" w:space="0" w:color="auto"/>
        <w:left w:val="none" w:sz="0" w:space="0" w:color="auto"/>
        <w:bottom w:val="none" w:sz="0" w:space="0" w:color="auto"/>
        <w:right w:val="none" w:sz="0" w:space="0" w:color="auto"/>
      </w:divBdr>
    </w:div>
    <w:div w:id="1354720180">
      <w:bodyDiv w:val="1"/>
      <w:marLeft w:val="0"/>
      <w:marRight w:val="0"/>
      <w:marTop w:val="0"/>
      <w:marBottom w:val="0"/>
      <w:divBdr>
        <w:top w:val="none" w:sz="0" w:space="0" w:color="auto"/>
        <w:left w:val="none" w:sz="0" w:space="0" w:color="auto"/>
        <w:bottom w:val="none" w:sz="0" w:space="0" w:color="auto"/>
        <w:right w:val="none" w:sz="0" w:space="0" w:color="auto"/>
      </w:divBdr>
    </w:div>
    <w:div w:id="1420836432">
      <w:bodyDiv w:val="1"/>
      <w:marLeft w:val="0"/>
      <w:marRight w:val="0"/>
      <w:marTop w:val="0"/>
      <w:marBottom w:val="0"/>
      <w:divBdr>
        <w:top w:val="none" w:sz="0" w:space="0" w:color="auto"/>
        <w:left w:val="none" w:sz="0" w:space="0" w:color="auto"/>
        <w:bottom w:val="none" w:sz="0" w:space="0" w:color="auto"/>
        <w:right w:val="none" w:sz="0" w:space="0" w:color="auto"/>
      </w:divBdr>
    </w:div>
    <w:div w:id="1421222030">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7893299">
      <w:bodyDiv w:val="1"/>
      <w:marLeft w:val="0"/>
      <w:marRight w:val="0"/>
      <w:marTop w:val="0"/>
      <w:marBottom w:val="0"/>
      <w:divBdr>
        <w:top w:val="none" w:sz="0" w:space="0" w:color="auto"/>
        <w:left w:val="none" w:sz="0" w:space="0" w:color="auto"/>
        <w:bottom w:val="none" w:sz="0" w:space="0" w:color="auto"/>
        <w:right w:val="none" w:sz="0" w:space="0" w:color="auto"/>
      </w:divBdr>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17619120">
      <w:bodyDiv w:val="1"/>
      <w:marLeft w:val="0"/>
      <w:marRight w:val="0"/>
      <w:marTop w:val="0"/>
      <w:marBottom w:val="0"/>
      <w:divBdr>
        <w:top w:val="none" w:sz="0" w:space="0" w:color="auto"/>
        <w:left w:val="none" w:sz="0" w:space="0" w:color="auto"/>
        <w:bottom w:val="none" w:sz="0" w:space="0" w:color="auto"/>
        <w:right w:val="none" w:sz="0" w:space="0" w:color="auto"/>
      </w:divBdr>
    </w:div>
    <w:div w:id="1539270055">
      <w:bodyDiv w:val="1"/>
      <w:marLeft w:val="0"/>
      <w:marRight w:val="0"/>
      <w:marTop w:val="0"/>
      <w:marBottom w:val="0"/>
      <w:divBdr>
        <w:top w:val="none" w:sz="0" w:space="0" w:color="auto"/>
        <w:left w:val="none" w:sz="0" w:space="0" w:color="auto"/>
        <w:bottom w:val="none" w:sz="0" w:space="0" w:color="auto"/>
        <w:right w:val="none" w:sz="0" w:space="0" w:color="auto"/>
      </w:divBdr>
    </w:div>
    <w:div w:id="1609006473">
      <w:bodyDiv w:val="1"/>
      <w:marLeft w:val="0"/>
      <w:marRight w:val="0"/>
      <w:marTop w:val="0"/>
      <w:marBottom w:val="0"/>
      <w:divBdr>
        <w:top w:val="none" w:sz="0" w:space="0" w:color="auto"/>
        <w:left w:val="none" w:sz="0" w:space="0" w:color="auto"/>
        <w:bottom w:val="none" w:sz="0" w:space="0" w:color="auto"/>
        <w:right w:val="none" w:sz="0" w:space="0" w:color="auto"/>
      </w:divBdr>
    </w:div>
    <w:div w:id="1621956283">
      <w:bodyDiv w:val="1"/>
      <w:marLeft w:val="0"/>
      <w:marRight w:val="0"/>
      <w:marTop w:val="0"/>
      <w:marBottom w:val="0"/>
      <w:divBdr>
        <w:top w:val="none" w:sz="0" w:space="0" w:color="auto"/>
        <w:left w:val="none" w:sz="0" w:space="0" w:color="auto"/>
        <w:bottom w:val="none" w:sz="0" w:space="0" w:color="auto"/>
        <w:right w:val="none" w:sz="0" w:space="0" w:color="auto"/>
      </w:divBdr>
    </w:div>
    <w:div w:id="1699238622">
      <w:bodyDiv w:val="1"/>
      <w:marLeft w:val="0"/>
      <w:marRight w:val="0"/>
      <w:marTop w:val="0"/>
      <w:marBottom w:val="0"/>
      <w:divBdr>
        <w:top w:val="none" w:sz="0" w:space="0" w:color="auto"/>
        <w:left w:val="none" w:sz="0" w:space="0" w:color="auto"/>
        <w:bottom w:val="none" w:sz="0" w:space="0" w:color="auto"/>
        <w:right w:val="none" w:sz="0" w:space="0" w:color="auto"/>
      </w:divBdr>
    </w:div>
    <w:div w:id="1706438846">
      <w:bodyDiv w:val="1"/>
      <w:marLeft w:val="0"/>
      <w:marRight w:val="0"/>
      <w:marTop w:val="0"/>
      <w:marBottom w:val="0"/>
      <w:divBdr>
        <w:top w:val="none" w:sz="0" w:space="0" w:color="auto"/>
        <w:left w:val="none" w:sz="0" w:space="0" w:color="auto"/>
        <w:bottom w:val="none" w:sz="0" w:space="0" w:color="auto"/>
        <w:right w:val="none" w:sz="0" w:space="0" w:color="auto"/>
      </w:divBdr>
    </w:div>
    <w:div w:id="1774327925">
      <w:bodyDiv w:val="1"/>
      <w:marLeft w:val="0"/>
      <w:marRight w:val="0"/>
      <w:marTop w:val="0"/>
      <w:marBottom w:val="0"/>
      <w:divBdr>
        <w:top w:val="none" w:sz="0" w:space="0" w:color="auto"/>
        <w:left w:val="none" w:sz="0" w:space="0" w:color="auto"/>
        <w:bottom w:val="none" w:sz="0" w:space="0" w:color="auto"/>
        <w:right w:val="none" w:sz="0" w:space="0" w:color="auto"/>
      </w:divBdr>
    </w:div>
    <w:div w:id="1774520253">
      <w:bodyDiv w:val="1"/>
      <w:marLeft w:val="0"/>
      <w:marRight w:val="0"/>
      <w:marTop w:val="0"/>
      <w:marBottom w:val="0"/>
      <w:divBdr>
        <w:top w:val="none" w:sz="0" w:space="0" w:color="auto"/>
        <w:left w:val="none" w:sz="0" w:space="0" w:color="auto"/>
        <w:bottom w:val="none" w:sz="0" w:space="0" w:color="auto"/>
        <w:right w:val="none" w:sz="0" w:space="0" w:color="auto"/>
      </w:divBdr>
    </w:div>
    <w:div w:id="1802767575">
      <w:bodyDiv w:val="1"/>
      <w:marLeft w:val="0"/>
      <w:marRight w:val="0"/>
      <w:marTop w:val="0"/>
      <w:marBottom w:val="0"/>
      <w:divBdr>
        <w:top w:val="none" w:sz="0" w:space="0" w:color="auto"/>
        <w:left w:val="none" w:sz="0" w:space="0" w:color="auto"/>
        <w:bottom w:val="none" w:sz="0" w:space="0" w:color="auto"/>
        <w:right w:val="none" w:sz="0" w:space="0" w:color="auto"/>
      </w:divBdr>
    </w:div>
    <w:div w:id="1874659071">
      <w:bodyDiv w:val="1"/>
      <w:marLeft w:val="0"/>
      <w:marRight w:val="0"/>
      <w:marTop w:val="0"/>
      <w:marBottom w:val="0"/>
      <w:divBdr>
        <w:top w:val="none" w:sz="0" w:space="0" w:color="auto"/>
        <w:left w:val="none" w:sz="0" w:space="0" w:color="auto"/>
        <w:bottom w:val="none" w:sz="0" w:space="0" w:color="auto"/>
        <w:right w:val="none" w:sz="0" w:space="0" w:color="auto"/>
      </w:divBdr>
    </w:div>
    <w:div w:id="1904028332">
      <w:bodyDiv w:val="1"/>
      <w:marLeft w:val="0"/>
      <w:marRight w:val="0"/>
      <w:marTop w:val="0"/>
      <w:marBottom w:val="0"/>
      <w:divBdr>
        <w:top w:val="none" w:sz="0" w:space="0" w:color="auto"/>
        <w:left w:val="none" w:sz="0" w:space="0" w:color="auto"/>
        <w:bottom w:val="none" w:sz="0" w:space="0" w:color="auto"/>
        <w:right w:val="none" w:sz="0" w:space="0" w:color="auto"/>
      </w:divBdr>
    </w:div>
    <w:div w:id="1925842501">
      <w:bodyDiv w:val="1"/>
      <w:marLeft w:val="0"/>
      <w:marRight w:val="0"/>
      <w:marTop w:val="0"/>
      <w:marBottom w:val="0"/>
      <w:divBdr>
        <w:top w:val="none" w:sz="0" w:space="0" w:color="auto"/>
        <w:left w:val="none" w:sz="0" w:space="0" w:color="auto"/>
        <w:bottom w:val="none" w:sz="0" w:space="0" w:color="auto"/>
        <w:right w:val="none" w:sz="0" w:space="0" w:color="auto"/>
      </w:divBdr>
    </w:div>
    <w:div w:id="1942184523">
      <w:bodyDiv w:val="1"/>
      <w:marLeft w:val="0"/>
      <w:marRight w:val="0"/>
      <w:marTop w:val="0"/>
      <w:marBottom w:val="0"/>
      <w:divBdr>
        <w:top w:val="none" w:sz="0" w:space="0" w:color="auto"/>
        <w:left w:val="none" w:sz="0" w:space="0" w:color="auto"/>
        <w:bottom w:val="none" w:sz="0" w:space="0" w:color="auto"/>
        <w:right w:val="none" w:sz="0" w:space="0" w:color="auto"/>
      </w:divBdr>
    </w:div>
    <w:div w:id="1970818704">
      <w:bodyDiv w:val="1"/>
      <w:marLeft w:val="0"/>
      <w:marRight w:val="0"/>
      <w:marTop w:val="0"/>
      <w:marBottom w:val="0"/>
      <w:divBdr>
        <w:top w:val="none" w:sz="0" w:space="0" w:color="auto"/>
        <w:left w:val="none" w:sz="0" w:space="0" w:color="auto"/>
        <w:bottom w:val="none" w:sz="0" w:space="0" w:color="auto"/>
        <w:right w:val="none" w:sz="0" w:space="0" w:color="auto"/>
      </w:divBdr>
    </w:div>
    <w:div w:id="1975014786">
      <w:bodyDiv w:val="1"/>
      <w:marLeft w:val="0"/>
      <w:marRight w:val="0"/>
      <w:marTop w:val="0"/>
      <w:marBottom w:val="0"/>
      <w:divBdr>
        <w:top w:val="none" w:sz="0" w:space="0" w:color="auto"/>
        <w:left w:val="none" w:sz="0" w:space="0" w:color="auto"/>
        <w:bottom w:val="none" w:sz="0" w:space="0" w:color="auto"/>
        <w:right w:val="none" w:sz="0" w:space="0" w:color="auto"/>
      </w:divBdr>
      <w:divsChild>
        <w:div w:id="754089722">
          <w:marLeft w:val="0"/>
          <w:marRight w:val="0"/>
          <w:marTop w:val="0"/>
          <w:marBottom w:val="0"/>
          <w:divBdr>
            <w:top w:val="none" w:sz="0" w:space="0" w:color="auto"/>
            <w:left w:val="none" w:sz="0" w:space="0" w:color="auto"/>
            <w:bottom w:val="none" w:sz="0" w:space="0" w:color="auto"/>
            <w:right w:val="none" w:sz="0" w:space="0" w:color="auto"/>
          </w:divBdr>
          <w:divsChild>
            <w:div w:id="17508643">
              <w:marLeft w:val="0"/>
              <w:marRight w:val="0"/>
              <w:marTop w:val="0"/>
              <w:marBottom w:val="0"/>
              <w:divBdr>
                <w:top w:val="none" w:sz="0" w:space="0" w:color="auto"/>
                <w:left w:val="none" w:sz="0" w:space="0" w:color="auto"/>
                <w:bottom w:val="none" w:sz="0" w:space="0" w:color="auto"/>
                <w:right w:val="none" w:sz="0" w:space="0" w:color="auto"/>
              </w:divBdr>
              <w:divsChild>
                <w:div w:id="1031347535">
                  <w:marLeft w:val="0"/>
                  <w:marRight w:val="4500"/>
                  <w:marTop w:val="0"/>
                  <w:marBottom w:val="0"/>
                  <w:divBdr>
                    <w:top w:val="none" w:sz="0" w:space="0" w:color="auto"/>
                    <w:left w:val="none" w:sz="0" w:space="0" w:color="auto"/>
                    <w:bottom w:val="none" w:sz="0" w:space="0" w:color="auto"/>
                    <w:right w:val="none" w:sz="0" w:space="0" w:color="auto"/>
                  </w:divBdr>
                  <w:divsChild>
                    <w:div w:id="2102139617">
                      <w:marLeft w:val="0"/>
                      <w:marRight w:val="0"/>
                      <w:marTop w:val="0"/>
                      <w:marBottom w:val="0"/>
                      <w:divBdr>
                        <w:top w:val="none" w:sz="0" w:space="0" w:color="auto"/>
                        <w:left w:val="none" w:sz="0" w:space="0" w:color="auto"/>
                        <w:bottom w:val="none" w:sz="0" w:space="0" w:color="auto"/>
                        <w:right w:val="none" w:sz="0" w:space="0" w:color="auto"/>
                      </w:divBdr>
                      <w:divsChild>
                        <w:div w:id="1157959681">
                          <w:marLeft w:val="0"/>
                          <w:marRight w:val="0"/>
                          <w:marTop w:val="0"/>
                          <w:marBottom w:val="0"/>
                          <w:divBdr>
                            <w:top w:val="none" w:sz="0" w:space="0" w:color="auto"/>
                            <w:left w:val="none" w:sz="0" w:space="0" w:color="auto"/>
                            <w:bottom w:val="none" w:sz="0" w:space="0" w:color="auto"/>
                            <w:right w:val="none" w:sz="0" w:space="0" w:color="auto"/>
                          </w:divBdr>
                          <w:divsChild>
                            <w:div w:id="1666936912">
                              <w:marLeft w:val="0"/>
                              <w:marRight w:val="0"/>
                              <w:marTop w:val="0"/>
                              <w:marBottom w:val="0"/>
                              <w:divBdr>
                                <w:top w:val="none" w:sz="0" w:space="0" w:color="auto"/>
                                <w:left w:val="none" w:sz="0" w:space="0" w:color="auto"/>
                                <w:bottom w:val="none" w:sz="0" w:space="0" w:color="auto"/>
                                <w:right w:val="none" w:sz="0" w:space="0" w:color="auto"/>
                              </w:divBdr>
                              <w:divsChild>
                                <w:div w:id="149567494">
                                  <w:marLeft w:val="0"/>
                                  <w:marRight w:val="0"/>
                                  <w:marTop w:val="0"/>
                                  <w:marBottom w:val="0"/>
                                  <w:divBdr>
                                    <w:top w:val="none" w:sz="0" w:space="0" w:color="auto"/>
                                    <w:left w:val="none" w:sz="0" w:space="0" w:color="auto"/>
                                    <w:bottom w:val="none" w:sz="0" w:space="0" w:color="auto"/>
                                    <w:right w:val="none" w:sz="0" w:space="0" w:color="auto"/>
                                  </w:divBdr>
                                  <w:divsChild>
                                    <w:div w:id="1917780962">
                                      <w:marLeft w:val="0"/>
                                      <w:marRight w:val="0"/>
                                      <w:marTop w:val="0"/>
                                      <w:marBottom w:val="30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456724">
      <w:bodyDiv w:val="1"/>
      <w:marLeft w:val="0"/>
      <w:marRight w:val="0"/>
      <w:marTop w:val="0"/>
      <w:marBottom w:val="0"/>
      <w:divBdr>
        <w:top w:val="none" w:sz="0" w:space="0" w:color="auto"/>
        <w:left w:val="none" w:sz="0" w:space="0" w:color="auto"/>
        <w:bottom w:val="none" w:sz="0" w:space="0" w:color="auto"/>
        <w:right w:val="none" w:sz="0" w:space="0" w:color="auto"/>
      </w:divBdr>
    </w:div>
    <w:div w:id="2036154549">
      <w:bodyDiv w:val="1"/>
      <w:marLeft w:val="0"/>
      <w:marRight w:val="0"/>
      <w:marTop w:val="0"/>
      <w:marBottom w:val="0"/>
      <w:divBdr>
        <w:top w:val="none" w:sz="0" w:space="0" w:color="auto"/>
        <w:left w:val="none" w:sz="0" w:space="0" w:color="auto"/>
        <w:bottom w:val="none" w:sz="0" w:space="0" w:color="auto"/>
        <w:right w:val="none" w:sz="0" w:space="0" w:color="auto"/>
      </w:divBdr>
    </w:div>
    <w:div w:id="2040933592">
      <w:bodyDiv w:val="1"/>
      <w:marLeft w:val="0"/>
      <w:marRight w:val="0"/>
      <w:marTop w:val="0"/>
      <w:marBottom w:val="0"/>
      <w:divBdr>
        <w:top w:val="none" w:sz="0" w:space="0" w:color="auto"/>
        <w:left w:val="none" w:sz="0" w:space="0" w:color="auto"/>
        <w:bottom w:val="none" w:sz="0" w:space="0" w:color="auto"/>
        <w:right w:val="none" w:sz="0" w:space="0" w:color="auto"/>
      </w:divBdr>
    </w:div>
    <w:div w:id="2058049063">
      <w:bodyDiv w:val="1"/>
      <w:marLeft w:val="0"/>
      <w:marRight w:val="0"/>
      <w:marTop w:val="0"/>
      <w:marBottom w:val="0"/>
      <w:divBdr>
        <w:top w:val="none" w:sz="0" w:space="0" w:color="auto"/>
        <w:left w:val="none" w:sz="0" w:space="0" w:color="auto"/>
        <w:bottom w:val="none" w:sz="0" w:space="0" w:color="auto"/>
        <w:right w:val="none" w:sz="0" w:space="0" w:color="auto"/>
      </w:divBdr>
    </w:div>
    <w:div w:id="20617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yperlink" Target="https://www.saica.co.za/TechnicalInformation/Assurance/Guides/tabid/538/language/en-ZA/Default.aspx"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22.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yperlink" Target="http://www.irba.co.za/index.php/regulated-industries-functions-74/98?task=view"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hyperlink" Target="http://www.fsb.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yperlink" Target="http://www.medicalschemes.co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ba.co.za" TargetMode="Externa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ctuarialsociety.org.za" TargetMode="External"/><Relationship Id="rId7" Type="http://schemas.openxmlformats.org/officeDocument/2006/relationships/hyperlink" Target="http://www.medicalschemes.com" TargetMode="External"/><Relationship Id="rId2" Type="http://schemas.openxmlformats.org/officeDocument/2006/relationships/hyperlink" Target="http://www.medicalschemes.com" TargetMode="External"/><Relationship Id="rId1" Type="http://schemas.openxmlformats.org/officeDocument/2006/relationships/hyperlink" Target="http://www.saica.co.za" TargetMode="External"/><Relationship Id="rId6" Type="http://schemas.openxmlformats.org/officeDocument/2006/relationships/hyperlink" Target="http://www.irba.co.za" TargetMode="External"/><Relationship Id="rId5" Type="http://schemas.openxmlformats.org/officeDocument/2006/relationships/hyperlink" Target="http://www.saica.co.za" TargetMode="External"/><Relationship Id="rId4" Type="http://schemas.openxmlformats.org/officeDocument/2006/relationships/hyperlink" Target="http://www.sai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7CA0-E453-4127-B981-51664621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27272</Words>
  <Characters>155452</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182360</CharactersWithSpaces>
  <SharedDoc>false</SharedDoc>
  <HLinks>
    <vt:vector size="654" baseType="variant">
      <vt:variant>
        <vt:i4>196632</vt:i4>
      </vt:variant>
      <vt:variant>
        <vt:i4>645</vt:i4>
      </vt:variant>
      <vt:variant>
        <vt:i4>0</vt:i4>
      </vt:variant>
      <vt:variant>
        <vt:i4>5</vt:i4>
      </vt:variant>
      <vt:variant>
        <vt:lpwstr>http://www.fsb.co.za/</vt:lpwstr>
      </vt:variant>
      <vt:variant>
        <vt:lpwstr/>
      </vt:variant>
      <vt:variant>
        <vt:i4>2097206</vt:i4>
      </vt:variant>
      <vt:variant>
        <vt:i4>642</vt:i4>
      </vt:variant>
      <vt:variant>
        <vt:i4>0</vt:i4>
      </vt:variant>
      <vt:variant>
        <vt:i4>5</vt:i4>
      </vt:variant>
      <vt:variant>
        <vt:lpwstr>http://www.medicalschemes.com/</vt:lpwstr>
      </vt:variant>
      <vt:variant>
        <vt:lpwstr/>
      </vt:variant>
      <vt:variant>
        <vt:i4>8126569</vt:i4>
      </vt:variant>
      <vt:variant>
        <vt:i4>639</vt:i4>
      </vt:variant>
      <vt:variant>
        <vt:i4>0</vt:i4>
      </vt:variant>
      <vt:variant>
        <vt:i4>5</vt:i4>
      </vt:variant>
      <vt:variant>
        <vt:lpwstr>http://www.saica.co.za/</vt:lpwstr>
      </vt:variant>
      <vt:variant>
        <vt:lpwstr/>
      </vt:variant>
      <vt:variant>
        <vt:i4>3407983</vt:i4>
      </vt:variant>
      <vt:variant>
        <vt:i4>636</vt:i4>
      </vt:variant>
      <vt:variant>
        <vt:i4>0</vt:i4>
      </vt:variant>
      <vt:variant>
        <vt:i4>5</vt:i4>
      </vt:variant>
      <vt:variant>
        <vt:lpwstr>http://www.irba.co.za/</vt:lpwstr>
      </vt:variant>
      <vt:variant>
        <vt:lpwstr/>
      </vt:variant>
      <vt:variant>
        <vt:i4>131116</vt:i4>
      </vt:variant>
      <vt:variant>
        <vt:i4>579</vt:i4>
      </vt:variant>
      <vt:variant>
        <vt:i4>0</vt:i4>
      </vt:variant>
      <vt:variant>
        <vt:i4>5</vt:i4>
      </vt:variant>
      <vt:variant>
        <vt:lpwstr/>
      </vt:variant>
      <vt:variant>
        <vt:lpwstr>_Part_F_–</vt:lpwstr>
      </vt:variant>
      <vt:variant>
        <vt:i4>543817784</vt:i4>
      </vt:variant>
      <vt:variant>
        <vt:i4>534</vt:i4>
      </vt:variant>
      <vt:variant>
        <vt:i4>0</vt:i4>
      </vt:variant>
      <vt:variant>
        <vt:i4>5</vt:i4>
      </vt:variant>
      <vt:variant>
        <vt:lpwstr/>
      </vt:variant>
      <vt:variant>
        <vt:lpwstr>_Appendix_10_–</vt:lpwstr>
      </vt:variant>
      <vt:variant>
        <vt:i4>6226041</vt:i4>
      </vt:variant>
      <vt:variant>
        <vt:i4>531</vt:i4>
      </vt:variant>
      <vt:variant>
        <vt:i4>0</vt:i4>
      </vt:variant>
      <vt:variant>
        <vt:i4>5</vt:i4>
      </vt:variant>
      <vt:variant>
        <vt:lpwstr/>
      </vt:variant>
      <vt:variant>
        <vt:lpwstr>_Reporting_on_other</vt:lpwstr>
      </vt:variant>
      <vt:variant>
        <vt:i4>6553664</vt:i4>
      </vt:variant>
      <vt:variant>
        <vt:i4>528</vt:i4>
      </vt:variant>
      <vt:variant>
        <vt:i4>0</vt:i4>
      </vt:variant>
      <vt:variant>
        <vt:i4>5</vt:i4>
      </vt:variant>
      <vt:variant>
        <vt:lpwstr/>
      </vt:variant>
      <vt:variant>
        <vt:lpwstr>_Reporting_matters_that</vt:lpwstr>
      </vt:variant>
      <vt:variant>
        <vt:i4>1441889</vt:i4>
      </vt:variant>
      <vt:variant>
        <vt:i4>525</vt:i4>
      </vt:variant>
      <vt:variant>
        <vt:i4>0</vt:i4>
      </vt:variant>
      <vt:variant>
        <vt:i4>5</vt:i4>
      </vt:variant>
      <vt:variant>
        <vt:lpwstr/>
      </vt:variant>
      <vt:variant>
        <vt:lpwstr>_Appendix_7_–</vt:lpwstr>
      </vt:variant>
      <vt:variant>
        <vt:i4>7405598</vt:i4>
      </vt:variant>
      <vt:variant>
        <vt:i4>522</vt:i4>
      </vt:variant>
      <vt:variant>
        <vt:i4>0</vt:i4>
      </vt:variant>
      <vt:variant>
        <vt:i4>5</vt:i4>
      </vt:variant>
      <vt:variant>
        <vt:lpwstr/>
      </vt:variant>
      <vt:variant>
        <vt:lpwstr>_Reporting_on_non-compliance</vt:lpwstr>
      </vt:variant>
      <vt:variant>
        <vt:i4>1441888</vt:i4>
      </vt:variant>
      <vt:variant>
        <vt:i4>519</vt:i4>
      </vt:variant>
      <vt:variant>
        <vt:i4>0</vt:i4>
      </vt:variant>
      <vt:variant>
        <vt:i4>5</vt:i4>
      </vt:variant>
      <vt:variant>
        <vt:lpwstr/>
      </vt:variant>
      <vt:variant>
        <vt:lpwstr>_Appendix_6_–</vt:lpwstr>
      </vt:variant>
      <vt:variant>
        <vt:i4>3342349</vt:i4>
      </vt:variant>
      <vt:variant>
        <vt:i4>516</vt:i4>
      </vt:variant>
      <vt:variant>
        <vt:i4>0</vt:i4>
      </vt:variant>
      <vt:variant>
        <vt:i4>5</vt:i4>
      </vt:variant>
      <vt:variant>
        <vt:lpwstr/>
      </vt:variant>
      <vt:variant>
        <vt:lpwstr>_Reporting_on_summarised</vt:lpwstr>
      </vt:variant>
      <vt:variant>
        <vt:i4>1441891</vt:i4>
      </vt:variant>
      <vt:variant>
        <vt:i4>513</vt:i4>
      </vt:variant>
      <vt:variant>
        <vt:i4>0</vt:i4>
      </vt:variant>
      <vt:variant>
        <vt:i4>5</vt:i4>
      </vt:variant>
      <vt:variant>
        <vt:lpwstr/>
      </vt:variant>
      <vt:variant>
        <vt:lpwstr>_Appendix_5_–</vt:lpwstr>
      </vt:variant>
      <vt:variant>
        <vt:i4>1441890</vt:i4>
      </vt:variant>
      <vt:variant>
        <vt:i4>510</vt:i4>
      </vt:variant>
      <vt:variant>
        <vt:i4>0</vt:i4>
      </vt:variant>
      <vt:variant>
        <vt:i4>5</vt:i4>
      </vt:variant>
      <vt:variant>
        <vt:lpwstr/>
      </vt:variant>
      <vt:variant>
        <vt:lpwstr>_Appendix_4_–</vt:lpwstr>
      </vt:variant>
      <vt:variant>
        <vt:i4>2490378</vt:i4>
      </vt:variant>
      <vt:variant>
        <vt:i4>507</vt:i4>
      </vt:variant>
      <vt:variant>
        <vt:i4>0</vt:i4>
      </vt:variant>
      <vt:variant>
        <vt:i4>5</vt:i4>
      </vt:variant>
      <vt:variant>
        <vt:lpwstr/>
      </vt:variant>
      <vt:variant>
        <vt:lpwstr>_Reporting_on_the</vt:lpwstr>
      </vt:variant>
      <vt:variant>
        <vt:i4>1441893</vt:i4>
      </vt:variant>
      <vt:variant>
        <vt:i4>504</vt:i4>
      </vt:variant>
      <vt:variant>
        <vt:i4>0</vt:i4>
      </vt:variant>
      <vt:variant>
        <vt:i4>5</vt:i4>
      </vt:variant>
      <vt:variant>
        <vt:lpwstr/>
      </vt:variant>
      <vt:variant>
        <vt:lpwstr>_Appendix_3_–</vt:lpwstr>
      </vt:variant>
      <vt:variant>
        <vt:i4>2039885</vt:i4>
      </vt:variant>
      <vt:variant>
        <vt:i4>501</vt:i4>
      </vt:variant>
      <vt:variant>
        <vt:i4>0</vt:i4>
      </vt:variant>
      <vt:variant>
        <vt:i4>5</vt:i4>
      </vt:variant>
      <vt:variant>
        <vt:lpwstr/>
      </vt:variant>
      <vt:variant>
        <vt:lpwstr>_The_auditor’s_reporting</vt:lpwstr>
      </vt:variant>
      <vt:variant>
        <vt:i4>5767289</vt:i4>
      </vt:variant>
      <vt:variant>
        <vt:i4>498</vt:i4>
      </vt:variant>
      <vt:variant>
        <vt:i4>0</vt:i4>
      </vt:variant>
      <vt:variant>
        <vt:i4>5</vt:i4>
      </vt:variant>
      <vt:variant>
        <vt:lpwstr/>
      </vt:variant>
      <vt:variant>
        <vt:lpwstr>_Report_of_the</vt:lpwstr>
      </vt:variant>
      <vt:variant>
        <vt:i4>2752528</vt:i4>
      </vt:variant>
      <vt:variant>
        <vt:i4>495</vt:i4>
      </vt:variant>
      <vt:variant>
        <vt:i4>0</vt:i4>
      </vt:variant>
      <vt:variant>
        <vt:i4>5</vt:i4>
      </vt:variant>
      <vt:variant>
        <vt:lpwstr/>
      </vt:variant>
      <vt:variant>
        <vt:lpwstr>_The_annual_financial</vt:lpwstr>
      </vt:variant>
      <vt:variant>
        <vt:i4>8257615</vt:i4>
      </vt:variant>
      <vt:variant>
        <vt:i4>492</vt:i4>
      </vt:variant>
      <vt:variant>
        <vt:i4>0</vt:i4>
      </vt:variant>
      <vt:variant>
        <vt:i4>5</vt:i4>
      </vt:variant>
      <vt:variant>
        <vt:lpwstr/>
      </vt:variant>
      <vt:variant>
        <vt:lpwstr>_Reporting</vt:lpwstr>
      </vt:variant>
      <vt:variant>
        <vt:i4>131116</vt:i4>
      </vt:variant>
      <vt:variant>
        <vt:i4>489</vt:i4>
      </vt:variant>
      <vt:variant>
        <vt:i4>0</vt:i4>
      </vt:variant>
      <vt:variant>
        <vt:i4>5</vt:i4>
      </vt:variant>
      <vt:variant>
        <vt:lpwstr/>
      </vt:variant>
      <vt:variant>
        <vt:lpwstr>_Part_F_–</vt:lpwstr>
      </vt:variant>
      <vt:variant>
        <vt:i4>131119</vt:i4>
      </vt:variant>
      <vt:variant>
        <vt:i4>486</vt:i4>
      </vt:variant>
      <vt:variant>
        <vt:i4>0</vt:i4>
      </vt:variant>
      <vt:variant>
        <vt:i4>5</vt:i4>
      </vt:variant>
      <vt:variant>
        <vt:lpwstr/>
      </vt:variant>
      <vt:variant>
        <vt:lpwstr>_Part_E_–</vt:lpwstr>
      </vt:variant>
      <vt:variant>
        <vt:i4>1441903</vt:i4>
      </vt:variant>
      <vt:variant>
        <vt:i4>483</vt:i4>
      </vt:variant>
      <vt:variant>
        <vt:i4>0</vt:i4>
      </vt:variant>
      <vt:variant>
        <vt:i4>5</vt:i4>
      </vt:variant>
      <vt:variant>
        <vt:lpwstr/>
      </vt:variant>
      <vt:variant>
        <vt:lpwstr>_Appendix_9_–</vt:lpwstr>
      </vt:variant>
      <vt:variant>
        <vt:i4>1441902</vt:i4>
      </vt:variant>
      <vt:variant>
        <vt:i4>480</vt:i4>
      </vt:variant>
      <vt:variant>
        <vt:i4>0</vt:i4>
      </vt:variant>
      <vt:variant>
        <vt:i4>5</vt:i4>
      </vt:variant>
      <vt:variant>
        <vt:lpwstr/>
      </vt:variant>
      <vt:variant>
        <vt:lpwstr>_Appendix_8_–</vt:lpwstr>
      </vt:variant>
      <vt:variant>
        <vt:i4>131118</vt:i4>
      </vt:variant>
      <vt:variant>
        <vt:i4>477</vt:i4>
      </vt:variant>
      <vt:variant>
        <vt:i4>0</vt:i4>
      </vt:variant>
      <vt:variant>
        <vt:i4>5</vt:i4>
      </vt:variant>
      <vt:variant>
        <vt:lpwstr/>
      </vt:variant>
      <vt:variant>
        <vt:lpwstr>_Part_D_–</vt:lpwstr>
      </vt:variant>
      <vt:variant>
        <vt:i4>1441892</vt:i4>
      </vt:variant>
      <vt:variant>
        <vt:i4>474</vt:i4>
      </vt:variant>
      <vt:variant>
        <vt:i4>0</vt:i4>
      </vt:variant>
      <vt:variant>
        <vt:i4>5</vt:i4>
      </vt:variant>
      <vt:variant>
        <vt:lpwstr/>
      </vt:variant>
      <vt:variant>
        <vt:lpwstr>_Appendix_2_–</vt:lpwstr>
      </vt:variant>
      <vt:variant>
        <vt:i4>1441895</vt:i4>
      </vt:variant>
      <vt:variant>
        <vt:i4>471</vt:i4>
      </vt:variant>
      <vt:variant>
        <vt:i4>0</vt:i4>
      </vt:variant>
      <vt:variant>
        <vt:i4>5</vt:i4>
      </vt:variant>
      <vt:variant>
        <vt:lpwstr/>
      </vt:variant>
      <vt:variant>
        <vt:lpwstr>_Appendix_1_–</vt:lpwstr>
      </vt:variant>
      <vt:variant>
        <vt:i4>131113</vt:i4>
      </vt:variant>
      <vt:variant>
        <vt:i4>468</vt:i4>
      </vt:variant>
      <vt:variant>
        <vt:i4>0</vt:i4>
      </vt:variant>
      <vt:variant>
        <vt:i4>5</vt:i4>
      </vt:variant>
      <vt:variant>
        <vt:lpwstr/>
      </vt:variant>
      <vt:variant>
        <vt:lpwstr>_Part_C_–</vt:lpwstr>
      </vt:variant>
      <vt:variant>
        <vt:i4>131112</vt:i4>
      </vt:variant>
      <vt:variant>
        <vt:i4>465</vt:i4>
      </vt:variant>
      <vt:variant>
        <vt:i4>0</vt:i4>
      </vt:variant>
      <vt:variant>
        <vt:i4>5</vt:i4>
      </vt:variant>
      <vt:variant>
        <vt:lpwstr/>
      </vt:variant>
      <vt:variant>
        <vt:lpwstr>_Part_B_–</vt:lpwstr>
      </vt:variant>
      <vt:variant>
        <vt:i4>131115</vt:i4>
      </vt:variant>
      <vt:variant>
        <vt:i4>462</vt:i4>
      </vt:variant>
      <vt:variant>
        <vt:i4>0</vt:i4>
      </vt:variant>
      <vt:variant>
        <vt:i4>5</vt:i4>
      </vt:variant>
      <vt:variant>
        <vt:lpwstr/>
      </vt:variant>
      <vt:variant>
        <vt:lpwstr>_Part_A_–</vt:lpwstr>
      </vt:variant>
      <vt:variant>
        <vt:i4>7995470</vt:i4>
      </vt:variant>
      <vt:variant>
        <vt:i4>459</vt:i4>
      </vt:variant>
      <vt:variant>
        <vt:i4>0</vt:i4>
      </vt:variant>
      <vt:variant>
        <vt:i4>5</vt:i4>
      </vt:variant>
      <vt:variant>
        <vt:lpwstr/>
      </vt:variant>
      <vt:variant>
        <vt:lpwstr>_Identifying_and_assessing</vt:lpwstr>
      </vt:variant>
      <vt:variant>
        <vt:i4>6946909</vt:i4>
      </vt:variant>
      <vt:variant>
        <vt:i4>456</vt:i4>
      </vt:variant>
      <vt:variant>
        <vt:i4>0</vt:i4>
      </vt:variant>
      <vt:variant>
        <vt:i4>5</vt:i4>
      </vt:variant>
      <vt:variant>
        <vt:lpwstr/>
      </vt:variant>
      <vt:variant>
        <vt:lpwstr>_Understanding_the_business</vt:lpwstr>
      </vt:variant>
      <vt:variant>
        <vt:i4>262205</vt:i4>
      </vt:variant>
      <vt:variant>
        <vt:i4>453</vt:i4>
      </vt:variant>
      <vt:variant>
        <vt:i4>0</vt:i4>
      </vt:variant>
      <vt:variant>
        <vt:i4>5</vt:i4>
      </vt:variant>
      <vt:variant>
        <vt:lpwstr/>
      </vt:variant>
      <vt:variant>
        <vt:lpwstr>_Definitions</vt:lpwstr>
      </vt:variant>
      <vt:variant>
        <vt:i4>6946906</vt:i4>
      </vt:variant>
      <vt:variant>
        <vt:i4>450</vt:i4>
      </vt:variant>
      <vt:variant>
        <vt:i4>0</vt:i4>
      </vt:variant>
      <vt:variant>
        <vt:i4>5</vt:i4>
      </vt:variant>
      <vt:variant>
        <vt:lpwstr/>
      </vt:variant>
      <vt:variant>
        <vt:lpwstr>_Objective</vt:lpwstr>
      </vt:variant>
      <vt:variant>
        <vt:i4>1769506</vt:i4>
      </vt:variant>
      <vt:variant>
        <vt:i4>447</vt:i4>
      </vt:variant>
      <vt:variant>
        <vt:i4>0</vt:i4>
      </vt:variant>
      <vt:variant>
        <vt:i4>5</vt:i4>
      </vt:variant>
      <vt:variant>
        <vt:lpwstr/>
      </vt:variant>
      <vt:variant>
        <vt:lpwstr>_Scope_and_status</vt:lpwstr>
      </vt:variant>
      <vt:variant>
        <vt:i4>1048630</vt:i4>
      </vt:variant>
      <vt:variant>
        <vt:i4>440</vt:i4>
      </vt:variant>
      <vt:variant>
        <vt:i4>0</vt:i4>
      </vt:variant>
      <vt:variant>
        <vt:i4>5</vt:i4>
      </vt:variant>
      <vt:variant>
        <vt:lpwstr/>
      </vt:variant>
      <vt:variant>
        <vt:lpwstr>_Toc305351551</vt:lpwstr>
      </vt:variant>
      <vt:variant>
        <vt:i4>1048630</vt:i4>
      </vt:variant>
      <vt:variant>
        <vt:i4>434</vt:i4>
      </vt:variant>
      <vt:variant>
        <vt:i4>0</vt:i4>
      </vt:variant>
      <vt:variant>
        <vt:i4>5</vt:i4>
      </vt:variant>
      <vt:variant>
        <vt:lpwstr/>
      </vt:variant>
      <vt:variant>
        <vt:lpwstr>_Toc305351550</vt:lpwstr>
      </vt:variant>
      <vt:variant>
        <vt:i4>1114166</vt:i4>
      </vt:variant>
      <vt:variant>
        <vt:i4>428</vt:i4>
      </vt:variant>
      <vt:variant>
        <vt:i4>0</vt:i4>
      </vt:variant>
      <vt:variant>
        <vt:i4>5</vt:i4>
      </vt:variant>
      <vt:variant>
        <vt:lpwstr/>
      </vt:variant>
      <vt:variant>
        <vt:lpwstr>_Toc305351549</vt:lpwstr>
      </vt:variant>
      <vt:variant>
        <vt:i4>1114166</vt:i4>
      </vt:variant>
      <vt:variant>
        <vt:i4>422</vt:i4>
      </vt:variant>
      <vt:variant>
        <vt:i4>0</vt:i4>
      </vt:variant>
      <vt:variant>
        <vt:i4>5</vt:i4>
      </vt:variant>
      <vt:variant>
        <vt:lpwstr/>
      </vt:variant>
      <vt:variant>
        <vt:lpwstr>_Toc305351548</vt:lpwstr>
      </vt:variant>
      <vt:variant>
        <vt:i4>1114166</vt:i4>
      </vt:variant>
      <vt:variant>
        <vt:i4>416</vt:i4>
      </vt:variant>
      <vt:variant>
        <vt:i4>0</vt:i4>
      </vt:variant>
      <vt:variant>
        <vt:i4>5</vt:i4>
      </vt:variant>
      <vt:variant>
        <vt:lpwstr/>
      </vt:variant>
      <vt:variant>
        <vt:lpwstr>_Toc305351547</vt:lpwstr>
      </vt:variant>
      <vt:variant>
        <vt:i4>1114166</vt:i4>
      </vt:variant>
      <vt:variant>
        <vt:i4>410</vt:i4>
      </vt:variant>
      <vt:variant>
        <vt:i4>0</vt:i4>
      </vt:variant>
      <vt:variant>
        <vt:i4>5</vt:i4>
      </vt:variant>
      <vt:variant>
        <vt:lpwstr/>
      </vt:variant>
      <vt:variant>
        <vt:lpwstr>_Toc305351546</vt:lpwstr>
      </vt:variant>
      <vt:variant>
        <vt:i4>1114166</vt:i4>
      </vt:variant>
      <vt:variant>
        <vt:i4>404</vt:i4>
      </vt:variant>
      <vt:variant>
        <vt:i4>0</vt:i4>
      </vt:variant>
      <vt:variant>
        <vt:i4>5</vt:i4>
      </vt:variant>
      <vt:variant>
        <vt:lpwstr/>
      </vt:variant>
      <vt:variant>
        <vt:lpwstr>_Toc305351545</vt:lpwstr>
      </vt:variant>
      <vt:variant>
        <vt:i4>1114166</vt:i4>
      </vt:variant>
      <vt:variant>
        <vt:i4>398</vt:i4>
      </vt:variant>
      <vt:variant>
        <vt:i4>0</vt:i4>
      </vt:variant>
      <vt:variant>
        <vt:i4>5</vt:i4>
      </vt:variant>
      <vt:variant>
        <vt:lpwstr/>
      </vt:variant>
      <vt:variant>
        <vt:lpwstr>_Toc305351544</vt:lpwstr>
      </vt:variant>
      <vt:variant>
        <vt:i4>1114166</vt:i4>
      </vt:variant>
      <vt:variant>
        <vt:i4>392</vt:i4>
      </vt:variant>
      <vt:variant>
        <vt:i4>0</vt:i4>
      </vt:variant>
      <vt:variant>
        <vt:i4>5</vt:i4>
      </vt:variant>
      <vt:variant>
        <vt:lpwstr/>
      </vt:variant>
      <vt:variant>
        <vt:lpwstr>_Toc305351543</vt:lpwstr>
      </vt:variant>
      <vt:variant>
        <vt:i4>1114166</vt:i4>
      </vt:variant>
      <vt:variant>
        <vt:i4>386</vt:i4>
      </vt:variant>
      <vt:variant>
        <vt:i4>0</vt:i4>
      </vt:variant>
      <vt:variant>
        <vt:i4>5</vt:i4>
      </vt:variant>
      <vt:variant>
        <vt:lpwstr/>
      </vt:variant>
      <vt:variant>
        <vt:lpwstr>_Toc305351542</vt:lpwstr>
      </vt:variant>
      <vt:variant>
        <vt:i4>1114166</vt:i4>
      </vt:variant>
      <vt:variant>
        <vt:i4>380</vt:i4>
      </vt:variant>
      <vt:variant>
        <vt:i4>0</vt:i4>
      </vt:variant>
      <vt:variant>
        <vt:i4>5</vt:i4>
      </vt:variant>
      <vt:variant>
        <vt:lpwstr/>
      </vt:variant>
      <vt:variant>
        <vt:lpwstr>_Toc305351541</vt:lpwstr>
      </vt:variant>
      <vt:variant>
        <vt:i4>1114166</vt:i4>
      </vt:variant>
      <vt:variant>
        <vt:i4>374</vt:i4>
      </vt:variant>
      <vt:variant>
        <vt:i4>0</vt:i4>
      </vt:variant>
      <vt:variant>
        <vt:i4>5</vt:i4>
      </vt:variant>
      <vt:variant>
        <vt:lpwstr/>
      </vt:variant>
      <vt:variant>
        <vt:lpwstr>_Toc305351540</vt:lpwstr>
      </vt:variant>
      <vt:variant>
        <vt:i4>1441846</vt:i4>
      </vt:variant>
      <vt:variant>
        <vt:i4>368</vt:i4>
      </vt:variant>
      <vt:variant>
        <vt:i4>0</vt:i4>
      </vt:variant>
      <vt:variant>
        <vt:i4>5</vt:i4>
      </vt:variant>
      <vt:variant>
        <vt:lpwstr/>
      </vt:variant>
      <vt:variant>
        <vt:lpwstr>_Toc305351539</vt:lpwstr>
      </vt:variant>
      <vt:variant>
        <vt:i4>1441846</vt:i4>
      </vt:variant>
      <vt:variant>
        <vt:i4>362</vt:i4>
      </vt:variant>
      <vt:variant>
        <vt:i4>0</vt:i4>
      </vt:variant>
      <vt:variant>
        <vt:i4>5</vt:i4>
      </vt:variant>
      <vt:variant>
        <vt:lpwstr/>
      </vt:variant>
      <vt:variant>
        <vt:lpwstr>_Toc305351538</vt:lpwstr>
      </vt:variant>
      <vt:variant>
        <vt:i4>1441846</vt:i4>
      </vt:variant>
      <vt:variant>
        <vt:i4>356</vt:i4>
      </vt:variant>
      <vt:variant>
        <vt:i4>0</vt:i4>
      </vt:variant>
      <vt:variant>
        <vt:i4>5</vt:i4>
      </vt:variant>
      <vt:variant>
        <vt:lpwstr/>
      </vt:variant>
      <vt:variant>
        <vt:lpwstr>_Toc305351537</vt:lpwstr>
      </vt:variant>
      <vt:variant>
        <vt:i4>1441846</vt:i4>
      </vt:variant>
      <vt:variant>
        <vt:i4>350</vt:i4>
      </vt:variant>
      <vt:variant>
        <vt:i4>0</vt:i4>
      </vt:variant>
      <vt:variant>
        <vt:i4>5</vt:i4>
      </vt:variant>
      <vt:variant>
        <vt:lpwstr/>
      </vt:variant>
      <vt:variant>
        <vt:lpwstr>_Toc305351536</vt:lpwstr>
      </vt:variant>
      <vt:variant>
        <vt:i4>1441846</vt:i4>
      </vt:variant>
      <vt:variant>
        <vt:i4>344</vt:i4>
      </vt:variant>
      <vt:variant>
        <vt:i4>0</vt:i4>
      </vt:variant>
      <vt:variant>
        <vt:i4>5</vt:i4>
      </vt:variant>
      <vt:variant>
        <vt:lpwstr/>
      </vt:variant>
      <vt:variant>
        <vt:lpwstr>_Toc305351535</vt:lpwstr>
      </vt:variant>
      <vt:variant>
        <vt:i4>1441846</vt:i4>
      </vt:variant>
      <vt:variant>
        <vt:i4>338</vt:i4>
      </vt:variant>
      <vt:variant>
        <vt:i4>0</vt:i4>
      </vt:variant>
      <vt:variant>
        <vt:i4>5</vt:i4>
      </vt:variant>
      <vt:variant>
        <vt:lpwstr/>
      </vt:variant>
      <vt:variant>
        <vt:lpwstr>_Toc305351534</vt:lpwstr>
      </vt:variant>
      <vt:variant>
        <vt:i4>1441846</vt:i4>
      </vt:variant>
      <vt:variant>
        <vt:i4>332</vt:i4>
      </vt:variant>
      <vt:variant>
        <vt:i4>0</vt:i4>
      </vt:variant>
      <vt:variant>
        <vt:i4>5</vt:i4>
      </vt:variant>
      <vt:variant>
        <vt:lpwstr/>
      </vt:variant>
      <vt:variant>
        <vt:lpwstr>_Toc305351533</vt:lpwstr>
      </vt:variant>
      <vt:variant>
        <vt:i4>1441846</vt:i4>
      </vt:variant>
      <vt:variant>
        <vt:i4>326</vt:i4>
      </vt:variant>
      <vt:variant>
        <vt:i4>0</vt:i4>
      </vt:variant>
      <vt:variant>
        <vt:i4>5</vt:i4>
      </vt:variant>
      <vt:variant>
        <vt:lpwstr/>
      </vt:variant>
      <vt:variant>
        <vt:lpwstr>_Toc305351532</vt:lpwstr>
      </vt:variant>
      <vt:variant>
        <vt:i4>1441846</vt:i4>
      </vt:variant>
      <vt:variant>
        <vt:i4>320</vt:i4>
      </vt:variant>
      <vt:variant>
        <vt:i4>0</vt:i4>
      </vt:variant>
      <vt:variant>
        <vt:i4>5</vt:i4>
      </vt:variant>
      <vt:variant>
        <vt:lpwstr/>
      </vt:variant>
      <vt:variant>
        <vt:lpwstr>_Toc305351531</vt:lpwstr>
      </vt:variant>
      <vt:variant>
        <vt:i4>1441846</vt:i4>
      </vt:variant>
      <vt:variant>
        <vt:i4>314</vt:i4>
      </vt:variant>
      <vt:variant>
        <vt:i4>0</vt:i4>
      </vt:variant>
      <vt:variant>
        <vt:i4>5</vt:i4>
      </vt:variant>
      <vt:variant>
        <vt:lpwstr/>
      </vt:variant>
      <vt:variant>
        <vt:lpwstr>_Toc305351530</vt:lpwstr>
      </vt:variant>
      <vt:variant>
        <vt:i4>1507382</vt:i4>
      </vt:variant>
      <vt:variant>
        <vt:i4>308</vt:i4>
      </vt:variant>
      <vt:variant>
        <vt:i4>0</vt:i4>
      </vt:variant>
      <vt:variant>
        <vt:i4>5</vt:i4>
      </vt:variant>
      <vt:variant>
        <vt:lpwstr/>
      </vt:variant>
      <vt:variant>
        <vt:lpwstr>_Toc305351529</vt:lpwstr>
      </vt:variant>
      <vt:variant>
        <vt:i4>1507382</vt:i4>
      </vt:variant>
      <vt:variant>
        <vt:i4>302</vt:i4>
      </vt:variant>
      <vt:variant>
        <vt:i4>0</vt:i4>
      </vt:variant>
      <vt:variant>
        <vt:i4>5</vt:i4>
      </vt:variant>
      <vt:variant>
        <vt:lpwstr/>
      </vt:variant>
      <vt:variant>
        <vt:lpwstr>_Toc305351528</vt:lpwstr>
      </vt:variant>
      <vt:variant>
        <vt:i4>1507382</vt:i4>
      </vt:variant>
      <vt:variant>
        <vt:i4>296</vt:i4>
      </vt:variant>
      <vt:variant>
        <vt:i4>0</vt:i4>
      </vt:variant>
      <vt:variant>
        <vt:i4>5</vt:i4>
      </vt:variant>
      <vt:variant>
        <vt:lpwstr/>
      </vt:variant>
      <vt:variant>
        <vt:lpwstr>_Toc305351527</vt:lpwstr>
      </vt:variant>
      <vt:variant>
        <vt:i4>1507382</vt:i4>
      </vt:variant>
      <vt:variant>
        <vt:i4>290</vt:i4>
      </vt:variant>
      <vt:variant>
        <vt:i4>0</vt:i4>
      </vt:variant>
      <vt:variant>
        <vt:i4>5</vt:i4>
      </vt:variant>
      <vt:variant>
        <vt:lpwstr/>
      </vt:variant>
      <vt:variant>
        <vt:lpwstr>_Toc305351526</vt:lpwstr>
      </vt:variant>
      <vt:variant>
        <vt:i4>1507382</vt:i4>
      </vt:variant>
      <vt:variant>
        <vt:i4>284</vt:i4>
      </vt:variant>
      <vt:variant>
        <vt:i4>0</vt:i4>
      </vt:variant>
      <vt:variant>
        <vt:i4>5</vt:i4>
      </vt:variant>
      <vt:variant>
        <vt:lpwstr/>
      </vt:variant>
      <vt:variant>
        <vt:lpwstr>_Toc305351525</vt:lpwstr>
      </vt:variant>
      <vt:variant>
        <vt:i4>1507382</vt:i4>
      </vt:variant>
      <vt:variant>
        <vt:i4>278</vt:i4>
      </vt:variant>
      <vt:variant>
        <vt:i4>0</vt:i4>
      </vt:variant>
      <vt:variant>
        <vt:i4>5</vt:i4>
      </vt:variant>
      <vt:variant>
        <vt:lpwstr/>
      </vt:variant>
      <vt:variant>
        <vt:lpwstr>_Toc305351524</vt:lpwstr>
      </vt:variant>
      <vt:variant>
        <vt:i4>1507382</vt:i4>
      </vt:variant>
      <vt:variant>
        <vt:i4>272</vt:i4>
      </vt:variant>
      <vt:variant>
        <vt:i4>0</vt:i4>
      </vt:variant>
      <vt:variant>
        <vt:i4>5</vt:i4>
      </vt:variant>
      <vt:variant>
        <vt:lpwstr/>
      </vt:variant>
      <vt:variant>
        <vt:lpwstr>_Toc305351523</vt:lpwstr>
      </vt:variant>
      <vt:variant>
        <vt:i4>1507382</vt:i4>
      </vt:variant>
      <vt:variant>
        <vt:i4>266</vt:i4>
      </vt:variant>
      <vt:variant>
        <vt:i4>0</vt:i4>
      </vt:variant>
      <vt:variant>
        <vt:i4>5</vt:i4>
      </vt:variant>
      <vt:variant>
        <vt:lpwstr/>
      </vt:variant>
      <vt:variant>
        <vt:lpwstr>_Toc305351522</vt:lpwstr>
      </vt:variant>
      <vt:variant>
        <vt:i4>1507382</vt:i4>
      </vt:variant>
      <vt:variant>
        <vt:i4>260</vt:i4>
      </vt:variant>
      <vt:variant>
        <vt:i4>0</vt:i4>
      </vt:variant>
      <vt:variant>
        <vt:i4>5</vt:i4>
      </vt:variant>
      <vt:variant>
        <vt:lpwstr/>
      </vt:variant>
      <vt:variant>
        <vt:lpwstr>_Toc305351521</vt:lpwstr>
      </vt:variant>
      <vt:variant>
        <vt:i4>1507382</vt:i4>
      </vt:variant>
      <vt:variant>
        <vt:i4>254</vt:i4>
      </vt:variant>
      <vt:variant>
        <vt:i4>0</vt:i4>
      </vt:variant>
      <vt:variant>
        <vt:i4>5</vt:i4>
      </vt:variant>
      <vt:variant>
        <vt:lpwstr/>
      </vt:variant>
      <vt:variant>
        <vt:lpwstr>_Toc305351520</vt:lpwstr>
      </vt:variant>
      <vt:variant>
        <vt:i4>1310774</vt:i4>
      </vt:variant>
      <vt:variant>
        <vt:i4>248</vt:i4>
      </vt:variant>
      <vt:variant>
        <vt:i4>0</vt:i4>
      </vt:variant>
      <vt:variant>
        <vt:i4>5</vt:i4>
      </vt:variant>
      <vt:variant>
        <vt:lpwstr/>
      </vt:variant>
      <vt:variant>
        <vt:lpwstr>_Toc305351519</vt:lpwstr>
      </vt:variant>
      <vt:variant>
        <vt:i4>1310774</vt:i4>
      </vt:variant>
      <vt:variant>
        <vt:i4>242</vt:i4>
      </vt:variant>
      <vt:variant>
        <vt:i4>0</vt:i4>
      </vt:variant>
      <vt:variant>
        <vt:i4>5</vt:i4>
      </vt:variant>
      <vt:variant>
        <vt:lpwstr/>
      </vt:variant>
      <vt:variant>
        <vt:lpwstr>_Toc305351518</vt:lpwstr>
      </vt:variant>
      <vt:variant>
        <vt:i4>1310774</vt:i4>
      </vt:variant>
      <vt:variant>
        <vt:i4>236</vt:i4>
      </vt:variant>
      <vt:variant>
        <vt:i4>0</vt:i4>
      </vt:variant>
      <vt:variant>
        <vt:i4>5</vt:i4>
      </vt:variant>
      <vt:variant>
        <vt:lpwstr/>
      </vt:variant>
      <vt:variant>
        <vt:lpwstr>_Toc305351517</vt:lpwstr>
      </vt:variant>
      <vt:variant>
        <vt:i4>1310774</vt:i4>
      </vt:variant>
      <vt:variant>
        <vt:i4>230</vt:i4>
      </vt:variant>
      <vt:variant>
        <vt:i4>0</vt:i4>
      </vt:variant>
      <vt:variant>
        <vt:i4>5</vt:i4>
      </vt:variant>
      <vt:variant>
        <vt:lpwstr/>
      </vt:variant>
      <vt:variant>
        <vt:lpwstr>_Toc305351516</vt:lpwstr>
      </vt:variant>
      <vt:variant>
        <vt:i4>1310774</vt:i4>
      </vt:variant>
      <vt:variant>
        <vt:i4>224</vt:i4>
      </vt:variant>
      <vt:variant>
        <vt:i4>0</vt:i4>
      </vt:variant>
      <vt:variant>
        <vt:i4>5</vt:i4>
      </vt:variant>
      <vt:variant>
        <vt:lpwstr/>
      </vt:variant>
      <vt:variant>
        <vt:lpwstr>_Toc305351515</vt:lpwstr>
      </vt:variant>
      <vt:variant>
        <vt:i4>1310774</vt:i4>
      </vt:variant>
      <vt:variant>
        <vt:i4>218</vt:i4>
      </vt:variant>
      <vt:variant>
        <vt:i4>0</vt:i4>
      </vt:variant>
      <vt:variant>
        <vt:i4>5</vt:i4>
      </vt:variant>
      <vt:variant>
        <vt:lpwstr/>
      </vt:variant>
      <vt:variant>
        <vt:lpwstr>_Toc305351514</vt:lpwstr>
      </vt:variant>
      <vt:variant>
        <vt:i4>1310774</vt:i4>
      </vt:variant>
      <vt:variant>
        <vt:i4>212</vt:i4>
      </vt:variant>
      <vt:variant>
        <vt:i4>0</vt:i4>
      </vt:variant>
      <vt:variant>
        <vt:i4>5</vt:i4>
      </vt:variant>
      <vt:variant>
        <vt:lpwstr/>
      </vt:variant>
      <vt:variant>
        <vt:lpwstr>_Toc305351513</vt:lpwstr>
      </vt:variant>
      <vt:variant>
        <vt:i4>1310774</vt:i4>
      </vt:variant>
      <vt:variant>
        <vt:i4>206</vt:i4>
      </vt:variant>
      <vt:variant>
        <vt:i4>0</vt:i4>
      </vt:variant>
      <vt:variant>
        <vt:i4>5</vt:i4>
      </vt:variant>
      <vt:variant>
        <vt:lpwstr/>
      </vt:variant>
      <vt:variant>
        <vt:lpwstr>_Toc305351512</vt:lpwstr>
      </vt:variant>
      <vt:variant>
        <vt:i4>1310774</vt:i4>
      </vt:variant>
      <vt:variant>
        <vt:i4>200</vt:i4>
      </vt:variant>
      <vt:variant>
        <vt:i4>0</vt:i4>
      </vt:variant>
      <vt:variant>
        <vt:i4>5</vt:i4>
      </vt:variant>
      <vt:variant>
        <vt:lpwstr/>
      </vt:variant>
      <vt:variant>
        <vt:lpwstr>_Toc305351511</vt:lpwstr>
      </vt:variant>
      <vt:variant>
        <vt:i4>1310774</vt:i4>
      </vt:variant>
      <vt:variant>
        <vt:i4>194</vt:i4>
      </vt:variant>
      <vt:variant>
        <vt:i4>0</vt:i4>
      </vt:variant>
      <vt:variant>
        <vt:i4>5</vt:i4>
      </vt:variant>
      <vt:variant>
        <vt:lpwstr/>
      </vt:variant>
      <vt:variant>
        <vt:lpwstr>_Toc305351510</vt:lpwstr>
      </vt:variant>
      <vt:variant>
        <vt:i4>1376310</vt:i4>
      </vt:variant>
      <vt:variant>
        <vt:i4>188</vt:i4>
      </vt:variant>
      <vt:variant>
        <vt:i4>0</vt:i4>
      </vt:variant>
      <vt:variant>
        <vt:i4>5</vt:i4>
      </vt:variant>
      <vt:variant>
        <vt:lpwstr/>
      </vt:variant>
      <vt:variant>
        <vt:lpwstr>_Toc305351509</vt:lpwstr>
      </vt:variant>
      <vt:variant>
        <vt:i4>1376310</vt:i4>
      </vt:variant>
      <vt:variant>
        <vt:i4>182</vt:i4>
      </vt:variant>
      <vt:variant>
        <vt:i4>0</vt:i4>
      </vt:variant>
      <vt:variant>
        <vt:i4>5</vt:i4>
      </vt:variant>
      <vt:variant>
        <vt:lpwstr/>
      </vt:variant>
      <vt:variant>
        <vt:lpwstr>_Toc305351508</vt:lpwstr>
      </vt:variant>
      <vt:variant>
        <vt:i4>1376310</vt:i4>
      </vt:variant>
      <vt:variant>
        <vt:i4>176</vt:i4>
      </vt:variant>
      <vt:variant>
        <vt:i4>0</vt:i4>
      </vt:variant>
      <vt:variant>
        <vt:i4>5</vt:i4>
      </vt:variant>
      <vt:variant>
        <vt:lpwstr/>
      </vt:variant>
      <vt:variant>
        <vt:lpwstr>_Toc305351507</vt:lpwstr>
      </vt:variant>
      <vt:variant>
        <vt:i4>1376310</vt:i4>
      </vt:variant>
      <vt:variant>
        <vt:i4>170</vt:i4>
      </vt:variant>
      <vt:variant>
        <vt:i4>0</vt:i4>
      </vt:variant>
      <vt:variant>
        <vt:i4>5</vt:i4>
      </vt:variant>
      <vt:variant>
        <vt:lpwstr/>
      </vt:variant>
      <vt:variant>
        <vt:lpwstr>_Toc305351506</vt:lpwstr>
      </vt:variant>
      <vt:variant>
        <vt:i4>1376310</vt:i4>
      </vt:variant>
      <vt:variant>
        <vt:i4>164</vt:i4>
      </vt:variant>
      <vt:variant>
        <vt:i4>0</vt:i4>
      </vt:variant>
      <vt:variant>
        <vt:i4>5</vt:i4>
      </vt:variant>
      <vt:variant>
        <vt:lpwstr/>
      </vt:variant>
      <vt:variant>
        <vt:lpwstr>_Toc305351505</vt:lpwstr>
      </vt:variant>
      <vt:variant>
        <vt:i4>1376310</vt:i4>
      </vt:variant>
      <vt:variant>
        <vt:i4>158</vt:i4>
      </vt:variant>
      <vt:variant>
        <vt:i4>0</vt:i4>
      </vt:variant>
      <vt:variant>
        <vt:i4>5</vt:i4>
      </vt:variant>
      <vt:variant>
        <vt:lpwstr/>
      </vt:variant>
      <vt:variant>
        <vt:lpwstr>_Toc305351504</vt:lpwstr>
      </vt:variant>
      <vt:variant>
        <vt:i4>1376310</vt:i4>
      </vt:variant>
      <vt:variant>
        <vt:i4>152</vt:i4>
      </vt:variant>
      <vt:variant>
        <vt:i4>0</vt:i4>
      </vt:variant>
      <vt:variant>
        <vt:i4>5</vt:i4>
      </vt:variant>
      <vt:variant>
        <vt:lpwstr/>
      </vt:variant>
      <vt:variant>
        <vt:lpwstr>_Toc305351503</vt:lpwstr>
      </vt:variant>
      <vt:variant>
        <vt:i4>1376310</vt:i4>
      </vt:variant>
      <vt:variant>
        <vt:i4>146</vt:i4>
      </vt:variant>
      <vt:variant>
        <vt:i4>0</vt:i4>
      </vt:variant>
      <vt:variant>
        <vt:i4>5</vt:i4>
      </vt:variant>
      <vt:variant>
        <vt:lpwstr/>
      </vt:variant>
      <vt:variant>
        <vt:lpwstr>_Toc305351502</vt:lpwstr>
      </vt:variant>
      <vt:variant>
        <vt:i4>1376310</vt:i4>
      </vt:variant>
      <vt:variant>
        <vt:i4>140</vt:i4>
      </vt:variant>
      <vt:variant>
        <vt:i4>0</vt:i4>
      </vt:variant>
      <vt:variant>
        <vt:i4>5</vt:i4>
      </vt:variant>
      <vt:variant>
        <vt:lpwstr/>
      </vt:variant>
      <vt:variant>
        <vt:lpwstr>_Toc305351501</vt:lpwstr>
      </vt:variant>
      <vt:variant>
        <vt:i4>1376310</vt:i4>
      </vt:variant>
      <vt:variant>
        <vt:i4>134</vt:i4>
      </vt:variant>
      <vt:variant>
        <vt:i4>0</vt:i4>
      </vt:variant>
      <vt:variant>
        <vt:i4>5</vt:i4>
      </vt:variant>
      <vt:variant>
        <vt:lpwstr/>
      </vt:variant>
      <vt:variant>
        <vt:lpwstr>_Toc305351500</vt:lpwstr>
      </vt:variant>
      <vt:variant>
        <vt:i4>1835063</vt:i4>
      </vt:variant>
      <vt:variant>
        <vt:i4>128</vt:i4>
      </vt:variant>
      <vt:variant>
        <vt:i4>0</vt:i4>
      </vt:variant>
      <vt:variant>
        <vt:i4>5</vt:i4>
      </vt:variant>
      <vt:variant>
        <vt:lpwstr/>
      </vt:variant>
      <vt:variant>
        <vt:lpwstr>_Toc305351499</vt:lpwstr>
      </vt:variant>
      <vt:variant>
        <vt:i4>1835063</vt:i4>
      </vt:variant>
      <vt:variant>
        <vt:i4>122</vt:i4>
      </vt:variant>
      <vt:variant>
        <vt:i4>0</vt:i4>
      </vt:variant>
      <vt:variant>
        <vt:i4>5</vt:i4>
      </vt:variant>
      <vt:variant>
        <vt:lpwstr/>
      </vt:variant>
      <vt:variant>
        <vt:lpwstr>_Toc305351498</vt:lpwstr>
      </vt:variant>
      <vt:variant>
        <vt:i4>1835063</vt:i4>
      </vt:variant>
      <vt:variant>
        <vt:i4>116</vt:i4>
      </vt:variant>
      <vt:variant>
        <vt:i4>0</vt:i4>
      </vt:variant>
      <vt:variant>
        <vt:i4>5</vt:i4>
      </vt:variant>
      <vt:variant>
        <vt:lpwstr/>
      </vt:variant>
      <vt:variant>
        <vt:lpwstr>_Toc305351497</vt:lpwstr>
      </vt:variant>
      <vt:variant>
        <vt:i4>1835063</vt:i4>
      </vt:variant>
      <vt:variant>
        <vt:i4>110</vt:i4>
      </vt:variant>
      <vt:variant>
        <vt:i4>0</vt:i4>
      </vt:variant>
      <vt:variant>
        <vt:i4>5</vt:i4>
      </vt:variant>
      <vt:variant>
        <vt:lpwstr/>
      </vt:variant>
      <vt:variant>
        <vt:lpwstr>_Toc305351496</vt:lpwstr>
      </vt:variant>
      <vt:variant>
        <vt:i4>1835063</vt:i4>
      </vt:variant>
      <vt:variant>
        <vt:i4>104</vt:i4>
      </vt:variant>
      <vt:variant>
        <vt:i4>0</vt:i4>
      </vt:variant>
      <vt:variant>
        <vt:i4>5</vt:i4>
      </vt:variant>
      <vt:variant>
        <vt:lpwstr/>
      </vt:variant>
      <vt:variant>
        <vt:lpwstr>_Toc305351495</vt:lpwstr>
      </vt:variant>
      <vt:variant>
        <vt:i4>1835063</vt:i4>
      </vt:variant>
      <vt:variant>
        <vt:i4>98</vt:i4>
      </vt:variant>
      <vt:variant>
        <vt:i4>0</vt:i4>
      </vt:variant>
      <vt:variant>
        <vt:i4>5</vt:i4>
      </vt:variant>
      <vt:variant>
        <vt:lpwstr/>
      </vt:variant>
      <vt:variant>
        <vt:lpwstr>_Toc305351494</vt:lpwstr>
      </vt:variant>
      <vt:variant>
        <vt:i4>1835063</vt:i4>
      </vt:variant>
      <vt:variant>
        <vt:i4>92</vt:i4>
      </vt:variant>
      <vt:variant>
        <vt:i4>0</vt:i4>
      </vt:variant>
      <vt:variant>
        <vt:i4>5</vt:i4>
      </vt:variant>
      <vt:variant>
        <vt:lpwstr/>
      </vt:variant>
      <vt:variant>
        <vt:lpwstr>_Toc305351493</vt:lpwstr>
      </vt:variant>
      <vt:variant>
        <vt:i4>1835063</vt:i4>
      </vt:variant>
      <vt:variant>
        <vt:i4>86</vt:i4>
      </vt:variant>
      <vt:variant>
        <vt:i4>0</vt:i4>
      </vt:variant>
      <vt:variant>
        <vt:i4>5</vt:i4>
      </vt:variant>
      <vt:variant>
        <vt:lpwstr/>
      </vt:variant>
      <vt:variant>
        <vt:lpwstr>_Toc305351492</vt:lpwstr>
      </vt:variant>
      <vt:variant>
        <vt:i4>1835063</vt:i4>
      </vt:variant>
      <vt:variant>
        <vt:i4>80</vt:i4>
      </vt:variant>
      <vt:variant>
        <vt:i4>0</vt:i4>
      </vt:variant>
      <vt:variant>
        <vt:i4>5</vt:i4>
      </vt:variant>
      <vt:variant>
        <vt:lpwstr/>
      </vt:variant>
      <vt:variant>
        <vt:lpwstr>_Toc305351491</vt:lpwstr>
      </vt:variant>
      <vt:variant>
        <vt:i4>1835063</vt:i4>
      </vt:variant>
      <vt:variant>
        <vt:i4>74</vt:i4>
      </vt:variant>
      <vt:variant>
        <vt:i4>0</vt:i4>
      </vt:variant>
      <vt:variant>
        <vt:i4>5</vt:i4>
      </vt:variant>
      <vt:variant>
        <vt:lpwstr/>
      </vt:variant>
      <vt:variant>
        <vt:lpwstr>_Toc305351490</vt:lpwstr>
      </vt:variant>
      <vt:variant>
        <vt:i4>1900599</vt:i4>
      </vt:variant>
      <vt:variant>
        <vt:i4>68</vt:i4>
      </vt:variant>
      <vt:variant>
        <vt:i4>0</vt:i4>
      </vt:variant>
      <vt:variant>
        <vt:i4>5</vt:i4>
      </vt:variant>
      <vt:variant>
        <vt:lpwstr/>
      </vt:variant>
      <vt:variant>
        <vt:lpwstr>_Toc305351489</vt:lpwstr>
      </vt:variant>
      <vt:variant>
        <vt:i4>1900599</vt:i4>
      </vt:variant>
      <vt:variant>
        <vt:i4>62</vt:i4>
      </vt:variant>
      <vt:variant>
        <vt:i4>0</vt:i4>
      </vt:variant>
      <vt:variant>
        <vt:i4>5</vt:i4>
      </vt:variant>
      <vt:variant>
        <vt:lpwstr/>
      </vt:variant>
      <vt:variant>
        <vt:lpwstr>_Toc305351488</vt:lpwstr>
      </vt:variant>
      <vt:variant>
        <vt:i4>1900599</vt:i4>
      </vt:variant>
      <vt:variant>
        <vt:i4>56</vt:i4>
      </vt:variant>
      <vt:variant>
        <vt:i4>0</vt:i4>
      </vt:variant>
      <vt:variant>
        <vt:i4>5</vt:i4>
      </vt:variant>
      <vt:variant>
        <vt:lpwstr/>
      </vt:variant>
      <vt:variant>
        <vt:lpwstr>_Toc305351487</vt:lpwstr>
      </vt:variant>
      <vt:variant>
        <vt:i4>1900599</vt:i4>
      </vt:variant>
      <vt:variant>
        <vt:i4>50</vt:i4>
      </vt:variant>
      <vt:variant>
        <vt:i4>0</vt:i4>
      </vt:variant>
      <vt:variant>
        <vt:i4>5</vt:i4>
      </vt:variant>
      <vt:variant>
        <vt:lpwstr/>
      </vt:variant>
      <vt:variant>
        <vt:lpwstr>_Toc305351486</vt:lpwstr>
      </vt:variant>
      <vt:variant>
        <vt:i4>1900599</vt:i4>
      </vt:variant>
      <vt:variant>
        <vt:i4>44</vt:i4>
      </vt:variant>
      <vt:variant>
        <vt:i4>0</vt:i4>
      </vt:variant>
      <vt:variant>
        <vt:i4>5</vt:i4>
      </vt:variant>
      <vt:variant>
        <vt:lpwstr/>
      </vt:variant>
      <vt:variant>
        <vt:lpwstr>_Toc305351485</vt:lpwstr>
      </vt:variant>
      <vt:variant>
        <vt:i4>1900599</vt:i4>
      </vt:variant>
      <vt:variant>
        <vt:i4>38</vt:i4>
      </vt:variant>
      <vt:variant>
        <vt:i4>0</vt:i4>
      </vt:variant>
      <vt:variant>
        <vt:i4>5</vt:i4>
      </vt:variant>
      <vt:variant>
        <vt:lpwstr/>
      </vt:variant>
      <vt:variant>
        <vt:lpwstr>_Toc305351484</vt:lpwstr>
      </vt:variant>
      <vt:variant>
        <vt:i4>1900599</vt:i4>
      </vt:variant>
      <vt:variant>
        <vt:i4>32</vt:i4>
      </vt:variant>
      <vt:variant>
        <vt:i4>0</vt:i4>
      </vt:variant>
      <vt:variant>
        <vt:i4>5</vt:i4>
      </vt:variant>
      <vt:variant>
        <vt:lpwstr/>
      </vt:variant>
      <vt:variant>
        <vt:lpwstr>_Toc305351483</vt:lpwstr>
      </vt:variant>
      <vt:variant>
        <vt:i4>1900599</vt:i4>
      </vt:variant>
      <vt:variant>
        <vt:i4>26</vt:i4>
      </vt:variant>
      <vt:variant>
        <vt:i4>0</vt:i4>
      </vt:variant>
      <vt:variant>
        <vt:i4>5</vt:i4>
      </vt:variant>
      <vt:variant>
        <vt:lpwstr/>
      </vt:variant>
      <vt:variant>
        <vt:lpwstr>_Toc305351482</vt:lpwstr>
      </vt:variant>
      <vt:variant>
        <vt:i4>1900599</vt:i4>
      </vt:variant>
      <vt:variant>
        <vt:i4>20</vt:i4>
      </vt:variant>
      <vt:variant>
        <vt:i4>0</vt:i4>
      </vt:variant>
      <vt:variant>
        <vt:i4>5</vt:i4>
      </vt:variant>
      <vt:variant>
        <vt:lpwstr/>
      </vt:variant>
      <vt:variant>
        <vt:lpwstr>_Toc305351481</vt:lpwstr>
      </vt:variant>
      <vt:variant>
        <vt:i4>1900599</vt:i4>
      </vt:variant>
      <vt:variant>
        <vt:i4>14</vt:i4>
      </vt:variant>
      <vt:variant>
        <vt:i4>0</vt:i4>
      </vt:variant>
      <vt:variant>
        <vt:i4>5</vt:i4>
      </vt:variant>
      <vt:variant>
        <vt:lpwstr/>
      </vt:variant>
      <vt:variant>
        <vt:lpwstr>_Toc305351480</vt:lpwstr>
      </vt:variant>
      <vt:variant>
        <vt:i4>1179703</vt:i4>
      </vt:variant>
      <vt:variant>
        <vt:i4>8</vt:i4>
      </vt:variant>
      <vt:variant>
        <vt:i4>0</vt:i4>
      </vt:variant>
      <vt:variant>
        <vt:i4>5</vt:i4>
      </vt:variant>
      <vt:variant>
        <vt:lpwstr/>
      </vt:variant>
      <vt:variant>
        <vt:lpwstr>_Toc305351479</vt:lpwstr>
      </vt:variant>
      <vt:variant>
        <vt:i4>2293854</vt:i4>
      </vt:variant>
      <vt:variant>
        <vt:i4>0</vt:i4>
      </vt:variant>
      <vt:variant>
        <vt:i4>0</vt:i4>
      </vt:variant>
      <vt:variant>
        <vt:i4>5</vt:i4>
      </vt:variant>
      <vt:variant>
        <vt:lpwstr>mailto:creintjes@irba.co.za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2015-02-23T04:52:00Z</dcterms:created>
  <dcterms:modified xsi:type="dcterms:W3CDTF">2016-07-28T11:03:00Z</dcterms:modified>
</cp:coreProperties>
</file>