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271" w:rsidRPr="000C1271" w:rsidRDefault="000C1271" w:rsidP="000C1271">
      <w:pPr>
        <w:jc w:val="center"/>
        <w:rPr>
          <w:rFonts w:ascii="Arial" w:hAnsi="Arial" w:cs="Arial"/>
          <w:b/>
          <w:bCs/>
          <w:sz w:val="32"/>
          <w:szCs w:val="32"/>
          <w:lang w:val="en-US"/>
        </w:rPr>
      </w:pPr>
      <w:r w:rsidRPr="000C1271">
        <w:rPr>
          <w:b/>
          <w:bCs/>
          <w:noProof/>
          <w:sz w:val="22"/>
          <w:szCs w:val="22"/>
          <w:lang w:val="en-US"/>
        </w:rPr>
        <w:drawing>
          <wp:inline distT="0" distB="0" distL="0" distR="0" wp14:anchorId="4766CD01" wp14:editId="4DD37AA0">
            <wp:extent cx="1996440" cy="1097280"/>
            <wp:effectExtent l="0" t="0" r="3810" b="7620"/>
            <wp:docPr id="1" name="Picture 1" descr="IRBA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BA Black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6440" cy="1097280"/>
                    </a:xfrm>
                    <a:prstGeom prst="rect">
                      <a:avLst/>
                    </a:prstGeom>
                    <a:noFill/>
                    <a:ln>
                      <a:noFill/>
                    </a:ln>
                  </pic:spPr>
                </pic:pic>
              </a:graphicData>
            </a:graphic>
          </wp:inline>
        </w:drawing>
      </w:r>
    </w:p>
    <w:p w:rsidR="000C1271" w:rsidRPr="000C1271" w:rsidRDefault="000C1271" w:rsidP="000C1271">
      <w:pPr>
        <w:jc w:val="center"/>
        <w:rPr>
          <w:rFonts w:ascii="Arial" w:hAnsi="Arial" w:cs="Arial"/>
          <w:b/>
          <w:bCs/>
          <w:sz w:val="32"/>
          <w:szCs w:val="32"/>
          <w:lang w:val="en-US"/>
        </w:rPr>
      </w:pPr>
    </w:p>
    <w:p w:rsidR="000C1271" w:rsidRPr="000C1271" w:rsidRDefault="000C1271" w:rsidP="000C1271">
      <w:pPr>
        <w:jc w:val="center"/>
        <w:rPr>
          <w:rFonts w:ascii="Arial" w:hAnsi="Arial" w:cs="Arial"/>
          <w:b/>
          <w:bCs/>
          <w:sz w:val="32"/>
          <w:szCs w:val="32"/>
          <w:lang w:val="en-US"/>
        </w:rPr>
      </w:pPr>
      <w:r w:rsidRPr="000C1271">
        <w:rPr>
          <w:rFonts w:ascii="Arial" w:hAnsi="Arial" w:cs="Arial"/>
          <w:b/>
          <w:bCs/>
          <w:sz w:val="32"/>
          <w:szCs w:val="32"/>
          <w:lang w:val="en-US"/>
        </w:rPr>
        <w:t>MEMORANDUM</w:t>
      </w:r>
    </w:p>
    <w:p w:rsidR="000C1271" w:rsidRPr="000C1271" w:rsidRDefault="000C1271" w:rsidP="000C1271">
      <w:pPr>
        <w:jc w:val="center"/>
        <w:rPr>
          <w:rFonts w:ascii="Arial" w:hAnsi="Arial" w:cs="Arial"/>
          <w:b/>
          <w:bCs/>
          <w:sz w:val="32"/>
          <w:szCs w:val="32"/>
          <w:lang w:val="en-US"/>
        </w:rPr>
      </w:pPr>
    </w:p>
    <w:p w:rsidR="000C1271" w:rsidRPr="000C1271" w:rsidRDefault="000C1271" w:rsidP="000C1271">
      <w:pPr>
        <w:jc w:val="center"/>
        <w:rPr>
          <w:rFonts w:ascii="Arial" w:hAnsi="Arial" w:cs="Arial"/>
          <w:b/>
          <w:bCs/>
          <w:lang w:val="en-US"/>
        </w:rPr>
      </w:pPr>
    </w:p>
    <w:p w:rsidR="000C1271" w:rsidRPr="000C1271" w:rsidRDefault="00C121AE" w:rsidP="000C1271">
      <w:pPr>
        <w:spacing w:line="360" w:lineRule="auto"/>
        <w:rPr>
          <w:rFonts w:ascii="Arial" w:hAnsi="Arial" w:cs="Arial"/>
          <w:sz w:val="22"/>
          <w:szCs w:val="22"/>
          <w:lang w:val="en-GB"/>
        </w:rPr>
      </w:pPr>
      <w:r>
        <w:rPr>
          <w:rFonts w:ascii="Arial" w:hAnsi="Arial" w:cs="Arial"/>
          <w:b/>
          <w:bCs/>
          <w:sz w:val="22"/>
          <w:szCs w:val="22"/>
          <w:lang w:val="en-GB"/>
        </w:rPr>
        <w:t>To</w:t>
      </w:r>
      <w:r w:rsidR="000C1271" w:rsidRPr="000C1271">
        <w:rPr>
          <w:rFonts w:ascii="Arial" w:hAnsi="Arial" w:cs="Arial"/>
          <w:b/>
          <w:bCs/>
          <w:sz w:val="22"/>
          <w:szCs w:val="22"/>
          <w:lang w:val="en-GB"/>
        </w:rPr>
        <w:t>:</w:t>
      </w:r>
      <w:r w:rsidR="000C1271" w:rsidRPr="000C1271">
        <w:rPr>
          <w:rFonts w:ascii="Arial" w:hAnsi="Arial" w:cs="Arial"/>
          <w:b/>
          <w:bCs/>
          <w:sz w:val="22"/>
          <w:szCs w:val="22"/>
          <w:lang w:val="en-GB"/>
        </w:rPr>
        <w:tab/>
      </w:r>
      <w:r w:rsidR="000C1271" w:rsidRPr="000C1271">
        <w:rPr>
          <w:rFonts w:ascii="Arial" w:hAnsi="Arial" w:cs="Arial"/>
          <w:b/>
          <w:bCs/>
          <w:sz w:val="22"/>
          <w:szCs w:val="22"/>
          <w:lang w:val="en-GB"/>
        </w:rPr>
        <w:tab/>
      </w:r>
      <w:r w:rsidR="000C1271" w:rsidRPr="000C1271">
        <w:rPr>
          <w:rFonts w:ascii="Arial" w:hAnsi="Arial" w:cs="Arial"/>
          <w:b/>
          <w:bCs/>
          <w:sz w:val="22"/>
          <w:szCs w:val="22"/>
          <w:lang w:val="en-GB"/>
        </w:rPr>
        <w:tab/>
      </w:r>
      <w:r w:rsidR="00795412">
        <w:rPr>
          <w:rFonts w:ascii="Arial" w:hAnsi="Arial" w:cs="Arial"/>
          <w:b/>
          <w:bCs/>
          <w:sz w:val="22"/>
          <w:szCs w:val="22"/>
          <w:lang w:val="en-GB"/>
        </w:rPr>
        <w:t>Imran Vanker</w:t>
      </w:r>
    </w:p>
    <w:p w:rsidR="000C1271" w:rsidRPr="000C1271" w:rsidRDefault="00795412" w:rsidP="000C1271">
      <w:pPr>
        <w:spacing w:line="360" w:lineRule="auto"/>
        <w:rPr>
          <w:rFonts w:ascii="Arial" w:hAnsi="Arial" w:cs="Arial"/>
          <w:b/>
          <w:bCs/>
          <w:sz w:val="22"/>
          <w:szCs w:val="22"/>
          <w:lang w:val="en-GB"/>
        </w:rPr>
      </w:pPr>
      <w:r>
        <w:rPr>
          <w:rFonts w:ascii="Arial" w:hAnsi="Arial" w:cs="Arial"/>
          <w:b/>
          <w:bCs/>
          <w:sz w:val="22"/>
          <w:szCs w:val="22"/>
          <w:lang w:val="en-GB"/>
        </w:rPr>
        <w:t>From</w:t>
      </w:r>
      <w:r w:rsidR="000C1271" w:rsidRPr="000C1271">
        <w:rPr>
          <w:rFonts w:ascii="Arial" w:hAnsi="Arial" w:cs="Arial"/>
          <w:b/>
          <w:bCs/>
          <w:sz w:val="22"/>
          <w:szCs w:val="22"/>
          <w:lang w:val="en-GB"/>
        </w:rPr>
        <w:t>:</w:t>
      </w:r>
      <w:r w:rsidR="000C1271" w:rsidRPr="000C1271">
        <w:rPr>
          <w:rFonts w:ascii="Arial" w:hAnsi="Arial" w:cs="Arial"/>
          <w:b/>
          <w:bCs/>
          <w:sz w:val="22"/>
          <w:szCs w:val="22"/>
          <w:lang w:val="en-GB"/>
        </w:rPr>
        <w:tab/>
      </w:r>
      <w:r>
        <w:rPr>
          <w:rFonts w:ascii="Arial" w:hAnsi="Arial" w:cs="Arial"/>
          <w:b/>
          <w:bCs/>
          <w:sz w:val="22"/>
          <w:szCs w:val="22"/>
          <w:lang w:val="en-GB"/>
        </w:rPr>
        <w:tab/>
      </w:r>
      <w:r w:rsidR="000C1271" w:rsidRPr="000C1271">
        <w:rPr>
          <w:rFonts w:ascii="Arial" w:hAnsi="Arial" w:cs="Arial"/>
          <w:b/>
          <w:bCs/>
          <w:sz w:val="22"/>
          <w:szCs w:val="22"/>
          <w:lang w:val="en-GB"/>
        </w:rPr>
        <w:tab/>
      </w:r>
      <w:r>
        <w:rPr>
          <w:rFonts w:ascii="Arial" w:hAnsi="Arial" w:cs="Arial"/>
          <w:b/>
          <w:bCs/>
          <w:sz w:val="22"/>
          <w:szCs w:val="22"/>
          <w:lang w:val="en-GB"/>
        </w:rPr>
        <w:t>Imre Nagy</w:t>
      </w:r>
      <w:r w:rsidR="00980219">
        <w:rPr>
          <w:rFonts w:ascii="Arial" w:hAnsi="Arial" w:cs="Arial"/>
          <w:b/>
          <w:bCs/>
          <w:sz w:val="22"/>
          <w:szCs w:val="22"/>
          <w:lang w:val="en-GB"/>
        </w:rPr>
        <w:t xml:space="preserve"> and Team</w:t>
      </w:r>
    </w:p>
    <w:p w:rsidR="000C1271" w:rsidRPr="000C1271" w:rsidRDefault="00C121AE" w:rsidP="000C1271">
      <w:pPr>
        <w:spacing w:line="360" w:lineRule="auto"/>
        <w:rPr>
          <w:rFonts w:ascii="Arial" w:hAnsi="Arial" w:cs="Arial"/>
          <w:sz w:val="22"/>
          <w:szCs w:val="22"/>
          <w:lang w:val="en-GB"/>
        </w:rPr>
      </w:pPr>
      <w:r>
        <w:rPr>
          <w:rFonts w:ascii="Arial" w:hAnsi="Arial" w:cs="Arial"/>
          <w:b/>
          <w:bCs/>
          <w:sz w:val="22"/>
          <w:szCs w:val="22"/>
          <w:lang w:val="en-GB"/>
        </w:rPr>
        <w:t>Date</w:t>
      </w:r>
      <w:r w:rsidR="000C1271" w:rsidRPr="000C1271">
        <w:rPr>
          <w:rFonts w:ascii="Arial" w:hAnsi="Arial" w:cs="Arial"/>
          <w:b/>
          <w:bCs/>
          <w:sz w:val="22"/>
          <w:szCs w:val="22"/>
          <w:lang w:val="en-GB"/>
        </w:rPr>
        <w:t>:</w:t>
      </w:r>
      <w:r w:rsidR="000C1271" w:rsidRPr="000C1271">
        <w:rPr>
          <w:rFonts w:ascii="Arial" w:hAnsi="Arial" w:cs="Arial"/>
          <w:b/>
          <w:bCs/>
          <w:sz w:val="22"/>
          <w:szCs w:val="22"/>
          <w:lang w:val="en-GB"/>
        </w:rPr>
        <w:tab/>
      </w:r>
      <w:r w:rsidR="000C1271" w:rsidRPr="000C1271">
        <w:rPr>
          <w:rFonts w:ascii="Arial" w:hAnsi="Arial" w:cs="Arial"/>
          <w:b/>
          <w:bCs/>
          <w:sz w:val="22"/>
          <w:szCs w:val="22"/>
          <w:lang w:val="en-GB"/>
        </w:rPr>
        <w:tab/>
      </w:r>
      <w:r w:rsidR="000C1271" w:rsidRPr="000C1271">
        <w:rPr>
          <w:rFonts w:ascii="Arial" w:hAnsi="Arial" w:cs="Arial"/>
          <w:b/>
          <w:bCs/>
          <w:sz w:val="22"/>
          <w:szCs w:val="22"/>
          <w:lang w:val="en-GB"/>
        </w:rPr>
        <w:tab/>
      </w:r>
      <w:r w:rsidR="009344C3">
        <w:rPr>
          <w:rFonts w:ascii="Arial" w:hAnsi="Arial" w:cs="Arial"/>
          <w:b/>
          <w:bCs/>
          <w:sz w:val="22"/>
          <w:szCs w:val="22"/>
          <w:lang w:val="en-GB"/>
        </w:rPr>
        <w:t>11</w:t>
      </w:r>
      <w:r w:rsidR="00795412">
        <w:rPr>
          <w:rFonts w:ascii="Arial" w:hAnsi="Arial" w:cs="Arial"/>
          <w:b/>
          <w:bCs/>
          <w:sz w:val="22"/>
          <w:szCs w:val="22"/>
          <w:lang w:val="en-GB"/>
        </w:rPr>
        <w:t xml:space="preserve"> October 2016</w:t>
      </w:r>
    </w:p>
    <w:p w:rsidR="000C1271" w:rsidRPr="000C1271" w:rsidRDefault="00C121AE" w:rsidP="00795412">
      <w:pPr>
        <w:spacing w:line="360" w:lineRule="auto"/>
        <w:ind w:left="2160" w:hanging="2160"/>
        <w:rPr>
          <w:rFonts w:ascii="Arial" w:hAnsi="Arial" w:cs="Arial"/>
          <w:b/>
          <w:sz w:val="22"/>
          <w:szCs w:val="22"/>
          <w:lang w:val="en-GB"/>
        </w:rPr>
      </w:pPr>
      <w:r>
        <w:rPr>
          <w:rFonts w:ascii="Arial" w:hAnsi="Arial" w:cs="Arial"/>
          <w:b/>
          <w:bCs/>
          <w:sz w:val="22"/>
          <w:szCs w:val="22"/>
          <w:lang w:val="en-GB"/>
        </w:rPr>
        <w:t>Subject</w:t>
      </w:r>
      <w:r w:rsidR="00795412">
        <w:rPr>
          <w:rFonts w:ascii="Arial" w:hAnsi="Arial" w:cs="Arial"/>
          <w:b/>
          <w:bCs/>
          <w:sz w:val="22"/>
          <w:szCs w:val="22"/>
          <w:lang w:val="en-GB"/>
        </w:rPr>
        <w:t>:</w:t>
      </w:r>
      <w:r w:rsidR="00795412">
        <w:rPr>
          <w:rFonts w:ascii="Arial" w:hAnsi="Arial" w:cs="Arial"/>
          <w:b/>
          <w:bCs/>
          <w:sz w:val="22"/>
          <w:szCs w:val="22"/>
          <w:lang w:val="en-GB"/>
        </w:rPr>
        <w:tab/>
      </w:r>
      <w:r w:rsidR="00795412">
        <w:rPr>
          <w:rFonts w:ascii="Arial" w:hAnsi="Arial" w:cs="Arial"/>
          <w:b/>
          <w:sz w:val="22"/>
          <w:szCs w:val="22"/>
          <w:lang w:val="en-GB"/>
        </w:rPr>
        <w:t>Proposed Guide for Registered Auditors</w:t>
      </w:r>
      <w:r w:rsidR="000A32A7">
        <w:rPr>
          <w:rFonts w:ascii="Arial" w:hAnsi="Arial" w:cs="Arial"/>
          <w:b/>
          <w:sz w:val="22"/>
          <w:szCs w:val="22"/>
          <w:lang w:val="en-GB"/>
        </w:rPr>
        <w:t xml:space="preserve"> </w:t>
      </w:r>
      <w:r w:rsidR="00795412">
        <w:rPr>
          <w:rFonts w:ascii="Arial" w:hAnsi="Arial" w:cs="Arial"/>
          <w:b/>
          <w:sz w:val="22"/>
          <w:szCs w:val="22"/>
          <w:lang w:val="en-GB"/>
        </w:rPr>
        <w:t xml:space="preserve">– Considerations for an Auditor or a Reviewer of a Company which is Factually Insolvent </w:t>
      </w:r>
    </w:p>
    <w:p w:rsidR="000C1271" w:rsidRPr="000C1271" w:rsidRDefault="000C1271" w:rsidP="000C1271">
      <w:pPr>
        <w:pBdr>
          <w:bottom w:val="single" w:sz="12" w:space="1" w:color="auto"/>
        </w:pBdr>
        <w:rPr>
          <w:rFonts w:ascii="Arial" w:hAnsi="Arial" w:cs="Arial"/>
          <w:b/>
          <w:bCs/>
          <w:sz w:val="22"/>
          <w:szCs w:val="22"/>
          <w:lang w:val="en-GB"/>
        </w:rPr>
      </w:pPr>
    </w:p>
    <w:p w:rsidR="00795412" w:rsidRDefault="00795412" w:rsidP="00795412">
      <w:pPr>
        <w:rPr>
          <w:rFonts w:ascii="Arial" w:hAnsi="Arial" w:cs="Arial"/>
          <w:bCs/>
          <w:sz w:val="22"/>
          <w:szCs w:val="22"/>
          <w:lang w:val="en-US"/>
        </w:rPr>
      </w:pPr>
    </w:p>
    <w:p w:rsidR="00795412" w:rsidRPr="00795412" w:rsidRDefault="00795412" w:rsidP="00795412">
      <w:pPr>
        <w:spacing w:line="276" w:lineRule="auto"/>
        <w:jc w:val="both"/>
        <w:rPr>
          <w:rFonts w:ascii="Arial" w:hAnsi="Arial" w:cs="Arial"/>
        </w:rPr>
      </w:pPr>
      <w:r w:rsidRPr="00795412">
        <w:rPr>
          <w:rFonts w:ascii="Arial" w:hAnsi="Arial" w:cs="Arial"/>
        </w:rPr>
        <w:t>Dear Imran</w:t>
      </w:r>
    </w:p>
    <w:p w:rsidR="00795412" w:rsidRPr="00795412" w:rsidRDefault="00795412" w:rsidP="00795412">
      <w:pPr>
        <w:spacing w:line="276" w:lineRule="auto"/>
        <w:jc w:val="both"/>
        <w:rPr>
          <w:rFonts w:ascii="Arial" w:hAnsi="Arial" w:cs="Arial"/>
        </w:rPr>
      </w:pPr>
    </w:p>
    <w:p w:rsidR="00795412" w:rsidRPr="00795412" w:rsidRDefault="00795412" w:rsidP="00795412">
      <w:pPr>
        <w:spacing w:line="276" w:lineRule="auto"/>
        <w:jc w:val="both"/>
        <w:rPr>
          <w:rFonts w:ascii="Arial" w:hAnsi="Arial" w:cs="Arial"/>
        </w:rPr>
      </w:pPr>
      <w:r w:rsidRPr="00795412">
        <w:rPr>
          <w:rFonts w:ascii="Arial" w:hAnsi="Arial" w:cs="Arial"/>
        </w:rPr>
        <w:t>We thank you for the opportunity to comment on the P</w:t>
      </w:r>
      <w:r w:rsidR="00844A98">
        <w:rPr>
          <w:rFonts w:ascii="Arial" w:hAnsi="Arial" w:cs="Arial"/>
        </w:rPr>
        <w:t>roposed G</w:t>
      </w:r>
      <w:r w:rsidRPr="00795412">
        <w:rPr>
          <w:rFonts w:ascii="Arial" w:hAnsi="Arial" w:cs="Arial"/>
        </w:rPr>
        <w:t>uide. Please find comments from the Inspecti</w:t>
      </w:r>
      <w:r w:rsidR="00844A98">
        <w:rPr>
          <w:rFonts w:ascii="Arial" w:hAnsi="Arial" w:cs="Arial"/>
        </w:rPr>
        <w:t>ons Department</w:t>
      </w:r>
      <w:r w:rsidRPr="00795412">
        <w:rPr>
          <w:rFonts w:ascii="Arial" w:hAnsi="Arial" w:cs="Arial"/>
        </w:rPr>
        <w:t xml:space="preserve"> on the Proposed Guide.</w:t>
      </w:r>
    </w:p>
    <w:p w:rsidR="00795412" w:rsidRPr="00795412" w:rsidRDefault="00795412" w:rsidP="00795412">
      <w:pPr>
        <w:spacing w:line="276" w:lineRule="auto"/>
        <w:jc w:val="both"/>
        <w:rPr>
          <w:rFonts w:ascii="Arial" w:hAnsi="Arial" w:cs="Arial"/>
          <w:b/>
          <w:u w:val="single"/>
        </w:rPr>
      </w:pPr>
    </w:p>
    <w:p w:rsidR="00795412" w:rsidRPr="00795412" w:rsidRDefault="00795412" w:rsidP="00795412">
      <w:pPr>
        <w:spacing w:line="276" w:lineRule="auto"/>
        <w:jc w:val="both"/>
        <w:rPr>
          <w:rFonts w:ascii="Arial" w:hAnsi="Arial" w:cs="Arial"/>
          <w:b/>
        </w:rPr>
      </w:pPr>
      <w:r w:rsidRPr="00795412">
        <w:rPr>
          <w:rFonts w:ascii="Arial" w:hAnsi="Arial" w:cs="Arial"/>
          <w:b/>
        </w:rPr>
        <w:t>General</w:t>
      </w:r>
    </w:p>
    <w:p w:rsidR="00795412" w:rsidRPr="00795412" w:rsidRDefault="00795412" w:rsidP="00795412">
      <w:pPr>
        <w:spacing w:line="276" w:lineRule="auto"/>
        <w:jc w:val="both"/>
        <w:rPr>
          <w:rFonts w:ascii="Arial" w:hAnsi="Arial" w:cs="Arial"/>
          <w:b/>
          <w:u w:val="single"/>
        </w:rPr>
      </w:pPr>
    </w:p>
    <w:p w:rsidR="00795412" w:rsidRPr="00795412" w:rsidRDefault="00795412" w:rsidP="00795412">
      <w:pPr>
        <w:spacing w:line="276" w:lineRule="auto"/>
        <w:jc w:val="both"/>
        <w:rPr>
          <w:rFonts w:ascii="Arial" w:hAnsi="Arial" w:cs="Arial"/>
        </w:rPr>
      </w:pPr>
      <w:r w:rsidRPr="00795412">
        <w:rPr>
          <w:rFonts w:ascii="Arial" w:hAnsi="Arial" w:cs="Arial"/>
        </w:rPr>
        <w:t xml:space="preserve">We find the </w:t>
      </w:r>
      <w:r w:rsidR="00844A98">
        <w:rPr>
          <w:rFonts w:ascii="Arial" w:hAnsi="Arial" w:cs="Arial"/>
        </w:rPr>
        <w:t>Proposed G</w:t>
      </w:r>
      <w:r w:rsidRPr="00795412">
        <w:rPr>
          <w:rFonts w:ascii="Arial" w:hAnsi="Arial" w:cs="Arial"/>
        </w:rPr>
        <w:t>uide useful for practitioners to provide additional guidance on the considerations and procedures to be applied in these judgemental situations. During our inspections process we have identified numerous incidences</w:t>
      </w:r>
      <w:r w:rsidR="00980219">
        <w:rPr>
          <w:rFonts w:ascii="Arial" w:hAnsi="Arial" w:cs="Arial"/>
        </w:rPr>
        <w:t xml:space="preserve">, specifically </w:t>
      </w:r>
      <w:r w:rsidR="006064B2">
        <w:rPr>
          <w:rFonts w:ascii="Arial" w:hAnsi="Arial" w:cs="Arial"/>
        </w:rPr>
        <w:t xml:space="preserve">where companies are factually and/or commercially insolvent </w:t>
      </w:r>
      <w:r w:rsidRPr="00795412">
        <w:rPr>
          <w:rFonts w:ascii="Arial" w:hAnsi="Arial" w:cs="Arial"/>
        </w:rPr>
        <w:t xml:space="preserve">where there has been a lack of professional scepticism </w:t>
      </w:r>
      <w:r w:rsidR="00980219">
        <w:rPr>
          <w:rFonts w:ascii="Arial" w:hAnsi="Arial" w:cs="Arial"/>
        </w:rPr>
        <w:t>demonstrated</w:t>
      </w:r>
      <w:r w:rsidR="00980219" w:rsidRPr="00795412">
        <w:rPr>
          <w:rFonts w:ascii="Arial" w:hAnsi="Arial" w:cs="Arial"/>
        </w:rPr>
        <w:t xml:space="preserve"> </w:t>
      </w:r>
      <w:r w:rsidRPr="00795412">
        <w:rPr>
          <w:rFonts w:ascii="Arial" w:hAnsi="Arial" w:cs="Arial"/>
        </w:rPr>
        <w:t>and other instances where insufficient procedures have been documented and by extension possibly not performed.</w:t>
      </w:r>
    </w:p>
    <w:p w:rsidR="00795412" w:rsidRPr="00795412" w:rsidRDefault="00795412" w:rsidP="00795412">
      <w:pPr>
        <w:spacing w:line="276" w:lineRule="auto"/>
        <w:jc w:val="both"/>
        <w:rPr>
          <w:rFonts w:ascii="Arial" w:hAnsi="Arial" w:cs="Arial"/>
        </w:rPr>
      </w:pPr>
    </w:p>
    <w:p w:rsidR="00795412" w:rsidRPr="00795412" w:rsidRDefault="00795412" w:rsidP="00795412">
      <w:pPr>
        <w:spacing w:line="276" w:lineRule="auto"/>
        <w:jc w:val="both"/>
        <w:rPr>
          <w:rFonts w:ascii="Arial" w:hAnsi="Arial" w:cs="Arial"/>
        </w:rPr>
      </w:pPr>
      <w:r w:rsidRPr="00795412">
        <w:rPr>
          <w:rFonts w:ascii="Arial" w:hAnsi="Arial" w:cs="Arial"/>
        </w:rPr>
        <w:t>We are however concerned that the guide may be incorrectly interpreted by practitioners to entail an exhaustive set of considerations</w:t>
      </w:r>
      <w:r w:rsidR="006064B2">
        <w:rPr>
          <w:rFonts w:ascii="Arial" w:hAnsi="Arial" w:cs="Arial"/>
        </w:rPr>
        <w:t xml:space="preserve"> for the Auditor or Reviewer(practitioner)</w:t>
      </w:r>
      <w:r w:rsidRPr="00795412">
        <w:rPr>
          <w:rFonts w:ascii="Arial" w:hAnsi="Arial" w:cs="Arial"/>
        </w:rPr>
        <w:t xml:space="preserve"> when a company experiences financial distress, commercial insolvency and/or going concern issues as the concepts of financial distress, commercial insolvency and going concern are related.</w:t>
      </w:r>
      <w:r w:rsidR="00844A98">
        <w:rPr>
          <w:rFonts w:ascii="Arial" w:hAnsi="Arial" w:cs="Arial"/>
        </w:rPr>
        <w:t xml:space="preserve"> This should perhaps be included in the communique as well as in the contents box rather than </w:t>
      </w:r>
      <w:r w:rsidR="006658D1">
        <w:rPr>
          <w:rFonts w:ascii="Arial" w:hAnsi="Arial" w:cs="Arial"/>
        </w:rPr>
        <w:t>only in the explanatory memorandum</w:t>
      </w:r>
      <w:r w:rsidR="00980219">
        <w:rPr>
          <w:rFonts w:ascii="Arial" w:hAnsi="Arial" w:cs="Arial"/>
        </w:rPr>
        <w:t xml:space="preserve"> to make it clearer that the guide is not an exhaustive </w:t>
      </w:r>
      <w:r w:rsidR="006064B2">
        <w:rPr>
          <w:rFonts w:ascii="Arial" w:hAnsi="Arial" w:cs="Arial"/>
        </w:rPr>
        <w:t xml:space="preserve">assessment by the practitioner when a company is factually and/or commercially insolvent and the potential impact of the insolvency and going concern assessment </w:t>
      </w:r>
      <w:r w:rsidR="00980219">
        <w:rPr>
          <w:rFonts w:ascii="Arial" w:hAnsi="Arial" w:cs="Arial"/>
        </w:rPr>
        <w:t>possible impact on the audit report</w:t>
      </w:r>
      <w:r w:rsidR="00844A98">
        <w:rPr>
          <w:rFonts w:ascii="Arial" w:hAnsi="Arial" w:cs="Arial"/>
        </w:rPr>
        <w:t>.</w:t>
      </w:r>
    </w:p>
    <w:p w:rsidR="00795412" w:rsidRPr="00795412" w:rsidRDefault="00795412" w:rsidP="00795412">
      <w:pPr>
        <w:spacing w:line="276" w:lineRule="auto"/>
        <w:jc w:val="both"/>
        <w:rPr>
          <w:rFonts w:ascii="Arial" w:hAnsi="Arial" w:cs="Arial"/>
        </w:rPr>
      </w:pPr>
    </w:p>
    <w:p w:rsidR="00795412" w:rsidRPr="00795412" w:rsidRDefault="00795412" w:rsidP="00795412">
      <w:pPr>
        <w:spacing w:line="276" w:lineRule="auto"/>
        <w:jc w:val="both"/>
        <w:rPr>
          <w:rFonts w:ascii="Arial" w:hAnsi="Arial" w:cs="Arial"/>
        </w:rPr>
      </w:pPr>
      <w:r w:rsidRPr="00795412">
        <w:rPr>
          <w:rFonts w:ascii="Arial" w:hAnsi="Arial" w:cs="Arial"/>
        </w:rPr>
        <w:t>Please find below our responses to the request for specific comments.</w:t>
      </w:r>
    </w:p>
    <w:p w:rsidR="00795412" w:rsidRPr="00795412" w:rsidRDefault="00795412" w:rsidP="00795412">
      <w:pPr>
        <w:spacing w:line="276" w:lineRule="auto"/>
        <w:jc w:val="both"/>
        <w:rPr>
          <w:rFonts w:ascii="Arial" w:hAnsi="Arial" w:cs="Arial"/>
        </w:rPr>
      </w:pPr>
    </w:p>
    <w:p w:rsidR="00795412" w:rsidRPr="00795412" w:rsidRDefault="00795412" w:rsidP="00795412">
      <w:pPr>
        <w:spacing w:line="276" w:lineRule="auto"/>
        <w:jc w:val="both"/>
        <w:rPr>
          <w:rFonts w:ascii="Arial" w:hAnsi="Arial" w:cs="Arial"/>
          <w:b/>
        </w:rPr>
      </w:pPr>
      <w:r w:rsidRPr="00795412">
        <w:rPr>
          <w:rFonts w:ascii="Arial" w:hAnsi="Arial" w:cs="Arial"/>
          <w:b/>
        </w:rPr>
        <w:t>Request for specific comments</w:t>
      </w:r>
    </w:p>
    <w:p w:rsidR="00795412" w:rsidRPr="00795412" w:rsidRDefault="00795412" w:rsidP="00795412">
      <w:pPr>
        <w:spacing w:line="276" w:lineRule="auto"/>
        <w:jc w:val="both"/>
        <w:rPr>
          <w:rFonts w:ascii="Arial" w:hAnsi="Arial" w:cs="Arial"/>
          <w:b/>
        </w:rPr>
      </w:pPr>
    </w:p>
    <w:tbl>
      <w:tblPr>
        <w:tblStyle w:val="TableGrid"/>
        <w:tblW w:w="0" w:type="auto"/>
        <w:tblLook w:val="04A0" w:firstRow="1" w:lastRow="0" w:firstColumn="1" w:lastColumn="0" w:noHBand="0" w:noVBand="1"/>
      </w:tblPr>
      <w:tblGrid>
        <w:gridCol w:w="9016"/>
      </w:tblGrid>
      <w:tr w:rsidR="00795412" w:rsidRPr="00795412" w:rsidTr="00E93CE2">
        <w:tc>
          <w:tcPr>
            <w:tcW w:w="9016" w:type="dxa"/>
          </w:tcPr>
          <w:p w:rsidR="00795412" w:rsidRPr="00795412" w:rsidRDefault="00795412" w:rsidP="00795412">
            <w:pPr>
              <w:spacing w:line="276" w:lineRule="auto"/>
              <w:jc w:val="both"/>
              <w:rPr>
                <w:rFonts w:ascii="Arial" w:hAnsi="Arial" w:cs="Arial"/>
              </w:rPr>
            </w:pPr>
          </w:p>
          <w:p w:rsidR="00795412" w:rsidRPr="00352ADE" w:rsidRDefault="00795412" w:rsidP="00795412">
            <w:pPr>
              <w:pStyle w:val="ListParagraph"/>
              <w:numPr>
                <w:ilvl w:val="0"/>
                <w:numId w:val="22"/>
              </w:numPr>
              <w:spacing w:line="276" w:lineRule="auto"/>
              <w:jc w:val="both"/>
              <w:rPr>
                <w:rFonts w:ascii="Arial" w:hAnsi="Arial" w:cs="Arial"/>
              </w:rPr>
            </w:pPr>
            <w:r w:rsidRPr="00795412">
              <w:rPr>
                <w:rFonts w:ascii="Arial" w:hAnsi="Arial" w:cs="Arial"/>
              </w:rPr>
              <w:t>With respect to paragraphs 48 to 50 of the Proposed Guide, respondents are asked to consider the implications of the interpretation of “financially distressed” as defined in section 128(1)(f) of the Companies Act, 2008. Respondents are asked to share the basis of their views.</w:t>
            </w:r>
          </w:p>
        </w:tc>
      </w:tr>
    </w:tbl>
    <w:p w:rsidR="00795412" w:rsidRPr="00795412" w:rsidRDefault="00795412" w:rsidP="00795412">
      <w:pPr>
        <w:spacing w:line="276" w:lineRule="auto"/>
        <w:jc w:val="both"/>
        <w:rPr>
          <w:rFonts w:ascii="Arial" w:hAnsi="Arial" w:cs="Arial"/>
        </w:rPr>
      </w:pPr>
    </w:p>
    <w:p w:rsidR="00795412" w:rsidRPr="00795412" w:rsidRDefault="00795412" w:rsidP="00795412">
      <w:pPr>
        <w:pStyle w:val="Default"/>
        <w:spacing w:line="276" w:lineRule="auto"/>
        <w:jc w:val="both"/>
        <w:rPr>
          <w:sz w:val="20"/>
          <w:szCs w:val="20"/>
        </w:rPr>
      </w:pPr>
      <w:r w:rsidRPr="00795412">
        <w:rPr>
          <w:sz w:val="20"/>
          <w:szCs w:val="20"/>
        </w:rPr>
        <w:t xml:space="preserve">It is our understanding that para 48-50 of the Proposed Guide interprets that if a company is factually insolvent it falls within the definition of ‘financially distressed’ and the requirements of s 129 (7) would apply. </w:t>
      </w:r>
    </w:p>
    <w:p w:rsidR="00795412" w:rsidRPr="00795412" w:rsidRDefault="00795412" w:rsidP="00795412">
      <w:pPr>
        <w:pStyle w:val="Default"/>
        <w:spacing w:line="276" w:lineRule="auto"/>
        <w:jc w:val="both"/>
        <w:rPr>
          <w:sz w:val="20"/>
          <w:szCs w:val="20"/>
        </w:rPr>
      </w:pPr>
    </w:p>
    <w:p w:rsidR="00795412" w:rsidRPr="00795412" w:rsidRDefault="00795412" w:rsidP="00795412">
      <w:pPr>
        <w:pStyle w:val="Default"/>
        <w:spacing w:line="276" w:lineRule="auto"/>
        <w:jc w:val="both"/>
        <w:rPr>
          <w:sz w:val="20"/>
          <w:szCs w:val="20"/>
        </w:rPr>
      </w:pPr>
      <w:r w:rsidRPr="00795412">
        <w:rPr>
          <w:sz w:val="20"/>
          <w:szCs w:val="20"/>
        </w:rPr>
        <w:t>We do not agree with the interpretation considering these implications:</w:t>
      </w:r>
    </w:p>
    <w:p w:rsidR="00795412" w:rsidRPr="00795412" w:rsidRDefault="00795412" w:rsidP="00795412">
      <w:pPr>
        <w:pStyle w:val="Default"/>
        <w:spacing w:line="276" w:lineRule="auto"/>
        <w:jc w:val="both"/>
        <w:rPr>
          <w:sz w:val="20"/>
          <w:szCs w:val="20"/>
        </w:rPr>
      </w:pPr>
    </w:p>
    <w:p w:rsidR="00795412" w:rsidRPr="00795412" w:rsidRDefault="00795412" w:rsidP="00795412">
      <w:pPr>
        <w:pStyle w:val="Default"/>
        <w:numPr>
          <w:ilvl w:val="0"/>
          <w:numId w:val="23"/>
        </w:numPr>
        <w:spacing w:line="276" w:lineRule="auto"/>
        <w:jc w:val="both"/>
        <w:rPr>
          <w:sz w:val="20"/>
          <w:szCs w:val="20"/>
        </w:rPr>
      </w:pPr>
      <w:r w:rsidRPr="00795412">
        <w:rPr>
          <w:sz w:val="20"/>
          <w:szCs w:val="20"/>
        </w:rPr>
        <w:t xml:space="preserve">This is not an uncommon scenario particularly in South Africa where shares are subscribed for a nominal amount and there are often loans advanced to a company from other entities within the group. (Practical Guide para 16,21) In these scenarios entities’ liabilities may </w:t>
      </w:r>
      <w:r w:rsidR="00980219">
        <w:rPr>
          <w:sz w:val="20"/>
          <w:szCs w:val="20"/>
        </w:rPr>
        <w:t xml:space="preserve">indeed </w:t>
      </w:r>
      <w:r w:rsidRPr="00795412">
        <w:rPr>
          <w:sz w:val="20"/>
          <w:szCs w:val="20"/>
        </w:rPr>
        <w:t xml:space="preserve">exceed their assets however this may not be an </w:t>
      </w:r>
      <w:r w:rsidR="00980219">
        <w:rPr>
          <w:sz w:val="20"/>
          <w:szCs w:val="20"/>
        </w:rPr>
        <w:t xml:space="preserve">outright </w:t>
      </w:r>
      <w:r w:rsidRPr="00795412">
        <w:rPr>
          <w:sz w:val="20"/>
          <w:szCs w:val="20"/>
        </w:rPr>
        <w:t xml:space="preserve">indication of financial distress which requires the company to consider business rescue proceedings. </w:t>
      </w:r>
    </w:p>
    <w:p w:rsidR="00795412" w:rsidRPr="00795412" w:rsidRDefault="00795412" w:rsidP="00795412">
      <w:pPr>
        <w:pStyle w:val="Default"/>
        <w:spacing w:line="276" w:lineRule="auto"/>
        <w:jc w:val="both"/>
        <w:rPr>
          <w:sz w:val="20"/>
          <w:szCs w:val="20"/>
        </w:rPr>
      </w:pPr>
    </w:p>
    <w:p w:rsidR="00795412" w:rsidRPr="00795412" w:rsidRDefault="00980219" w:rsidP="00795412">
      <w:pPr>
        <w:pStyle w:val="Default"/>
        <w:numPr>
          <w:ilvl w:val="0"/>
          <w:numId w:val="23"/>
        </w:numPr>
        <w:spacing w:line="276" w:lineRule="auto"/>
        <w:jc w:val="both"/>
        <w:rPr>
          <w:sz w:val="20"/>
          <w:szCs w:val="20"/>
        </w:rPr>
      </w:pPr>
      <w:r>
        <w:rPr>
          <w:sz w:val="20"/>
          <w:szCs w:val="20"/>
        </w:rPr>
        <w:t>E</w:t>
      </w:r>
      <w:r w:rsidR="00795412" w:rsidRPr="00795412">
        <w:rPr>
          <w:sz w:val="20"/>
          <w:szCs w:val="20"/>
        </w:rPr>
        <w:t>ntities</w:t>
      </w:r>
      <w:r>
        <w:rPr>
          <w:sz w:val="20"/>
          <w:szCs w:val="20"/>
        </w:rPr>
        <w:t>’</w:t>
      </w:r>
      <w:r w:rsidR="00795412" w:rsidRPr="00795412">
        <w:rPr>
          <w:sz w:val="20"/>
          <w:szCs w:val="20"/>
        </w:rPr>
        <w:t xml:space="preserve"> liabilities exceeding their assets is also not an uncommon scenario for start- up companies (Practical Guide para 16,20) and this factor alone again may not be an indication of financial distress which requires the company to consider business rescue proceedings. </w:t>
      </w:r>
    </w:p>
    <w:p w:rsidR="00795412" w:rsidRPr="00795412" w:rsidRDefault="00795412" w:rsidP="00795412">
      <w:pPr>
        <w:pStyle w:val="Default"/>
        <w:spacing w:line="276" w:lineRule="auto"/>
        <w:ind w:left="720"/>
        <w:jc w:val="both"/>
        <w:rPr>
          <w:sz w:val="20"/>
          <w:szCs w:val="20"/>
        </w:rPr>
      </w:pPr>
    </w:p>
    <w:p w:rsidR="00795412" w:rsidRPr="00795412" w:rsidRDefault="00795412" w:rsidP="00795412">
      <w:pPr>
        <w:pStyle w:val="Default"/>
        <w:numPr>
          <w:ilvl w:val="0"/>
          <w:numId w:val="23"/>
        </w:numPr>
        <w:spacing w:line="276" w:lineRule="auto"/>
        <w:jc w:val="both"/>
        <w:rPr>
          <w:sz w:val="20"/>
          <w:szCs w:val="20"/>
        </w:rPr>
      </w:pPr>
      <w:r w:rsidRPr="00795412">
        <w:rPr>
          <w:sz w:val="20"/>
          <w:szCs w:val="20"/>
        </w:rPr>
        <w:t>Therefore, practically it is not unusual that entities’ liabilities could exceed their assets at numerous different points during the year. We believe that it will be onerous for a company to action the requirements of s129 (7) every time the liabilities exceed the assets of the company. From an auditing perspective we foresee this as being difficult to practically audit especially where a company ‘dips’ into factual insolvency numerous times during the year and at year end is not factually insolvent.</w:t>
      </w:r>
    </w:p>
    <w:p w:rsidR="00795412" w:rsidRPr="00795412" w:rsidRDefault="00795412" w:rsidP="00795412">
      <w:pPr>
        <w:pStyle w:val="ListParagraph"/>
        <w:spacing w:line="276" w:lineRule="auto"/>
        <w:jc w:val="both"/>
        <w:rPr>
          <w:rFonts w:ascii="Arial" w:hAnsi="Arial" w:cs="Arial"/>
        </w:rPr>
      </w:pPr>
    </w:p>
    <w:p w:rsidR="00352ADE" w:rsidRDefault="00795412" w:rsidP="00795412">
      <w:pPr>
        <w:pStyle w:val="Default"/>
        <w:numPr>
          <w:ilvl w:val="0"/>
          <w:numId w:val="23"/>
        </w:numPr>
        <w:spacing w:line="276" w:lineRule="auto"/>
        <w:jc w:val="both"/>
        <w:rPr>
          <w:sz w:val="20"/>
          <w:szCs w:val="20"/>
        </w:rPr>
      </w:pPr>
      <w:r w:rsidRPr="00795412">
        <w:rPr>
          <w:sz w:val="20"/>
          <w:szCs w:val="20"/>
        </w:rPr>
        <w:t xml:space="preserve">We are also concerned that should a company apply the requirements of s129(7) and has not entered into business rescue proceedings, the board must notify shareholders, creditors and representatives of the employees of the company explaining that the company is financially distressed and explaining why business rescue proceedings have not begun, these actions may convey unintended signals to these parties which </w:t>
      </w:r>
      <w:r w:rsidR="00980219">
        <w:rPr>
          <w:sz w:val="20"/>
          <w:szCs w:val="20"/>
        </w:rPr>
        <w:t>c</w:t>
      </w:r>
      <w:r w:rsidRPr="00795412">
        <w:rPr>
          <w:sz w:val="20"/>
          <w:szCs w:val="20"/>
        </w:rPr>
        <w:t xml:space="preserve">ould result in the company failing.  </w:t>
      </w:r>
    </w:p>
    <w:p w:rsidR="00352ADE" w:rsidRDefault="00352ADE" w:rsidP="00352ADE">
      <w:pPr>
        <w:pStyle w:val="ListParagraph"/>
      </w:pPr>
    </w:p>
    <w:p w:rsidR="00795412" w:rsidRDefault="003E247C" w:rsidP="00795412">
      <w:pPr>
        <w:pStyle w:val="Default"/>
        <w:numPr>
          <w:ilvl w:val="0"/>
          <w:numId w:val="23"/>
        </w:numPr>
        <w:spacing w:line="276" w:lineRule="auto"/>
        <w:jc w:val="both"/>
        <w:rPr>
          <w:sz w:val="20"/>
          <w:szCs w:val="20"/>
        </w:rPr>
      </w:pPr>
      <w:r w:rsidRPr="00352ADE">
        <w:rPr>
          <w:sz w:val="20"/>
          <w:szCs w:val="20"/>
        </w:rPr>
        <w:t>It should also be considered whether</w:t>
      </w:r>
      <w:r w:rsidR="001F4A99" w:rsidRPr="00352ADE">
        <w:rPr>
          <w:sz w:val="20"/>
          <w:szCs w:val="20"/>
        </w:rPr>
        <w:t xml:space="preserve"> factual insolvency and the related notice as per s129(7) would have to be made to the JSE in terms of the listing requirements (section 3.85) and what the consequences of this would be.</w:t>
      </w:r>
      <w:r w:rsidRPr="00352ADE">
        <w:rPr>
          <w:sz w:val="20"/>
          <w:szCs w:val="20"/>
        </w:rPr>
        <w:t xml:space="preserve"> </w:t>
      </w:r>
    </w:p>
    <w:p w:rsidR="00352ADE" w:rsidRPr="00352ADE" w:rsidRDefault="00352ADE" w:rsidP="00070327">
      <w:pPr>
        <w:pStyle w:val="Default"/>
        <w:spacing w:line="276" w:lineRule="auto"/>
        <w:jc w:val="both"/>
        <w:rPr>
          <w:sz w:val="20"/>
          <w:szCs w:val="20"/>
        </w:rPr>
      </w:pPr>
    </w:p>
    <w:p w:rsidR="00DE033F" w:rsidRDefault="00795412" w:rsidP="00795412">
      <w:pPr>
        <w:pStyle w:val="Default"/>
        <w:spacing w:line="276" w:lineRule="auto"/>
        <w:jc w:val="both"/>
        <w:rPr>
          <w:sz w:val="20"/>
          <w:szCs w:val="20"/>
        </w:rPr>
      </w:pPr>
      <w:r w:rsidRPr="00795412">
        <w:rPr>
          <w:sz w:val="20"/>
          <w:szCs w:val="20"/>
        </w:rPr>
        <w:t xml:space="preserve">It is our view that the ability of a company to meet its debts as and when these fall due is a more reliable indicator of financial distress. </w:t>
      </w:r>
    </w:p>
    <w:p w:rsidR="00070327" w:rsidRDefault="00070327" w:rsidP="00795412">
      <w:pPr>
        <w:pStyle w:val="Default"/>
        <w:spacing w:line="276" w:lineRule="auto"/>
        <w:jc w:val="both"/>
        <w:rPr>
          <w:sz w:val="20"/>
          <w:szCs w:val="20"/>
        </w:rPr>
      </w:pPr>
    </w:p>
    <w:p w:rsidR="00795412" w:rsidRPr="00795412" w:rsidRDefault="00070327" w:rsidP="00DE033F">
      <w:pPr>
        <w:pStyle w:val="Default"/>
        <w:spacing w:line="276" w:lineRule="auto"/>
        <w:jc w:val="both"/>
        <w:rPr>
          <w:sz w:val="20"/>
          <w:szCs w:val="20"/>
        </w:rPr>
      </w:pPr>
      <w:r>
        <w:rPr>
          <w:sz w:val="20"/>
          <w:szCs w:val="20"/>
        </w:rPr>
        <w:t xml:space="preserve">However, </w:t>
      </w:r>
      <w:r w:rsidR="00352ADE">
        <w:rPr>
          <w:sz w:val="20"/>
          <w:szCs w:val="20"/>
        </w:rPr>
        <w:t>we also</w:t>
      </w:r>
      <w:r w:rsidR="00DE033F">
        <w:rPr>
          <w:sz w:val="20"/>
          <w:szCs w:val="20"/>
        </w:rPr>
        <w:t xml:space="preserve"> believe that the </w:t>
      </w:r>
      <w:r w:rsidR="006064B2">
        <w:rPr>
          <w:sz w:val="20"/>
          <w:szCs w:val="20"/>
        </w:rPr>
        <w:t>C</w:t>
      </w:r>
      <w:r w:rsidR="00DE033F">
        <w:rPr>
          <w:sz w:val="20"/>
          <w:szCs w:val="20"/>
        </w:rPr>
        <w:t xml:space="preserve">ompanies </w:t>
      </w:r>
      <w:r w:rsidR="006064B2">
        <w:rPr>
          <w:sz w:val="20"/>
          <w:szCs w:val="20"/>
        </w:rPr>
        <w:t>A</w:t>
      </w:r>
      <w:r w:rsidR="00DE033F">
        <w:rPr>
          <w:sz w:val="20"/>
          <w:szCs w:val="20"/>
        </w:rPr>
        <w:t>ct aims to protect the public against unexpected</w:t>
      </w:r>
      <w:r w:rsidR="00352ADE">
        <w:rPr>
          <w:sz w:val="20"/>
          <w:szCs w:val="20"/>
        </w:rPr>
        <w:t xml:space="preserve"> business failure</w:t>
      </w:r>
      <w:r w:rsidR="00DE033F">
        <w:rPr>
          <w:sz w:val="20"/>
          <w:szCs w:val="20"/>
        </w:rPr>
        <w:t xml:space="preserve">. The </w:t>
      </w:r>
      <w:r w:rsidR="006064B2">
        <w:rPr>
          <w:sz w:val="20"/>
          <w:szCs w:val="20"/>
        </w:rPr>
        <w:t>A</w:t>
      </w:r>
      <w:r w:rsidR="00DE033F">
        <w:rPr>
          <w:sz w:val="20"/>
          <w:szCs w:val="20"/>
        </w:rPr>
        <w:t xml:space="preserve">ct therefore requires the correct interpretation of </w:t>
      </w:r>
      <w:r w:rsidR="00DE033F" w:rsidRPr="00795412">
        <w:rPr>
          <w:sz w:val="20"/>
          <w:szCs w:val="20"/>
        </w:rPr>
        <w:t>financial distress</w:t>
      </w:r>
      <w:r w:rsidR="00DE033F">
        <w:rPr>
          <w:sz w:val="20"/>
          <w:szCs w:val="20"/>
        </w:rPr>
        <w:t xml:space="preserve"> and the exact point when business rescue proceedings should kick in.</w:t>
      </w:r>
    </w:p>
    <w:p w:rsidR="00795412" w:rsidRPr="00795412" w:rsidRDefault="00795412" w:rsidP="00795412">
      <w:pPr>
        <w:spacing w:line="276" w:lineRule="auto"/>
        <w:jc w:val="both"/>
        <w:rPr>
          <w:rFonts w:ascii="Arial" w:hAnsi="Arial" w:cs="Arial"/>
        </w:rPr>
      </w:pPr>
    </w:p>
    <w:p w:rsidR="00795412" w:rsidRDefault="00795412" w:rsidP="00795412">
      <w:pPr>
        <w:spacing w:line="276" w:lineRule="auto"/>
        <w:jc w:val="both"/>
        <w:rPr>
          <w:rFonts w:ascii="Arial" w:hAnsi="Arial" w:cs="Arial"/>
          <w:color w:val="000000"/>
          <w:lang w:val="en-US"/>
        </w:rPr>
      </w:pPr>
      <w:r w:rsidRPr="00795412">
        <w:rPr>
          <w:rFonts w:ascii="Arial" w:hAnsi="Arial" w:cs="Arial"/>
          <w:color w:val="000000"/>
          <w:lang w:val="en-US"/>
        </w:rPr>
        <w:t>We recommend that a legal opinion be consulted on whether financial distress be interpreted as arising factual insolvency as we believe this may result in unintended consequences.</w:t>
      </w:r>
    </w:p>
    <w:p w:rsidR="006658D1" w:rsidRPr="00795412" w:rsidRDefault="006658D1" w:rsidP="00795412">
      <w:pPr>
        <w:spacing w:line="276" w:lineRule="auto"/>
        <w:jc w:val="both"/>
        <w:rPr>
          <w:rFonts w:ascii="Arial" w:hAnsi="Arial" w:cs="Arial"/>
          <w:color w:val="000000"/>
          <w:lang w:val="en-US"/>
        </w:rPr>
      </w:pPr>
    </w:p>
    <w:tbl>
      <w:tblPr>
        <w:tblStyle w:val="TableGrid"/>
        <w:tblW w:w="0" w:type="auto"/>
        <w:tblLook w:val="04A0" w:firstRow="1" w:lastRow="0" w:firstColumn="1" w:lastColumn="0" w:noHBand="0" w:noVBand="1"/>
      </w:tblPr>
      <w:tblGrid>
        <w:gridCol w:w="9016"/>
      </w:tblGrid>
      <w:tr w:rsidR="00795412" w:rsidRPr="00795412" w:rsidTr="00E93CE2">
        <w:tc>
          <w:tcPr>
            <w:tcW w:w="9016" w:type="dxa"/>
          </w:tcPr>
          <w:p w:rsidR="00795412" w:rsidRPr="00795412" w:rsidRDefault="00795412" w:rsidP="00795412">
            <w:pPr>
              <w:spacing w:line="276" w:lineRule="auto"/>
              <w:jc w:val="both"/>
              <w:rPr>
                <w:rFonts w:ascii="Arial" w:hAnsi="Arial" w:cs="Arial"/>
                <w:color w:val="000000"/>
                <w:lang w:val="en-US"/>
              </w:rPr>
            </w:pPr>
          </w:p>
          <w:p w:rsidR="00795412" w:rsidRPr="00795412" w:rsidRDefault="00795412" w:rsidP="00795412">
            <w:pPr>
              <w:pStyle w:val="ListParagraph"/>
              <w:numPr>
                <w:ilvl w:val="0"/>
                <w:numId w:val="22"/>
              </w:numPr>
              <w:spacing w:line="276" w:lineRule="auto"/>
              <w:jc w:val="both"/>
              <w:rPr>
                <w:rFonts w:ascii="Arial" w:hAnsi="Arial" w:cs="Arial"/>
              </w:rPr>
            </w:pPr>
            <w:r w:rsidRPr="00795412">
              <w:rPr>
                <w:rFonts w:ascii="Arial" w:hAnsi="Arial" w:cs="Arial"/>
              </w:rPr>
              <w:t>With respect to paragraph 56 of this Proposed Guide, respondents are asked whether they agree with the interpretation of regulation 29(1)(b). Respondents are asked to share the basis of their view.</w:t>
            </w:r>
          </w:p>
          <w:p w:rsidR="00795412" w:rsidRPr="00795412" w:rsidRDefault="00795412" w:rsidP="00795412">
            <w:pPr>
              <w:spacing w:line="276" w:lineRule="auto"/>
              <w:jc w:val="both"/>
              <w:rPr>
                <w:rFonts w:ascii="Arial" w:hAnsi="Arial" w:cs="Arial"/>
                <w:color w:val="000000"/>
                <w:lang w:val="en-US"/>
              </w:rPr>
            </w:pPr>
          </w:p>
        </w:tc>
      </w:tr>
    </w:tbl>
    <w:p w:rsidR="00795412" w:rsidRPr="00795412" w:rsidRDefault="00795412" w:rsidP="00795412">
      <w:pPr>
        <w:spacing w:line="276" w:lineRule="auto"/>
        <w:jc w:val="both"/>
        <w:rPr>
          <w:rFonts w:ascii="Arial" w:hAnsi="Arial" w:cs="Arial"/>
          <w:color w:val="000000"/>
          <w:lang w:val="en-US"/>
        </w:rPr>
      </w:pPr>
    </w:p>
    <w:p w:rsidR="00795412" w:rsidRPr="00795412" w:rsidRDefault="00795412" w:rsidP="00795412">
      <w:pPr>
        <w:spacing w:line="276" w:lineRule="auto"/>
        <w:jc w:val="both"/>
        <w:rPr>
          <w:rFonts w:ascii="Arial" w:hAnsi="Arial" w:cs="Arial"/>
        </w:rPr>
      </w:pPr>
      <w:r w:rsidRPr="00795412">
        <w:rPr>
          <w:rFonts w:ascii="Arial" w:hAnsi="Arial" w:cs="Arial"/>
        </w:rPr>
        <w:t>We have no specific view on the interpretation however have noted the following considerations:</w:t>
      </w:r>
    </w:p>
    <w:p w:rsidR="00795412" w:rsidRPr="00795412" w:rsidRDefault="00795412" w:rsidP="00795412">
      <w:pPr>
        <w:spacing w:line="276" w:lineRule="auto"/>
        <w:jc w:val="both"/>
        <w:rPr>
          <w:rFonts w:ascii="Arial" w:hAnsi="Arial" w:cs="Arial"/>
        </w:rPr>
      </w:pPr>
    </w:p>
    <w:p w:rsidR="00795412" w:rsidRPr="00795412" w:rsidRDefault="00795412" w:rsidP="00795412">
      <w:pPr>
        <w:pStyle w:val="ListParagraph"/>
        <w:numPr>
          <w:ilvl w:val="0"/>
          <w:numId w:val="23"/>
        </w:numPr>
        <w:spacing w:after="200" w:line="276" w:lineRule="auto"/>
        <w:jc w:val="both"/>
        <w:rPr>
          <w:rFonts w:ascii="Arial" w:hAnsi="Arial" w:cs="Arial"/>
        </w:rPr>
      </w:pPr>
      <w:r w:rsidRPr="00795412">
        <w:rPr>
          <w:rFonts w:ascii="Arial" w:hAnsi="Arial" w:cs="Arial"/>
        </w:rPr>
        <w:t xml:space="preserve">We are uncertain as to what the CIPC intends to do with this information once reported and considering our response to (i) above, there may be a large volume of these RIs reported. </w:t>
      </w:r>
    </w:p>
    <w:p w:rsidR="00795412" w:rsidRPr="00795412" w:rsidRDefault="00795412" w:rsidP="00795412">
      <w:pPr>
        <w:pStyle w:val="ListParagraph"/>
        <w:spacing w:line="276" w:lineRule="auto"/>
        <w:jc w:val="both"/>
        <w:rPr>
          <w:rFonts w:ascii="Arial" w:hAnsi="Arial" w:cs="Arial"/>
        </w:rPr>
      </w:pPr>
    </w:p>
    <w:p w:rsidR="00795412" w:rsidRPr="00795412" w:rsidRDefault="00795412" w:rsidP="00795412">
      <w:pPr>
        <w:pStyle w:val="ListParagraph"/>
        <w:numPr>
          <w:ilvl w:val="0"/>
          <w:numId w:val="23"/>
        </w:numPr>
        <w:spacing w:after="200" w:line="276" w:lineRule="auto"/>
        <w:jc w:val="both"/>
        <w:rPr>
          <w:rFonts w:ascii="Arial" w:hAnsi="Arial" w:cs="Arial"/>
        </w:rPr>
      </w:pPr>
      <w:r w:rsidRPr="00795412">
        <w:rPr>
          <w:rFonts w:ascii="Arial" w:hAnsi="Arial" w:cs="Arial"/>
        </w:rPr>
        <w:t xml:space="preserve">As a review entails less detailed substantive testing it will be prudent to report an RI when a company being reviewed is factually insolvent however </w:t>
      </w:r>
      <w:r w:rsidR="00844A98">
        <w:rPr>
          <w:rFonts w:ascii="Arial" w:hAnsi="Arial" w:cs="Arial"/>
        </w:rPr>
        <w:t>this may be onerous to independent reviewers</w:t>
      </w:r>
      <w:r w:rsidRPr="00795412">
        <w:rPr>
          <w:rFonts w:ascii="Arial" w:hAnsi="Arial" w:cs="Arial"/>
        </w:rPr>
        <w:t>. Practically this may be difficult in the scenario where a company is not factually insolvent at the date of review however at different stages during the period the company has been factually insolvent.</w:t>
      </w:r>
    </w:p>
    <w:p w:rsidR="00795412" w:rsidRPr="00795412" w:rsidRDefault="00795412" w:rsidP="00795412">
      <w:pPr>
        <w:pStyle w:val="ListParagraph"/>
        <w:spacing w:line="276" w:lineRule="auto"/>
        <w:jc w:val="both"/>
        <w:rPr>
          <w:rFonts w:ascii="Arial" w:hAnsi="Arial" w:cs="Arial"/>
        </w:rPr>
      </w:pPr>
    </w:p>
    <w:tbl>
      <w:tblPr>
        <w:tblStyle w:val="TableGrid"/>
        <w:tblW w:w="0" w:type="auto"/>
        <w:tblInd w:w="-5" w:type="dxa"/>
        <w:tblLook w:val="04A0" w:firstRow="1" w:lastRow="0" w:firstColumn="1" w:lastColumn="0" w:noHBand="0" w:noVBand="1"/>
      </w:tblPr>
      <w:tblGrid>
        <w:gridCol w:w="9021"/>
      </w:tblGrid>
      <w:tr w:rsidR="00795412" w:rsidRPr="00795412" w:rsidTr="00795412">
        <w:tc>
          <w:tcPr>
            <w:tcW w:w="9021" w:type="dxa"/>
          </w:tcPr>
          <w:p w:rsidR="00795412" w:rsidRPr="00795412" w:rsidRDefault="00795412" w:rsidP="00795412">
            <w:pPr>
              <w:pStyle w:val="ListParagraph"/>
              <w:spacing w:line="276" w:lineRule="auto"/>
              <w:ind w:left="0"/>
              <w:jc w:val="both"/>
              <w:rPr>
                <w:rFonts w:ascii="Arial" w:hAnsi="Arial" w:cs="Arial"/>
              </w:rPr>
            </w:pPr>
          </w:p>
          <w:p w:rsidR="00795412" w:rsidRPr="00795412" w:rsidRDefault="00795412" w:rsidP="00795412">
            <w:pPr>
              <w:pStyle w:val="ListParagraph"/>
              <w:numPr>
                <w:ilvl w:val="0"/>
                <w:numId w:val="22"/>
              </w:numPr>
              <w:spacing w:line="276" w:lineRule="auto"/>
              <w:jc w:val="both"/>
              <w:rPr>
                <w:rFonts w:ascii="Arial" w:hAnsi="Arial" w:cs="Arial"/>
              </w:rPr>
            </w:pPr>
            <w:r w:rsidRPr="00795412">
              <w:rPr>
                <w:rFonts w:ascii="Arial" w:hAnsi="Arial" w:cs="Arial"/>
              </w:rPr>
              <w:t>Do respondents agree with the identifications, descriptions of and distinctions between the various types of common responses to factual insolvency dealt with in this Proposed Guide, being the letters of support, letters of comfort, guarantees and subordinations?</w:t>
            </w:r>
          </w:p>
          <w:p w:rsidR="00795412" w:rsidRPr="00795412" w:rsidRDefault="00795412" w:rsidP="00795412">
            <w:pPr>
              <w:pStyle w:val="ListParagraph"/>
              <w:spacing w:line="276" w:lineRule="auto"/>
              <w:ind w:left="0"/>
              <w:jc w:val="both"/>
              <w:rPr>
                <w:rFonts w:ascii="Arial" w:hAnsi="Arial" w:cs="Arial"/>
              </w:rPr>
            </w:pPr>
          </w:p>
        </w:tc>
      </w:tr>
    </w:tbl>
    <w:p w:rsidR="00795412" w:rsidRPr="00070327" w:rsidRDefault="00795412" w:rsidP="00070327">
      <w:pPr>
        <w:spacing w:line="276" w:lineRule="auto"/>
        <w:jc w:val="both"/>
        <w:rPr>
          <w:rFonts w:ascii="Arial" w:hAnsi="Arial" w:cs="Arial"/>
        </w:rPr>
      </w:pPr>
    </w:p>
    <w:p w:rsidR="00795412" w:rsidRPr="00795412" w:rsidRDefault="00795412" w:rsidP="00795412">
      <w:pPr>
        <w:spacing w:line="276" w:lineRule="auto"/>
        <w:jc w:val="both"/>
        <w:rPr>
          <w:rFonts w:ascii="Arial" w:hAnsi="Arial" w:cs="Arial"/>
        </w:rPr>
      </w:pPr>
      <w:r w:rsidRPr="00795412">
        <w:rPr>
          <w:rFonts w:ascii="Arial" w:hAnsi="Arial" w:cs="Arial"/>
        </w:rPr>
        <w:t>Yes, we agree with the above and consider it to be useful to practitioners.</w:t>
      </w:r>
      <w:r w:rsidR="00F90A86">
        <w:rPr>
          <w:rFonts w:ascii="Arial" w:hAnsi="Arial" w:cs="Arial"/>
        </w:rPr>
        <w:t xml:space="preserve"> </w:t>
      </w:r>
      <w:r w:rsidR="003453D8">
        <w:rPr>
          <w:rFonts w:ascii="Arial" w:hAnsi="Arial" w:cs="Arial"/>
        </w:rPr>
        <w:t>Practitioners</w:t>
      </w:r>
      <w:r w:rsidR="00F90A86">
        <w:rPr>
          <w:rFonts w:ascii="Arial" w:hAnsi="Arial" w:cs="Arial"/>
        </w:rPr>
        <w:t xml:space="preserve"> should however not </w:t>
      </w:r>
      <w:r w:rsidR="003453D8">
        <w:rPr>
          <w:rFonts w:ascii="Arial" w:hAnsi="Arial" w:cs="Arial"/>
        </w:rPr>
        <w:t xml:space="preserve">place undue reliance </w:t>
      </w:r>
      <w:r w:rsidR="00F90A86">
        <w:rPr>
          <w:rFonts w:ascii="Arial" w:hAnsi="Arial" w:cs="Arial"/>
        </w:rPr>
        <w:t xml:space="preserve">on any of these </w:t>
      </w:r>
      <w:r w:rsidR="003453D8">
        <w:rPr>
          <w:rFonts w:ascii="Arial" w:hAnsi="Arial" w:cs="Arial"/>
        </w:rPr>
        <w:t xml:space="preserve">agreements entered into by management, they should apply a healthy dose of professional scepticism in assessing its validity and ensure </w:t>
      </w:r>
      <w:r w:rsidR="007A76D8">
        <w:rPr>
          <w:rFonts w:ascii="Arial" w:hAnsi="Arial" w:cs="Arial"/>
        </w:rPr>
        <w:t>that the risk is mitigated to an appropriate low level</w:t>
      </w:r>
      <w:r w:rsidR="003453D8">
        <w:rPr>
          <w:rFonts w:ascii="Arial" w:hAnsi="Arial" w:cs="Arial"/>
        </w:rPr>
        <w:t>.</w:t>
      </w:r>
    </w:p>
    <w:p w:rsidR="00795412" w:rsidRPr="00795412" w:rsidRDefault="00795412" w:rsidP="00795412">
      <w:pPr>
        <w:spacing w:line="276" w:lineRule="auto"/>
        <w:jc w:val="both"/>
        <w:rPr>
          <w:rFonts w:ascii="Arial" w:hAnsi="Arial" w:cs="Arial"/>
        </w:rPr>
      </w:pPr>
    </w:p>
    <w:tbl>
      <w:tblPr>
        <w:tblStyle w:val="TableGrid"/>
        <w:tblW w:w="0" w:type="auto"/>
        <w:tblLook w:val="04A0" w:firstRow="1" w:lastRow="0" w:firstColumn="1" w:lastColumn="0" w:noHBand="0" w:noVBand="1"/>
      </w:tblPr>
      <w:tblGrid>
        <w:gridCol w:w="9016"/>
      </w:tblGrid>
      <w:tr w:rsidR="00795412" w:rsidRPr="00795412" w:rsidTr="00E93CE2">
        <w:tc>
          <w:tcPr>
            <w:tcW w:w="9016" w:type="dxa"/>
          </w:tcPr>
          <w:p w:rsidR="00795412" w:rsidRPr="00795412" w:rsidRDefault="00795412" w:rsidP="00795412">
            <w:pPr>
              <w:spacing w:line="276" w:lineRule="auto"/>
              <w:jc w:val="both"/>
              <w:rPr>
                <w:rFonts w:ascii="Arial" w:hAnsi="Arial" w:cs="Arial"/>
              </w:rPr>
            </w:pPr>
          </w:p>
          <w:p w:rsidR="00795412" w:rsidRPr="00795412" w:rsidRDefault="00795412" w:rsidP="00795412">
            <w:pPr>
              <w:pStyle w:val="ListParagraph"/>
              <w:numPr>
                <w:ilvl w:val="0"/>
                <w:numId w:val="22"/>
              </w:numPr>
              <w:spacing w:line="276" w:lineRule="auto"/>
              <w:jc w:val="both"/>
              <w:rPr>
                <w:rFonts w:ascii="Arial" w:hAnsi="Arial" w:cs="Arial"/>
              </w:rPr>
            </w:pPr>
            <w:r w:rsidRPr="00795412">
              <w:rPr>
                <w:rFonts w:ascii="Arial" w:hAnsi="Arial" w:cs="Arial"/>
              </w:rPr>
              <w:t>This Proposed Guide contains an illustrative subordination agreement in Appendix 3. Respondents are asked to comment on whether or not an illustrative subordination agreement should be included in this Proposed Guide.</w:t>
            </w:r>
          </w:p>
          <w:p w:rsidR="00795412" w:rsidRPr="00795412" w:rsidRDefault="00795412" w:rsidP="00795412">
            <w:pPr>
              <w:pStyle w:val="ListParagraph"/>
              <w:spacing w:line="276" w:lineRule="auto"/>
              <w:ind w:left="1080"/>
              <w:jc w:val="both"/>
              <w:rPr>
                <w:rFonts w:ascii="Arial" w:hAnsi="Arial" w:cs="Arial"/>
              </w:rPr>
            </w:pPr>
          </w:p>
          <w:p w:rsidR="00795412" w:rsidRPr="00795412" w:rsidRDefault="00795412" w:rsidP="00795412">
            <w:pPr>
              <w:pStyle w:val="ListParagraph"/>
              <w:numPr>
                <w:ilvl w:val="0"/>
                <w:numId w:val="22"/>
              </w:numPr>
              <w:autoSpaceDE w:val="0"/>
              <w:autoSpaceDN w:val="0"/>
              <w:adjustRightInd w:val="0"/>
              <w:spacing w:line="276" w:lineRule="auto"/>
              <w:jc w:val="both"/>
              <w:rPr>
                <w:rFonts w:ascii="Arial" w:hAnsi="Arial" w:cs="Arial"/>
                <w:color w:val="000000"/>
                <w:lang w:val="en-US"/>
              </w:rPr>
            </w:pPr>
            <w:r w:rsidRPr="00795412">
              <w:rPr>
                <w:rFonts w:ascii="Arial" w:hAnsi="Arial" w:cs="Arial"/>
                <w:color w:val="000000"/>
                <w:lang w:val="en-US"/>
              </w:rPr>
              <w:t xml:space="preserve">Do respondents believe that this Proposed Guide should include an illustrative letter of guarantee or letter of support, particularly taking into account the many variations thereof in practice? </w:t>
            </w:r>
          </w:p>
          <w:p w:rsidR="00795412" w:rsidRPr="00795412" w:rsidRDefault="00795412" w:rsidP="00795412">
            <w:pPr>
              <w:spacing w:line="276" w:lineRule="auto"/>
              <w:jc w:val="both"/>
              <w:rPr>
                <w:rFonts w:ascii="Arial" w:hAnsi="Arial" w:cs="Arial"/>
              </w:rPr>
            </w:pPr>
          </w:p>
        </w:tc>
      </w:tr>
    </w:tbl>
    <w:p w:rsidR="00795412" w:rsidRPr="00795412" w:rsidRDefault="00795412" w:rsidP="00795412">
      <w:pPr>
        <w:spacing w:line="276" w:lineRule="auto"/>
        <w:jc w:val="both"/>
        <w:rPr>
          <w:rFonts w:ascii="Arial" w:hAnsi="Arial" w:cs="Arial"/>
        </w:rPr>
      </w:pPr>
    </w:p>
    <w:p w:rsidR="00795412" w:rsidRPr="00795412" w:rsidRDefault="00795412" w:rsidP="00795412">
      <w:pPr>
        <w:spacing w:line="276" w:lineRule="auto"/>
        <w:jc w:val="both"/>
        <w:rPr>
          <w:rFonts w:ascii="Arial" w:hAnsi="Arial" w:cs="Arial"/>
        </w:rPr>
      </w:pPr>
      <w:r w:rsidRPr="00795412">
        <w:rPr>
          <w:rFonts w:ascii="Arial" w:hAnsi="Arial" w:cs="Arial"/>
        </w:rPr>
        <w:t>The team expressed mixed views on the inclusion of the illustrative agreements. The basis for these views are discussed below.</w:t>
      </w:r>
    </w:p>
    <w:p w:rsidR="00795412" w:rsidRPr="00795412" w:rsidRDefault="00795412" w:rsidP="00795412">
      <w:pPr>
        <w:spacing w:line="276" w:lineRule="auto"/>
        <w:jc w:val="both"/>
        <w:rPr>
          <w:rFonts w:ascii="Arial" w:hAnsi="Arial" w:cs="Arial"/>
        </w:rPr>
      </w:pPr>
    </w:p>
    <w:p w:rsidR="00352ADE" w:rsidRDefault="00795412" w:rsidP="00352ADE">
      <w:pPr>
        <w:pStyle w:val="ListParagraph"/>
        <w:numPr>
          <w:ilvl w:val="0"/>
          <w:numId w:val="23"/>
        </w:numPr>
        <w:spacing w:after="200" w:line="276" w:lineRule="auto"/>
        <w:jc w:val="both"/>
        <w:rPr>
          <w:rFonts w:ascii="Arial" w:hAnsi="Arial" w:cs="Arial"/>
        </w:rPr>
      </w:pPr>
      <w:r>
        <w:rPr>
          <w:rFonts w:ascii="Arial" w:hAnsi="Arial" w:cs="Arial"/>
        </w:rPr>
        <w:t xml:space="preserve">Illustrative agreements </w:t>
      </w:r>
      <w:r w:rsidR="00352ADE">
        <w:rPr>
          <w:rFonts w:ascii="Arial" w:hAnsi="Arial" w:cs="Arial"/>
        </w:rPr>
        <w:t>may</w:t>
      </w:r>
      <w:r w:rsidRPr="00795412">
        <w:rPr>
          <w:rFonts w:ascii="Arial" w:hAnsi="Arial" w:cs="Arial"/>
        </w:rPr>
        <w:t xml:space="preserve"> be valuable to SMPs who may not have seen many of these agreements/letters and therefore may know what to look for when reviewing these agreements.</w:t>
      </w:r>
      <w:r>
        <w:rPr>
          <w:rFonts w:ascii="Arial" w:hAnsi="Arial" w:cs="Arial"/>
        </w:rPr>
        <w:t xml:space="preserve"> Therefore, in addition to the illustrative subordination agreement, an illustrative letter of support, letters of comfort and guarantee should be provided.</w:t>
      </w:r>
    </w:p>
    <w:p w:rsidR="00352ADE" w:rsidRDefault="00352ADE" w:rsidP="00352ADE">
      <w:pPr>
        <w:pStyle w:val="ListParagraph"/>
        <w:spacing w:after="200" w:line="276" w:lineRule="auto"/>
        <w:jc w:val="both"/>
        <w:rPr>
          <w:rFonts w:ascii="Arial" w:hAnsi="Arial" w:cs="Arial"/>
        </w:rPr>
      </w:pPr>
    </w:p>
    <w:p w:rsidR="00070327" w:rsidRDefault="00352ADE" w:rsidP="00352ADE">
      <w:pPr>
        <w:pStyle w:val="ListParagraph"/>
        <w:numPr>
          <w:ilvl w:val="0"/>
          <w:numId w:val="23"/>
        </w:numPr>
        <w:spacing w:after="200" w:line="276" w:lineRule="auto"/>
        <w:jc w:val="both"/>
        <w:rPr>
          <w:rFonts w:ascii="Arial" w:hAnsi="Arial" w:cs="Arial"/>
        </w:rPr>
      </w:pPr>
      <w:r w:rsidRPr="00352ADE">
        <w:rPr>
          <w:rFonts w:ascii="Arial" w:hAnsi="Arial" w:cs="Arial"/>
        </w:rPr>
        <w:t>Whilst these illustrative agreements may be valuable to Auditors or Reviewers, t</w:t>
      </w:r>
      <w:r w:rsidR="00795412" w:rsidRPr="00352ADE">
        <w:rPr>
          <w:rFonts w:ascii="Arial" w:hAnsi="Arial" w:cs="Arial"/>
        </w:rPr>
        <w:t>hese</w:t>
      </w:r>
      <w:r w:rsidR="008817D1">
        <w:rPr>
          <w:rFonts w:ascii="Arial" w:hAnsi="Arial" w:cs="Arial"/>
        </w:rPr>
        <w:t xml:space="preserve"> is a risk</w:t>
      </w:r>
      <w:r w:rsidR="00070327">
        <w:rPr>
          <w:rFonts w:ascii="Arial" w:hAnsi="Arial" w:cs="Arial"/>
        </w:rPr>
        <w:t xml:space="preserve"> that these </w:t>
      </w:r>
      <w:r w:rsidR="00795412" w:rsidRPr="00352ADE">
        <w:rPr>
          <w:rFonts w:ascii="Arial" w:hAnsi="Arial" w:cs="Arial"/>
        </w:rPr>
        <w:t xml:space="preserve">agreements are used as a checklist and the unique legal clauses contained within these types of agreements are incorrectly interpreted and applied. </w:t>
      </w:r>
    </w:p>
    <w:p w:rsidR="00070327" w:rsidRPr="00070327" w:rsidRDefault="00070327" w:rsidP="00070327">
      <w:pPr>
        <w:pStyle w:val="ListParagraph"/>
        <w:rPr>
          <w:rFonts w:ascii="Arial" w:hAnsi="Arial" w:cs="Arial"/>
        </w:rPr>
      </w:pPr>
    </w:p>
    <w:p w:rsidR="00C90B68" w:rsidRPr="00070327" w:rsidRDefault="00E5553D" w:rsidP="008B5232">
      <w:pPr>
        <w:pStyle w:val="ListParagraph"/>
        <w:numPr>
          <w:ilvl w:val="0"/>
          <w:numId w:val="23"/>
        </w:numPr>
        <w:spacing w:after="200" w:line="276" w:lineRule="auto"/>
        <w:jc w:val="both"/>
        <w:rPr>
          <w:rFonts w:ascii="Arial" w:hAnsi="Arial" w:cs="Arial"/>
        </w:rPr>
      </w:pPr>
      <w:r w:rsidRPr="00070327">
        <w:rPr>
          <w:rFonts w:ascii="Arial" w:hAnsi="Arial" w:cs="Arial"/>
        </w:rPr>
        <w:t>The auditor’s duty is to audit the substance of these types of agreements, i.e. the adequacy of the support rather than focussing on a document which may have inherent legal limitations. Inclusion of the</w:t>
      </w:r>
      <w:r w:rsidR="00352ADE" w:rsidRPr="00070327">
        <w:rPr>
          <w:rFonts w:ascii="Arial" w:hAnsi="Arial" w:cs="Arial"/>
        </w:rPr>
        <w:t>se illustrative agreements</w:t>
      </w:r>
      <w:r w:rsidRPr="00070327">
        <w:rPr>
          <w:rFonts w:ascii="Arial" w:hAnsi="Arial" w:cs="Arial"/>
        </w:rPr>
        <w:t xml:space="preserve"> may shift the focus of the auditor from </w:t>
      </w:r>
      <w:r w:rsidR="00352ADE" w:rsidRPr="00070327">
        <w:rPr>
          <w:rFonts w:ascii="Arial" w:hAnsi="Arial" w:cs="Arial"/>
        </w:rPr>
        <w:t xml:space="preserve">assessing the </w:t>
      </w:r>
      <w:r w:rsidRPr="00070327">
        <w:rPr>
          <w:rFonts w:ascii="Arial" w:hAnsi="Arial" w:cs="Arial"/>
        </w:rPr>
        <w:t>adequacy of the support and towards</w:t>
      </w:r>
      <w:r w:rsidR="00352ADE" w:rsidRPr="00070327">
        <w:rPr>
          <w:rFonts w:ascii="Arial" w:hAnsi="Arial" w:cs="Arial"/>
        </w:rPr>
        <w:t xml:space="preserve"> simply reviewing</w:t>
      </w:r>
      <w:r w:rsidRPr="00070327">
        <w:rPr>
          <w:rFonts w:ascii="Arial" w:hAnsi="Arial" w:cs="Arial"/>
        </w:rPr>
        <w:t xml:space="preserve"> the document</w:t>
      </w:r>
      <w:r w:rsidR="00352ADE" w:rsidRPr="00070327">
        <w:rPr>
          <w:rFonts w:ascii="Arial" w:hAnsi="Arial" w:cs="Arial"/>
        </w:rPr>
        <w:t xml:space="preserve"> against the illustrative agreement provided in the Proposed Guide</w:t>
      </w:r>
      <w:r w:rsidRPr="00070327">
        <w:rPr>
          <w:rFonts w:ascii="Arial" w:hAnsi="Arial" w:cs="Arial"/>
        </w:rPr>
        <w:t>.</w:t>
      </w:r>
      <w:r w:rsidR="00352ADE" w:rsidRPr="00070327">
        <w:rPr>
          <w:rFonts w:ascii="Arial" w:hAnsi="Arial" w:cs="Arial"/>
        </w:rPr>
        <w:t xml:space="preserve"> </w:t>
      </w:r>
      <w:r w:rsidR="00070327" w:rsidRPr="00070327">
        <w:rPr>
          <w:rFonts w:ascii="Arial" w:hAnsi="Arial" w:cs="Arial"/>
        </w:rPr>
        <w:t xml:space="preserve">These illustrative examples may also be incorrectly used by practitioners as templates which they provide to their clients which could create a self-review threat to independence. </w:t>
      </w:r>
      <w:r w:rsidR="008817D1">
        <w:rPr>
          <w:rFonts w:ascii="Arial" w:hAnsi="Arial" w:cs="Arial"/>
        </w:rPr>
        <w:t>As per</w:t>
      </w:r>
      <w:r w:rsidR="00352ADE" w:rsidRPr="00070327">
        <w:rPr>
          <w:rFonts w:ascii="Arial" w:hAnsi="Arial" w:cs="Arial"/>
        </w:rPr>
        <w:t xml:space="preserve"> ISA 570</w:t>
      </w:r>
      <w:r w:rsidR="00070327">
        <w:rPr>
          <w:rFonts w:ascii="Arial" w:hAnsi="Arial" w:cs="Arial"/>
        </w:rPr>
        <w:t xml:space="preserve"> the responsibilities of the auditor</w:t>
      </w:r>
      <w:r w:rsidR="008817D1">
        <w:rPr>
          <w:rFonts w:ascii="Arial" w:hAnsi="Arial" w:cs="Arial"/>
        </w:rPr>
        <w:t xml:space="preserve"> are</w:t>
      </w:r>
      <w:r w:rsidR="00352ADE" w:rsidRPr="00070327">
        <w:rPr>
          <w:rFonts w:ascii="Arial" w:hAnsi="Arial" w:cs="Arial"/>
        </w:rPr>
        <w:t xml:space="preserve"> not to advise clients but </w:t>
      </w:r>
      <w:r w:rsidR="00070327">
        <w:rPr>
          <w:rFonts w:ascii="Arial" w:hAnsi="Arial" w:cs="Arial"/>
        </w:rPr>
        <w:t xml:space="preserve">to </w:t>
      </w:r>
      <w:r w:rsidR="00352ADE" w:rsidRPr="00070327">
        <w:rPr>
          <w:rFonts w:ascii="Arial" w:hAnsi="Arial" w:cs="Arial"/>
        </w:rPr>
        <w:t>audit their assessments and representations.</w:t>
      </w:r>
      <w:r w:rsidR="00070327" w:rsidRPr="00070327">
        <w:rPr>
          <w:rFonts w:ascii="Arial" w:hAnsi="Arial" w:cs="Arial"/>
        </w:rPr>
        <w:t xml:space="preserve"> </w:t>
      </w:r>
    </w:p>
    <w:p w:rsidR="00795412" w:rsidRPr="00795412" w:rsidRDefault="00795412" w:rsidP="00795412">
      <w:pPr>
        <w:pStyle w:val="ListParagraph"/>
        <w:rPr>
          <w:rFonts w:ascii="Arial" w:hAnsi="Arial" w:cs="Arial"/>
        </w:rPr>
      </w:pPr>
    </w:p>
    <w:p w:rsidR="00070327" w:rsidRDefault="00070327" w:rsidP="00795412">
      <w:pPr>
        <w:spacing w:after="200" w:line="276" w:lineRule="auto"/>
        <w:jc w:val="both"/>
        <w:rPr>
          <w:rFonts w:ascii="Arial" w:hAnsi="Arial" w:cs="Arial"/>
        </w:rPr>
      </w:pPr>
    </w:p>
    <w:p w:rsidR="0030354C" w:rsidRDefault="00844A98" w:rsidP="00795412">
      <w:pPr>
        <w:spacing w:after="200" w:line="276" w:lineRule="auto"/>
        <w:jc w:val="both"/>
        <w:rPr>
          <w:rFonts w:ascii="Arial" w:hAnsi="Arial" w:cs="Arial"/>
        </w:rPr>
      </w:pPr>
      <w:r>
        <w:rPr>
          <w:rFonts w:ascii="Arial" w:hAnsi="Arial" w:cs="Arial"/>
        </w:rPr>
        <w:t>Please do not hesitate to contact me for further information or discussion.</w:t>
      </w:r>
    </w:p>
    <w:p w:rsidR="00795412" w:rsidRDefault="00795412" w:rsidP="00795412">
      <w:pPr>
        <w:spacing w:after="200" w:line="276" w:lineRule="auto"/>
        <w:jc w:val="both"/>
        <w:rPr>
          <w:rFonts w:ascii="Arial" w:hAnsi="Arial" w:cs="Arial"/>
        </w:rPr>
      </w:pPr>
      <w:r w:rsidRPr="00795412">
        <w:rPr>
          <w:rFonts w:ascii="Arial" w:hAnsi="Arial" w:cs="Arial"/>
        </w:rPr>
        <w:t>Kind Regards</w:t>
      </w:r>
    </w:p>
    <w:p w:rsidR="0030354C" w:rsidRDefault="0099743B" w:rsidP="0030354C">
      <w:pPr>
        <w:rPr>
          <w:rFonts w:ascii="Arial" w:hAnsi="Arial" w:cs="Arial"/>
          <w:b/>
          <w:bCs/>
          <w:color w:val="800000"/>
          <w:sz w:val="18"/>
          <w:szCs w:val="18"/>
          <w:lang w:val="en-GB" w:eastAsia="en-ZA"/>
        </w:rPr>
      </w:pPr>
      <w:r>
        <w:rPr>
          <w:rFonts w:ascii="Arial" w:hAnsi="Arial" w:cs="Arial"/>
          <w:b/>
          <w:bCs/>
          <w:noProof/>
          <w:color w:val="800000"/>
          <w:sz w:val="18"/>
          <w:szCs w:val="18"/>
          <w:lang w:val="en-US"/>
        </w:rPr>
        <w:drawing>
          <wp:inline distT="0" distB="0" distL="0" distR="0" wp14:anchorId="6A5AC8A8" wp14:editId="3B18B09C">
            <wp:extent cx="1200229" cy="10699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 E 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0229" cy="1069918"/>
                    </a:xfrm>
                    <a:prstGeom prst="rect">
                      <a:avLst/>
                    </a:prstGeom>
                  </pic:spPr>
                </pic:pic>
              </a:graphicData>
            </a:graphic>
          </wp:inline>
        </w:drawing>
      </w:r>
    </w:p>
    <w:p w:rsidR="0030354C" w:rsidRDefault="0030354C" w:rsidP="0030354C">
      <w:pPr>
        <w:rPr>
          <w:rFonts w:ascii="Arial" w:hAnsi="Arial" w:cs="Arial"/>
        </w:rPr>
      </w:pPr>
    </w:p>
    <w:p w:rsidR="0030354C" w:rsidRPr="0030354C" w:rsidRDefault="0099743B" w:rsidP="0030354C">
      <w:pPr>
        <w:rPr>
          <w:rFonts w:ascii="Arial" w:hAnsi="Arial" w:cs="Arial"/>
        </w:rPr>
      </w:pPr>
      <w:r>
        <w:rPr>
          <w:rFonts w:ascii="Arial" w:hAnsi="Arial" w:cs="Arial"/>
        </w:rPr>
        <w:t>IMRE NAGY</w:t>
      </w:r>
    </w:p>
    <w:p w:rsidR="0030354C" w:rsidRPr="0030354C" w:rsidRDefault="0030354C" w:rsidP="0030354C">
      <w:pPr>
        <w:rPr>
          <w:rFonts w:ascii="Arial" w:hAnsi="Arial" w:cs="Arial"/>
        </w:rPr>
      </w:pPr>
      <w:r w:rsidRPr="0030354C">
        <w:rPr>
          <w:rFonts w:ascii="Arial" w:hAnsi="Arial" w:cs="Arial"/>
        </w:rPr>
        <w:t>DIRECTOR: INSPECTIONS</w:t>
      </w:r>
    </w:p>
    <w:p w:rsidR="00F26B53" w:rsidRPr="00795412" w:rsidRDefault="00F26B53" w:rsidP="00795412">
      <w:pPr>
        <w:spacing w:line="360" w:lineRule="auto"/>
        <w:ind w:left="720"/>
        <w:jc w:val="both"/>
        <w:rPr>
          <w:rFonts w:ascii="Arial" w:hAnsi="Arial" w:cs="Arial"/>
          <w:sz w:val="22"/>
          <w:szCs w:val="22"/>
        </w:rPr>
      </w:pPr>
    </w:p>
    <w:sectPr w:rsidR="00F26B53" w:rsidRPr="0079541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95C" w:rsidRDefault="00C7395C" w:rsidP="000C1271">
      <w:r>
        <w:separator/>
      </w:r>
    </w:p>
  </w:endnote>
  <w:endnote w:type="continuationSeparator" w:id="0">
    <w:p w:rsidR="00C7395C" w:rsidRDefault="00C7395C" w:rsidP="000C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5196792"/>
      <w:docPartObj>
        <w:docPartGallery w:val="Page Numbers (Bottom of Page)"/>
        <w:docPartUnique/>
      </w:docPartObj>
    </w:sdtPr>
    <w:sdtEndPr>
      <w:rPr>
        <w:rFonts w:ascii="Arial" w:hAnsi="Arial" w:cs="Arial"/>
        <w:noProof/>
        <w:sz w:val="18"/>
        <w:szCs w:val="18"/>
      </w:rPr>
    </w:sdtEndPr>
    <w:sdtContent>
      <w:p w:rsidR="00E93CE2" w:rsidRPr="000C1271" w:rsidRDefault="00E93CE2">
        <w:pPr>
          <w:pStyle w:val="Footer"/>
          <w:jc w:val="center"/>
          <w:rPr>
            <w:rFonts w:ascii="Arial" w:hAnsi="Arial" w:cs="Arial"/>
            <w:sz w:val="18"/>
            <w:szCs w:val="18"/>
          </w:rPr>
        </w:pPr>
        <w:r w:rsidRPr="000C1271">
          <w:rPr>
            <w:rFonts w:ascii="Arial" w:hAnsi="Arial" w:cs="Arial"/>
            <w:sz w:val="18"/>
            <w:szCs w:val="18"/>
          </w:rPr>
          <w:fldChar w:fldCharType="begin"/>
        </w:r>
        <w:r w:rsidRPr="000C1271">
          <w:rPr>
            <w:rFonts w:ascii="Arial" w:hAnsi="Arial" w:cs="Arial"/>
            <w:sz w:val="18"/>
            <w:szCs w:val="18"/>
          </w:rPr>
          <w:instrText xml:space="preserve"> PAGE   \* MERGEFORMAT </w:instrText>
        </w:r>
        <w:r w:rsidRPr="000C1271">
          <w:rPr>
            <w:rFonts w:ascii="Arial" w:hAnsi="Arial" w:cs="Arial"/>
            <w:sz w:val="18"/>
            <w:szCs w:val="18"/>
          </w:rPr>
          <w:fldChar w:fldCharType="separate"/>
        </w:r>
        <w:r w:rsidR="00CD307B">
          <w:rPr>
            <w:rFonts w:ascii="Arial" w:hAnsi="Arial" w:cs="Arial"/>
            <w:noProof/>
            <w:sz w:val="18"/>
            <w:szCs w:val="18"/>
          </w:rPr>
          <w:t>2</w:t>
        </w:r>
        <w:r w:rsidRPr="000C1271">
          <w:rPr>
            <w:rFonts w:ascii="Arial" w:hAnsi="Arial" w:cs="Arial"/>
            <w:noProof/>
            <w:sz w:val="18"/>
            <w:szCs w:val="18"/>
          </w:rPr>
          <w:fldChar w:fldCharType="end"/>
        </w:r>
      </w:p>
    </w:sdtContent>
  </w:sdt>
  <w:p w:rsidR="00E93CE2" w:rsidRDefault="00E93C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95C" w:rsidRDefault="00C7395C" w:rsidP="000C1271">
      <w:r>
        <w:separator/>
      </w:r>
    </w:p>
  </w:footnote>
  <w:footnote w:type="continuationSeparator" w:id="0">
    <w:p w:rsidR="00C7395C" w:rsidRDefault="00C7395C" w:rsidP="000C12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9.75pt" o:bullet="t">
        <v:imagedata r:id="rId1" o:title="BD21300_"/>
      </v:shape>
    </w:pict>
  </w:numPicBullet>
  <w:abstractNum w:abstractNumId="0" w15:restartNumberingAfterBreak="0">
    <w:nsid w:val="0B9D3895"/>
    <w:multiLevelType w:val="multilevel"/>
    <w:tmpl w:val="9C8C3F88"/>
    <w:lvl w:ilvl="0">
      <w:start w:val="1"/>
      <w:numFmt w:val="decimal"/>
      <w:lvlText w:val="%1."/>
      <w:lvlJc w:val="left"/>
      <w:pPr>
        <w:ind w:left="700" w:hanging="600"/>
      </w:pPr>
      <w:rPr>
        <w:rFonts w:ascii="Arial" w:eastAsia="Arial" w:hAnsi="Arial" w:hint="default"/>
        <w:b/>
        <w:bCs/>
        <w:spacing w:val="-1"/>
        <w:sz w:val="22"/>
        <w:szCs w:val="22"/>
      </w:rPr>
    </w:lvl>
    <w:lvl w:ilvl="1">
      <w:start w:val="1"/>
      <w:numFmt w:val="bullet"/>
      <w:lvlText w:val=""/>
      <w:lvlJc w:val="left"/>
      <w:pPr>
        <w:ind w:left="892" w:hanging="432"/>
      </w:pPr>
      <w:rPr>
        <w:rFonts w:ascii="Wingdings" w:hAnsi="Wingdings"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1540" w:hanging="720"/>
      </w:pPr>
      <w:rPr>
        <w:rFonts w:hint="default"/>
      </w:rPr>
    </w:lvl>
    <w:lvl w:ilvl="4">
      <w:start w:val="1"/>
      <w:numFmt w:val="bullet"/>
      <w:lvlText w:val="•"/>
      <w:lvlJc w:val="left"/>
      <w:pPr>
        <w:ind w:left="2641" w:hanging="720"/>
      </w:pPr>
      <w:rPr>
        <w:rFonts w:hint="default"/>
      </w:rPr>
    </w:lvl>
    <w:lvl w:ilvl="5">
      <w:start w:val="1"/>
      <w:numFmt w:val="bullet"/>
      <w:lvlText w:val="•"/>
      <w:lvlJc w:val="left"/>
      <w:pPr>
        <w:ind w:left="3742" w:hanging="720"/>
      </w:pPr>
      <w:rPr>
        <w:rFonts w:hint="default"/>
      </w:rPr>
    </w:lvl>
    <w:lvl w:ilvl="6">
      <w:start w:val="1"/>
      <w:numFmt w:val="bullet"/>
      <w:lvlText w:val="•"/>
      <w:lvlJc w:val="left"/>
      <w:pPr>
        <w:ind w:left="4842" w:hanging="720"/>
      </w:pPr>
      <w:rPr>
        <w:rFonts w:hint="default"/>
      </w:rPr>
    </w:lvl>
    <w:lvl w:ilvl="7">
      <w:start w:val="1"/>
      <w:numFmt w:val="bullet"/>
      <w:lvlText w:val="•"/>
      <w:lvlJc w:val="left"/>
      <w:pPr>
        <w:ind w:left="5943" w:hanging="720"/>
      </w:pPr>
      <w:rPr>
        <w:rFonts w:hint="default"/>
      </w:rPr>
    </w:lvl>
    <w:lvl w:ilvl="8">
      <w:start w:val="1"/>
      <w:numFmt w:val="bullet"/>
      <w:lvlText w:val="•"/>
      <w:lvlJc w:val="left"/>
      <w:pPr>
        <w:ind w:left="7044" w:hanging="720"/>
      </w:pPr>
      <w:rPr>
        <w:rFonts w:hint="default"/>
      </w:rPr>
    </w:lvl>
  </w:abstractNum>
  <w:abstractNum w:abstractNumId="1" w15:restartNumberingAfterBreak="0">
    <w:nsid w:val="14605315"/>
    <w:multiLevelType w:val="hybridMultilevel"/>
    <w:tmpl w:val="E4064552"/>
    <w:lvl w:ilvl="0" w:tplc="54F242A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C970620"/>
    <w:multiLevelType w:val="hybridMultilevel"/>
    <w:tmpl w:val="6506FAFA"/>
    <w:lvl w:ilvl="0" w:tplc="C3285804">
      <w:start w:val="22"/>
      <w:numFmt w:val="bullet"/>
      <w:lvlText w:val="-"/>
      <w:lvlJc w:val="left"/>
      <w:pPr>
        <w:tabs>
          <w:tab w:val="num" w:pos="1944"/>
        </w:tabs>
        <w:ind w:left="1944" w:hanging="360"/>
      </w:pPr>
      <w:rPr>
        <w:rFonts w:ascii="Arial" w:eastAsia="Times New Roman" w:hAnsi="Arial" w:hint="default"/>
      </w:rPr>
    </w:lvl>
    <w:lvl w:ilvl="1" w:tplc="04090003" w:tentative="1">
      <w:start w:val="1"/>
      <w:numFmt w:val="bullet"/>
      <w:lvlText w:val="o"/>
      <w:lvlJc w:val="left"/>
      <w:pPr>
        <w:tabs>
          <w:tab w:val="num" w:pos="2664"/>
        </w:tabs>
        <w:ind w:left="2664" w:hanging="360"/>
      </w:pPr>
      <w:rPr>
        <w:rFonts w:ascii="Courier New" w:hAnsi="Courier New" w:hint="default"/>
      </w:rPr>
    </w:lvl>
    <w:lvl w:ilvl="2" w:tplc="04090005" w:tentative="1">
      <w:start w:val="1"/>
      <w:numFmt w:val="bullet"/>
      <w:lvlText w:val=""/>
      <w:lvlJc w:val="left"/>
      <w:pPr>
        <w:tabs>
          <w:tab w:val="num" w:pos="3384"/>
        </w:tabs>
        <w:ind w:left="3384" w:hanging="360"/>
      </w:pPr>
      <w:rPr>
        <w:rFonts w:ascii="Wingdings" w:hAnsi="Wingdings" w:hint="default"/>
      </w:rPr>
    </w:lvl>
    <w:lvl w:ilvl="3" w:tplc="04090001" w:tentative="1">
      <w:start w:val="1"/>
      <w:numFmt w:val="bullet"/>
      <w:lvlText w:val=""/>
      <w:lvlJc w:val="left"/>
      <w:pPr>
        <w:tabs>
          <w:tab w:val="num" w:pos="4104"/>
        </w:tabs>
        <w:ind w:left="4104" w:hanging="360"/>
      </w:pPr>
      <w:rPr>
        <w:rFonts w:ascii="Symbol" w:hAnsi="Symbol" w:hint="default"/>
      </w:rPr>
    </w:lvl>
    <w:lvl w:ilvl="4" w:tplc="04090003" w:tentative="1">
      <w:start w:val="1"/>
      <w:numFmt w:val="bullet"/>
      <w:lvlText w:val="o"/>
      <w:lvlJc w:val="left"/>
      <w:pPr>
        <w:tabs>
          <w:tab w:val="num" w:pos="4824"/>
        </w:tabs>
        <w:ind w:left="4824" w:hanging="360"/>
      </w:pPr>
      <w:rPr>
        <w:rFonts w:ascii="Courier New" w:hAnsi="Courier New" w:hint="default"/>
      </w:rPr>
    </w:lvl>
    <w:lvl w:ilvl="5" w:tplc="04090005" w:tentative="1">
      <w:start w:val="1"/>
      <w:numFmt w:val="bullet"/>
      <w:lvlText w:val=""/>
      <w:lvlJc w:val="left"/>
      <w:pPr>
        <w:tabs>
          <w:tab w:val="num" w:pos="5544"/>
        </w:tabs>
        <w:ind w:left="5544" w:hanging="360"/>
      </w:pPr>
      <w:rPr>
        <w:rFonts w:ascii="Wingdings" w:hAnsi="Wingdings" w:hint="default"/>
      </w:rPr>
    </w:lvl>
    <w:lvl w:ilvl="6" w:tplc="04090001" w:tentative="1">
      <w:start w:val="1"/>
      <w:numFmt w:val="bullet"/>
      <w:lvlText w:val=""/>
      <w:lvlJc w:val="left"/>
      <w:pPr>
        <w:tabs>
          <w:tab w:val="num" w:pos="6264"/>
        </w:tabs>
        <w:ind w:left="6264" w:hanging="360"/>
      </w:pPr>
      <w:rPr>
        <w:rFonts w:ascii="Symbol" w:hAnsi="Symbol" w:hint="default"/>
      </w:rPr>
    </w:lvl>
    <w:lvl w:ilvl="7" w:tplc="04090003" w:tentative="1">
      <w:start w:val="1"/>
      <w:numFmt w:val="bullet"/>
      <w:lvlText w:val="o"/>
      <w:lvlJc w:val="left"/>
      <w:pPr>
        <w:tabs>
          <w:tab w:val="num" w:pos="6984"/>
        </w:tabs>
        <w:ind w:left="6984" w:hanging="360"/>
      </w:pPr>
      <w:rPr>
        <w:rFonts w:ascii="Courier New" w:hAnsi="Courier New" w:hint="default"/>
      </w:rPr>
    </w:lvl>
    <w:lvl w:ilvl="8" w:tplc="04090005" w:tentative="1">
      <w:start w:val="1"/>
      <w:numFmt w:val="bullet"/>
      <w:lvlText w:val=""/>
      <w:lvlJc w:val="left"/>
      <w:pPr>
        <w:tabs>
          <w:tab w:val="num" w:pos="7704"/>
        </w:tabs>
        <w:ind w:left="7704" w:hanging="360"/>
      </w:pPr>
      <w:rPr>
        <w:rFonts w:ascii="Wingdings" w:hAnsi="Wingdings" w:hint="default"/>
      </w:rPr>
    </w:lvl>
  </w:abstractNum>
  <w:abstractNum w:abstractNumId="3" w15:restartNumberingAfterBreak="0">
    <w:nsid w:val="235C493E"/>
    <w:multiLevelType w:val="hybridMultilevel"/>
    <w:tmpl w:val="13CE4610"/>
    <w:lvl w:ilvl="0" w:tplc="1C090017">
      <w:start w:val="1"/>
      <w:numFmt w:val="lowerLetter"/>
      <w:lvlText w:val="%1)"/>
      <w:lvlJc w:val="left"/>
      <w:pPr>
        <w:ind w:left="795" w:hanging="360"/>
      </w:pPr>
      <w:rPr>
        <w:rFonts w:hint="default"/>
      </w:rPr>
    </w:lvl>
    <w:lvl w:ilvl="1" w:tplc="1C090003" w:tentative="1">
      <w:start w:val="1"/>
      <w:numFmt w:val="bullet"/>
      <w:lvlText w:val="o"/>
      <w:lvlJc w:val="left"/>
      <w:pPr>
        <w:ind w:left="1515" w:hanging="360"/>
      </w:pPr>
      <w:rPr>
        <w:rFonts w:ascii="Courier New" w:hAnsi="Courier New" w:cs="Courier New" w:hint="default"/>
      </w:rPr>
    </w:lvl>
    <w:lvl w:ilvl="2" w:tplc="1C090005" w:tentative="1">
      <w:start w:val="1"/>
      <w:numFmt w:val="bullet"/>
      <w:lvlText w:val=""/>
      <w:lvlJc w:val="left"/>
      <w:pPr>
        <w:ind w:left="2235" w:hanging="360"/>
      </w:pPr>
      <w:rPr>
        <w:rFonts w:ascii="Wingdings" w:hAnsi="Wingdings" w:hint="default"/>
      </w:rPr>
    </w:lvl>
    <w:lvl w:ilvl="3" w:tplc="1C090001" w:tentative="1">
      <w:start w:val="1"/>
      <w:numFmt w:val="bullet"/>
      <w:lvlText w:val=""/>
      <w:lvlJc w:val="left"/>
      <w:pPr>
        <w:ind w:left="2955" w:hanging="360"/>
      </w:pPr>
      <w:rPr>
        <w:rFonts w:ascii="Symbol" w:hAnsi="Symbol" w:hint="default"/>
      </w:rPr>
    </w:lvl>
    <w:lvl w:ilvl="4" w:tplc="1C090003" w:tentative="1">
      <w:start w:val="1"/>
      <w:numFmt w:val="bullet"/>
      <w:lvlText w:val="o"/>
      <w:lvlJc w:val="left"/>
      <w:pPr>
        <w:ind w:left="3675" w:hanging="360"/>
      </w:pPr>
      <w:rPr>
        <w:rFonts w:ascii="Courier New" w:hAnsi="Courier New" w:cs="Courier New" w:hint="default"/>
      </w:rPr>
    </w:lvl>
    <w:lvl w:ilvl="5" w:tplc="1C090005" w:tentative="1">
      <w:start w:val="1"/>
      <w:numFmt w:val="bullet"/>
      <w:lvlText w:val=""/>
      <w:lvlJc w:val="left"/>
      <w:pPr>
        <w:ind w:left="4395" w:hanging="360"/>
      </w:pPr>
      <w:rPr>
        <w:rFonts w:ascii="Wingdings" w:hAnsi="Wingdings" w:hint="default"/>
      </w:rPr>
    </w:lvl>
    <w:lvl w:ilvl="6" w:tplc="1C090001" w:tentative="1">
      <w:start w:val="1"/>
      <w:numFmt w:val="bullet"/>
      <w:lvlText w:val=""/>
      <w:lvlJc w:val="left"/>
      <w:pPr>
        <w:ind w:left="5115" w:hanging="360"/>
      </w:pPr>
      <w:rPr>
        <w:rFonts w:ascii="Symbol" w:hAnsi="Symbol" w:hint="default"/>
      </w:rPr>
    </w:lvl>
    <w:lvl w:ilvl="7" w:tplc="1C090003" w:tentative="1">
      <w:start w:val="1"/>
      <w:numFmt w:val="bullet"/>
      <w:lvlText w:val="o"/>
      <w:lvlJc w:val="left"/>
      <w:pPr>
        <w:ind w:left="5835" w:hanging="360"/>
      </w:pPr>
      <w:rPr>
        <w:rFonts w:ascii="Courier New" w:hAnsi="Courier New" w:cs="Courier New" w:hint="default"/>
      </w:rPr>
    </w:lvl>
    <w:lvl w:ilvl="8" w:tplc="1C090005" w:tentative="1">
      <w:start w:val="1"/>
      <w:numFmt w:val="bullet"/>
      <w:lvlText w:val=""/>
      <w:lvlJc w:val="left"/>
      <w:pPr>
        <w:ind w:left="6555" w:hanging="360"/>
      </w:pPr>
      <w:rPr>
        <w:rFonts w:ascii="Wingdings" w:hAnsi="Wingdings" w:hint="default"/>
      </w:rPr>
    </w:lvl>
  </w:abstractNum>
  <w:abstractNum w:abstractNumId="4" w15:restartNumberingAfterBreak="0">
    <w:nsid w:val="272A30EC"/>
    <w:multiLevelType w:val="hybridMultilevel"/>
    <w:tmpl w:val="5232AAA4"/>
    <w:lvl w:ilvl="0" w:tplc="9EFEDE28">
      <w:numFmt w:val="bullet"/>
      <w:lvlText w:val="-"/>
      <w:lvlJc w:val="left"/>
      <w:pPr>
        <w:ind w:left="720" w:hanging="360"/>
      </w:pPr>
      <w:rPr>
        <w:rFonts w:ascii="Arial" w:eastAsiaTheme="minorHAnsi" w:hAnsi="Arial" w:cs="Arial" w:hint="default"/>
      </w:rPr>
    </w:lvl>
    <w:lvl w:ilvl="1" w:tplc="DCE25048">
      <w:start w:val="1"/>
      <w:numFmt w:val="bullet"/>
      <w:lvlText w:val="-"/>
      <w:lvlJc w:val="left"/>
      <w:pPr>
        <w:ind w:left="1440" w:hanging="360"/>
      </w:pPr>
      <w:rPr>
        <w:rFonts w:ascii="Arial" w:eastAsiaTheme="minorHAnsi"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D01614"/>
    <w:multiLevelType w:val="hybridMultilevel"/>
    <w:tmpl w:val="8A3CC3AA"/>
    <w:lvl w:ilvl="0" w:tplc="C3285804">
      <w:start w:val="22"/>
      <w:numFmt w:val="bullet"/>
      <w:lvlText w:val="-"/>
      <w:lvlJc w:val="left"/>
      <w:pPr>
        <w:tabs>
          <w:tab w:val="num" w:pos="1800"/>
        </w:tabs>
        <w:ind w:left="1800" w:hanging="360"/>
      </w:pPr>
      <w:rPr>
        <w:rFonts w:ascii="Arial" w:eastAsia="Times New Roman" w:hAnsi="Aria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A3271B4"/>
    <w:multiLevelType w:val="hybridMultilevel"/>
    <w:tmpl w:val="EA08E7A4"/>
    <w:lvl w:ilvl="0" w:tplc="1C090017">
      <w:start w:val="1"/>
      <w:numFmt w:val="lowerLetter"/>
      <w:lvlText w:val="%1)"/>
      <w:lvlJc w:val="left"/>
      <w:pPr>
        <w:ind w:left="795" w:hanging="360"/>
      </w:pPr>
    </w:lvl>
    <w:lvl w:ilvl="1" w:tplc="1C090017">
      <w:start w:val="1"/>
      <w:numFmt w:val="lowerLetter"/>
      <w:lvlText w:val="%2)"/>
      <w:lvlJc w:val="left"/>
      <w:pPr>
        <w:ind w:left="1515" w:hanging="360"/>
      </w:pPr>
    </w:lvl>
    <w:lvl w:ilvl="2" w:tplc="1C09001B" w:tentative="1">
      <w:start w:val="1"/>
      <w:numFmt w:val="lowerRoman"/>
      <w:lvlText w:val="%3."/>
      <w:lvlJc w:val="right"/>
      <w:pPr>
        <w:ind w:left="2235" w:hanging="180"/>
      </w:pPr>
    </w:lvl>
    <w:lvl w:ilvl="3" w:tplc="1C09000F" w:tentative="1">
      <w:start w:val="1"/>
      <w:numFmt w:val="decimal"/>
      <w:lvlText w:val="%4."/>
      <w:lvlJc w:val="left"/>
      <w:pPr>
        <w:ind w:left="2955" w:hanging="360"/>
      </w:pPr>
    </w:lvl>
    <w:lvl w:ilvl="4" w:tplc="1C090019" w:tentative="1">
      <w:start w:val="1"/>
      <w:numFmt w:val="lowerLetter"/>
      <w:lvlText w:val="%5."/>
      <w:lvlJc w:val="left"/>
      <w:pPr>
        <w:ind w:left="3675" w:hanging="360"/>
      </w:pPr>
    </w:lvl>
    <w:lvl w:ilvl="5" w:tplc="1C09001B" w:tentative="1">
      <w:start w:val="1"/>
      <w:numFmt w:val="lowerRoman"/>
      <w:lvlText w:val="%6."/>
      <w:lvlJc w:val="right"/>
      <w:pPr>
        <w:ind w:left="4395" w:hanging="180"/>
      </w:pPr>
    </w:lvl>
    <w:lvl w:ilvl="6" w:tplc="1C09000F" w:tentative="1">
      <w:start w:val="1"/>
      <w:numFmt w:val="decimal"/>
      <w:lvlText w:val="%7."/>
      <w:lvlJc w:val="left"/>
      <w:pPr>
        <w:ind w:left="5115" w:hanging="360"/>
      </w:pPr>
    </w:lvl>
    <w:lvl w:ilvl="7" w:tplc="1C090019" w:tentative="1">
      <w:start w:val="1"/>
      <w:numFmt w:val="lowerLetter"/>
      <w:lvlText w:val="%8."/>
      <w:lvlJc w:val="left"/>
      <w:pPr>
        <w:ind w:left="5835" w:hanging="360"/>
      </w:pPr>
    </w:lvl>
    <w:lvl w:ilvl="8" w:tplc="1C09001B" w:tentative="1">
      <w:start w:val="1"/>
      <w:numFmt w:val="lowerRoman"/>
      <w:lvlText w:val="%9."/>
      <w:lvlJc w:val="right"/>
      <w:pPr>
        <w:ind w:left="6555" w:hanging="180"/>
      </w:pPr>
    </w:lvl>
  </w:abstractNum>
  <w:abstractNum w:abstractNumId="7" w15:restartNumberingAfterBreak="0">
    <w:nsid w:val="2DF376FA"/>
    <w:multiLevelType w:val="hybridMultilevel"/>
    <w:tmpl w:val="6EE852BA"/>
    <w:lvl w:ilvl="0" w:tplc="DCE25048">
      <w:start w:val="1"/>
      <w:numFmt w:val="bullet"/>
      <w:lvlText w:val="-"/>
      <w:lvlJc w:val="left"/>
      <w:pPr>
        <w:ind w:left="1200" w:hanging="360"/>
      </w:pPr>
      <w:rPr>
        <w:rFonts w:ascii="Arial" w:eastAsiaTheme="minorHAnsi" w:hAnsi="Arial" w:cs="Arial" w:hint="default"/>
      </w:rPr>
    </w:lvl>
    <w:lvl w:ilvl="1" w:tplc="1C090003" w:tentative="1">
      <w:start w:val="1"/>
      <w:numFmt w:val="bullet"/>
      <w:lvlText w:val="o"/>
      <w:lvlJc w:val="left"/>
      <w:pPr>
        <w:ind w:left="1920" w:hanging="360"/>
      </w:pPr>
      <w:rPr>
        <w:rFonts w:ascii="Courier New" w:hAnsi="Courier New" w:cs="Courier New" w:hint="default"/>
      </w:rPr>
    </w:lvl>
    <w:lvl w:ilvl="2" w:tplc="1C090005" w:tentative="1">
      <w:start w:val="1"/>
      <w:numFmt w:val="bullet"/>
      <w:lvlText w:val=""/>
      <w:lvlJc w:val="left"/>
      <w:pPr>
        <w:ind w:left="2640" w:hanging="360"/>
      </w:pPr>
      <w:rPr>
        <w:rFonts w:ascii="Wingdings" w:hAnsi="Wingdings" w:hint="default"/>
      </w:rPr>
    </w:lvl>
    <w:lvl w:ilvl="3" w:tplc="1C090001" w:tentative="1">
      <w:start w:val="1"/>
      <w:numFmt w:val="bullet"/>
      <w:lvlText w:val=""/>
      <w:lvlJc w:val="left"/>
      <w:pPr>
        <w:ind w:left="3360" w:hanging="360"/>
      </w:pPr>
      <w:rPr>
        <w:rFonts w:ascii="Symbol" w:hAnsi="Symbol" w:hint="default"/>
      </w:rPr>
    </w:lvl>
    <w:lvl w:ilvl="4" w:tplc="1C090003" w:tentative="1">
      <w:start w:val="1"/>
      <w:numFmt w:val="bullet"/>
      <w:lvlText w:val="o"/>
      <w:lvlJc w:val="left"/>
      <w:pPr>
        <w:ind w:left="4080" w:hanging="360"/>
      </w:pPr>
      <w:rPr>
        <w:rFonts w:ascii="Courier New" w:hAnsi="Courier New" w:cs="Courier New" w:hint="default"/>
      </w:rPr>
    </w:lvl>
    <w:lvl w:ilvl="5" w:tplc="1C090005" w:tentative="1">
      <w:start w:val="1"/>
      <w:numFmt w:val="bullet"/>
      <w:lvlText w:val=""/>
      <w:lvlJc w:val="left"/>
      <w:pPr>
        <w:ind w:left="4800" w:hanging="360"/>
      </w:pPr>
      <w:rPr>
        <w:rFonts w:ascii="Wingdings" w:hAnsi="Wingdings" w:hint="default"/>
      </w:rPr>
    </w:lvl>
    <w:lvl w:ilvl="6" w:tplc="1C090001" w:tentative="1">
      <w:start w:val="1"/>
      <w:numFmt w:val="bullet"/>
      <w:lvlText w:val=""/>
      <w:lvlJc w:val="left"/>
      <w:pPr>
        <w:ind w:left="5520" w:hanging="360"/>
      </w:pPr>
      <w:rPr>
        <w:rFonts w:ascii="Symbol" w:hAnsi="Symbol" w:hint="default"/>
      </w:rPr>
    </w:lvl>
    <w:lvl w:ilvl="7" w:tplc="1C090003" w:tentative="1">
      <w:start w:val="1"/>
      <w:numFmt w:val="bullet"/>
      <w:lvlText w:val="o"/>
      <w:lvlJc w:val="left"/>
      <w:pPr>
        <w:ind w:left="6240" w:hanging="360"/>
      </w:pPr>
      <w:rPr>
        <w:rFonts w:ascii="Courier New" w:hAnsi="Courier New" w:cs="Courier New" w:hint="default"/>
      </w:rPr>
    </w:lvl>
    <w:lvl w:ilvl="8" w:tplc="1C090005" w:tentative="1">
      <w:start w:val="1"/>
      <w:numFmt w:val="bullet"/>
      <w:lvlText w:val=""/>
      <w:lvlJc w:val="left"/>
      <w:pPr>
        <w:ind w:left="6960" w:hanging="360"/>
      </w:pPr>
      <w:rPr>
        <w:rFonts w:ascii="Wingdings" w:hAnsi="Wingdings" w:hint="default"/>
      </w:rPr>
    </w:lvl>
  </w:abstractNum>
  <w:abstractNum w:abstractNumId="8" w15:restartNumberingAfterBreak="0">
    <w:nsid w:val="371A270E"/>
    <w:multiLevelType w:val="hybridMultilevel"/>
    <w:tmpl w:val="FE721F16"/>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9" w15:restartNumberingAfterBreak="0">
    <w:nsid w:val="3AB04368"/>
    <w:multiLevelType w:val="hybridMultilevel"/>
    <w:tmpl w:val="E88A97A0"/>
    <w:lvl w:ilvl="0" w:tplc="07884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9F41F8"/>
    <w:multiLevelType w:val="hybridMultilevel"/>
    <w:tmpl w:val="3800B01C"/>
    <w:lvl w:ilvl="0" w:tplc="C3285804">
      <w:start w:val="22"/>
      <w:numFmt w:val="bullet"/>
      <w:lvlText w:val="-"/>
      <w:lvlJc w:val="left"/>
      <w:pPr>
        <w:tabs>
          <w:tab w:val="num" w:pos="1800"/>
        </w:tabs>
        <w:ind w:left="1800" w:hanging="360"/>
      </w:pPr>
      <w:rPr>
        <w:rFonts w:ascii="Arial" w:eastAsia="Times New Roman" w:hAnsi="Aria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463405FD"/>
    <w:multiLevelType w:val="hybridMultilevel"/>
    <w:tmpl w:val="D52481DC"/>
    <w:lvl w:ilvl="0" w:tplc="2B6E708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975484D"/>
    <w:multiLevelType w:val="hybridMultilevel"/>
    <w:tmpl w:val="6C347EC2"/>
    <w:lvl w:ilvl="0" w:tplc="F814DD6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FE241B"/>
    <w:multiLevelType w:val="hybridMultilevel"/>
    <w:tmpl w:val="D4960EE6"/>
    <w:lvl w:ilvl="0" w:tplc="BAECA33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A800E5"/>
    <w:multiLevelType w:val="hybridMultilevel"/>
    <w:tmpl w:val="5AB671D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52FA0DD3"/>
    <w:multiLevelType w:val="multilevel"/>
    <w:tmpl w:val="E256A02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EBB7FBE"/>
    <w:multiLevelType w:val="multilevel"/>
    <w:tmpl w:val="BB9CCB74"/>
    <w:lvl w:ilvl="0">
      <w:start w:val="1"/>
      <w:numFmt w:val="decimal"/>
      <w:lvlText w:val="%1."/>
      <w:lvlJc w:val="left"/>
      <w:pPr>
        <w:tabs>
          <w:tab w:val="num" w:pos="454"/>
        </w:tabs>
        <w:ind w:left="454" w:hanging="454"/>
      </w:pPr>
      <w:rPr>
        <w:rFonts w:ascii="Arial" w:hAnsi="Arial" w:hint="default"/>
        <w:b w:val="0"/>
        <w:i w:val="0"/>
        <w:sz w:val="22"/>
      </w:rPr>
    </w:lvl>
    <w:lvl w:ilvl="1">
      <w:start w:val="1"/>
      <w:numFmt w:val="decimal"/>
      <w:lvlText w:val="%1.%2"/>
      <w:lvlJc w:val="left"/>
      <w:pPr>
        <w:tabs>
          <w:tab w:val="num" w:pos="907"/>
        </w:tabs>
        <w:ind w:left="907" w:hanging="907"/>
      </w:pPr>
      <w:rPr>
        <w:rFonts w:ascii="Arial" w:hAnsi="Arial" w:hint="default"/>
        <w:b w:val="0"/>
        <w:i w:val="0"/>
        <w:sz w:val="22"/>
      </w:rPr>
    </w:lvl>
    <w:lvl w:ilvl="2">
      <w:start w:val="1"/>
      <w:numFmt w:val="decimal"/>
      <w:lvlText w:val="%1.%2.%3"/>
      <w:lvlJc w:val="left"/>
      <w:pPr>
        <w:tabs>
          <w:tab w:val="num" w:pos="1361"/>
        </w:tabs>
        <w:ind w:left="1361" w:hanging="1361"/>
      </w:pPr>
      <w:rPr>
        <w:rFonts w:ascii="Arial" w:hAnsi="Arial" w:hint="default"/>
        <w:b w:val="0"/>
        <w:i w:val="0"/>
        <w:sz w:val="22"/>
        <w:szCs w:val="22"/>
      </w:rPr>
    </w:lvl>
    <w:lvl w:ilvl="3">
      <w:start w:val="1"/>
      <w:numFmt w:val="bullet"/>
      <w:lvlText w:val=""/>
      <w:lvlPicBulletId w:val="0"/>
      <w:lvlJc w:val="left"/>
      <w:pPr>
        <w:tabs>
          <w:tab w:val="num" w:pos="360"/>
        </w:tabs>
        <w:ind w:left="360" w:hanging="360"/>
      </w:pPr>
      <w:rPr>
        <w:rFonts w:ascii="Symbol" w:hAnsi="Symbol" w:hint="default"/>
        <w:b w:val="0"/>
        <w:i w:val="0"/>
        <w:color w:val="auto"/>
        <w:sz w:val="22"/>
      </w:rPr>
    </w:lvl>
    <w:lvl w:ilvl="4">
      <w:start w:val="1"/>
      <w:numFmt w:val="decimal"/>
      <w:lvlText w:val="%1.%2.%3.%4.%5"/>
      <w:lvlJc w:val="left"/>
      <w:pPr>
        <w:tabs>
          <w:tab w:val="num" w:pos="2268"/>
        </w:tabs>
        <w:ind w:left="2268" w:hanging="2268"/>
      </w:pPr>
      <w:rPr>
        <w:rFonts w:ascii="Arial" w:hAnsi="Arial" w:hint="default"/>
        <w:b w:val="0"/>
        <w:i w:val="0"/>
        <w:sz w:val="22"/>
      </w:rPr>
    </w:lvl>
    <w:lvl w:ilvl="5">
      <w:start w:val="1"/>
      <w:numFmt w:val="decimal"/>
      <w:lvlText w:val="%1.%2.%3.%4.%5.%6"/>
      <w:lvlJc w:val="left"/>
      <w:pPr>
        <w:tabs>
          <w:tab w:val="num" w:pos="2722"/>
        </w:tabs>
        <w:ind w:left="2722" w:hanging="2722"/>
      </w:pPr>
      <w:rPr>
        <w:rFonts w:ascii="Arial" w:hAnsi="Arial" w:hint="default"/>
        <w:b w:val="0"/>
        <w:i w:val="0"/>
        <w:sz w:val="22"/>
      </w:rPr>
    </w:lvl>
    <w:lvl w:ilvl="6">
      <w:start w:val="1"/>
      <w:numFmt w:val="decimal"/>
      <w:lvlText w:val="%1.%2.%3.%4.%5.%6.%7"/>
      <w:lvlJc w:val="left"/>
      <w:pPr>
        <w:tabs>
          <w:tab w:val="num" w:pos="3175"/>
        </w:tabs>
        <w:ind w:left="3175" w:hanging="3175"/>
      </w:pPr>
      <w:rPr>
        <w:rFonts w:ascii="Arial" w:hAnsi="Arial" w:hint="default"/>
        <w:b w:val="0"/>
        <w:i w:val="0"/>
        <w:sz w:val="22"/>
      </w:rPr>
    </w:lvl>
    <w:lvl w:ilvl="7">
      <w:start w:val="1"/>
      <w:numFmt w:val="decimal"/>
      <w:lvlText w:val="%1.%2.%3.%4.%5.%6.%7.%8"/>
      <w:lvlJc w:val="left"/>
      <w:pPr>
        <w:tabs>
          <w:tab w:val="num" w:pos="3629"/>
        </w:tabs>
        <w:ind w:left="3629" w:hanging="3629"/>
      </w:pPr>
      <w:rPr>
        <w:rFonts w:ascii="Arial" w:hAnsi="Arial" w:hint="default"/>
        <w:b w:val="0"/>
        <w:i w:val="0"/>
        <w:sz w:val="22"/>
      </w:rPr>
    </w:lvl>
    <w:lvl w:ilvl="8">
      <w:start w:val="1"/>
      <w:numFmt w:val="decimal"/>
      <w:lvlText w:val="%1.%2.%3.%4.%5.%6.%7.%8.%9"/>
      <w:lvlJc w:val="left"/>
      <w:pPr>
        <w:tabs>
          <w:tab w:val="num" w:pos="1584"/>
        </w:tabs>
        <w:ind w:left="1584" w:hanging="1584"/>
      </w:pPr>
      <w:rPr>
        <w:rFonts w:ascii="Arial" w:hAnsi="Arial" w:hint="default"/>
        <w:b w:val="0"/>
        <w:i w:val="0"/>
        <w:sz w:val="22"/>
        <w:szCs w:val="22"/>
      </w:rPr>
    </w:lvl>
  </w:abstractNum>
  <w:abstractNum w:abstractNumId="17" w15:restartNumberingAfterBreak="0">
    <w:nsid w:val="742344D1"/>
    <w:multiLevelType w:val="hybridMultilevel"/>
    <w:tmpl w:val="49E092B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775249F6"/>
    <w:multiLevelType w:val="hybridMultilevel"/>
    <w:tmpl w:val="6EE48E2E"/>
    <w:lvl w:ilvl="0" w:tplc="1C09000B">
      <w:start w:val="1"/>
      <w:numFmt w:val="bullet"/>
      <w:lvlText w:val=""/>
      <w:lvlJc w:val="left"/>
      <w:pPr>
        <w:ind w:left="720" w:hanging="360"/>
      </w:pPr>
      <w:rPr>
        <w:rFonts w:ascii="Wingdings" w:hAnsi="Wingding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7846773E"/>
    <w:multiLevelType w:val="hybridMultilevel"/>
    <w:tmpl w:val="8B14FAE8"/>
    <w:lvl w:ilvl="0" w:tplc="62E42B84">
      <w:start w:val="1"/>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8BC19EE"/>
    <w:multiLevelType w:val="hybridMultilevel"/>
    <w:tmpl w:val="582E68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270BF0"/>
    <w:multiLevelType w:val="hybridMultilevel"/>
    <w:tmpl w:val="E402B8F6"/>
    <w:lvl w:ilvl="0" w:tplc="1728D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F37894"/>
    <w:multiLevelType w:val="hybridMultilevel"/>
    <w:tmpl w:val="3DB6DD5A"/>
    <w:lvl w:ilvl="0" w:tplc="C3285804">
      <w:start w:val="22"/>
      <w:numFmt w:val="bullet"/>
      <w:lvlText w:val="-"/>
      <w:lvlJc w:val="left"/>
      <w:pPr>
        <w:tabs>
          <w:tab w:val="num" w:pos="1800"/>
        </w:tabs>
        <w:ind w:left="1800" w:hanging="360"/>
      </w:pPr>
      <w:rPr>
        <w:rFonts w:ascii="Arial" w:eastAsia="Times New Roman" w:hAnsi="Aria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2"/>
  </w:num>
  <w:num w:numId="2">
    <w:abstractNumId w:val="5"/>
  </w:num>
  <w:num w:numId="3">
    <w:abstractNumId w:val="10"/>
  </w:num>
  <w:num w:numId="4">
    <w:abstractNumId w:val="2"/>
  </w:num>
  <w:num w:numId="5">
    <w:abstractNumId w:val="16"/>
  </w:num>
  <w:num w:numId="6">
    <w:abstractNumId w:val="8"/>
  </w:num>
  <w:num w:numId="7">
    <w:abstractNumId w:val="15"/>
  </w:num>
  <w:num w:numId="8">
    <w:abstractNumId w:val="19"/>
  </w:num>
  <w:num w:numId="9">
    <w:abstractNumId w:val="14"/>
  </w:num>
  <w:num w:numId="10">
    <w:abstractNumId w:val="0"/>
  </w:num>
  <w:num w:numId="11">
    <w:abstractNumId w:val="3"/>
  </w:num>
  <w:num w:numId="12">
    <w:abstractNumId w:val="6"/>
  </w:num>
  <w:num w:numId="13">
    <w:abstractNumId w:val="7"/>
  </w:num>
  <w:num w:numId="14">
    <w:abstractNumId w:val="17"/>
  </w:num>
  <w:num w:numId="15">
    <w:abstractNumId w:val="18"/>
  </w:num>
  <w:num w:numId="16">
    <w:abstractNumId w:val="4"/>
  </w:num>
  <w:num w:numId="17">
    <w:abstractNumId w:val="20"/>
  </w:num>
  <w:num w:numId="18">
    <w:abstractNumId w:val="9"/>
  </w:num>
  <w:num w:numId="19">
    <w:abstractNumId w:val="1"/>
  </w:num>
  <w:num w:numId="20">
    <w:abstractNumId w:val="11"/>
  </w:num>
  <w:num w:numId="21">
    <w:abstractNumId w:val="12"/>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9C7"/>
    <w:rsid w:val="00070327"/>
    <w:rsid w:val="000A32A7"/>
    <w:rsid w:val="000C1271"/>
    <w:rsid w:val="000E2EBB"/>
    <w:rsid w:val="0019270D"/>
    <w:rsid w:val="001932A3"/>
    <w:rsid w:val="001C66DB"/>
    <w:rsid w:val="001D4C79"/>
    <w:rsid w:val="001F4A99"/>
    <w:rsid w:val="002117B4"/>
    <w:rsid w:val="00220B43"/>
    <w:rsid w:val="00224DA7"/>
    <w:rsid w:val="0023359B"/>
    <w:rsid w:val="00256FF8"/>
    <w:rsid w:val="002814E8"/>
    <w:rsid w:val="002D253B"/>
    <w:rsid w:val="002F6A95"/>
    <w:rsid w:val="0030354C"/>
    <w:rsid w:val="00304560"/>
    <w:rsid w:val="003453D8"/>
    <w:rsid w:val="00352ADE"/>
    <w:rsid w:val="00360083"/>
    <w:rsid w:val="00386D0B"/>
    <w:rsid w:val="003A13CE"/>
    <w:rsid w:val="003B7253"/>
    <w:rsid w:val="003E247C"/>
    <w:rsid w:val="00495821"/>
    <w:rsid w:val="004E26CB"/>
    <w:rsid w:val="005255D1"/>
    <w:rsid w:val="00563E50"/>
    <w:rsid w:val="005805AB"/>
    <w:rsid w:val="005923F4"/>
    <w:rsid w:val="005F0CB1"/>
    <w:rsid w:val="005F5ABE"/>
    <w:rsid w:val="00601D74"/>
    <w:rsid w:val="006064B2"/>
    <w:rsid w:val="006658D1"/>
    <w:rsid w:val="0067394E"/>
    <w:rsid w:val="00705DC3"/>
    <w:rsid w:val="007367B5"/>
    <w:rsid w:val="0075282D"/>
    <w:rsid w:val="007629E1"/>
    <w:rsid w:val="00771A39"/>
    <w:rsid w:val="00795412"/>
    <w:rsid w:val="007A76D8"/>
    <w:rsid w:val="007C6A36"/>
    <w:rsid w:val="007D01C5"/>
    <w:rsid w:val="00844A98"/>
    <w:rsid w:val="00847460"/>
    <w:rsid w:val="008817D1"/>
    <w:rsid w:val="00887D48"/>
    <w:rsid w:val="008A0873"/>
    <w:rsid w:val="00910EF4"/>
    <w:rsid w:val="00930F64"/>
    <w:rsid w:val="009344C3"/>
    <w:rsid w:val="00951BA1"/>
    <w:rsid w:val="0096158D"/>
    <w:rsid w:val="00967E13"/>
    <w:rsid w:val="00980219"/>
    <w:rsid w:val="0099743B"/>
    <w:rsid w:val="009B67AE"/>
    <w:rsid w:val="009E0D69"/>
    <w:rsid w:val="00A14CBE"/>
    <w:rsid w:val="00AC7FC8"/>
    <w:rsid w:val="00BC3DBC"/>
    <w:rsid w:val="00BD2766"/>
    <w:rsid w:val="00BF3DC8"/>
    <w:rsid w:val="00C121AE"/>
    <w:rsid w:val="00C60878"/>
    <w:rsid w:val="00C7395C"/>
    <w:rsid w:val="00C90B68"/>
    <w:rsid w:val="00C92E07"/>
    <w:rsid w:val="00CB720D"/>
    <w:rsid w:val="00CD307B"/>
    <w:rsid w:val="00D04106"/>
    <w:rsid w:val="00D25EDE"/>
    <w:rsid w:val="00D859C7"/>
    <w:rsid w:val="00D97498"/>
    <w:rsid w:val="00DC5CE7"/>
    <w:rsid w:val="00DE033F"/>
    <w:rsid w:val="00DE7253"/>
    <w:rsid w:val="00E328B9"/>
    <w:rsid w:val="00E40544"/>
    <w:rsid w:val="00E5553D"/>
    <w:rsid w:val="00E55D4B"/>
    <w:rsid w:val="00E836BA"/>
    <w:rsid w:val="00E93CE2"/>
    <w:rsid w:val="00F26B53"/>
    <w:rsid w:val="00F51657"/>
    <w:rsid w:val="00F90A86"/>
    <w:rsid w:val="00F96E7A"/>
    <w:rsid w:val="00FC4CE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7409B"/>
  <w15:docId w15:val="{6001AFA8-E2D4-427F-80F4-9B10B6F1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9C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1271"/>
    <w:rPr>
      <w:rFonts w:ascii="Tahoma" w:hAnsi="Tahoma" w:cs="Tahoma"/>
      <w:sz w:val="16"/>
      <w:szCs w:val="16"/>
    </w:rPr>
  </w:style>
  <w:style w:type="character" w:customStyle="1" w:styleId="BalloonTextChar">
    <w:name w:val="Balloon Text Char"/>
    <w:basedOn w:val="DefaultParagraphFont"/>
    <w:link w:val="BalloonText"/>
    <w:uiPriority w:val="99"/>
    <w:semiHidden/>
    <w:rsid w:val="000C1271"/>
    <w:rPr>
      <w:rFonts w:ascii="Tahoma" w:eastAsia="Times New Roman" w:hAnsi="Tahoma" w:cs="Tahoma"/>
      <w:sz w:val="16"/>
      <w:szCs w:val="16"/>
    </w:rPr>
  </w:style>
  <w:style w:type="paragraph" w:styleId="ListParagraph">
    <w:name w:val="List Paragraph"/>
    <w:basedOn w:val="Normal"/>
    <w:uiPriority w:val="34"/>
    <w:qFormat/>
    <w:rsid w:val="000C1271"/>
    <w:pPr>
      <w:ind w:left="720"/>
      <w:contextualSpacing/>
    </w:pPr>
  </w:style>
  <w:style w:type="paragraph" w:customStyle="1" w:styleId="Default">
    <w:name w:val="Default"/>
    <w:rsid w:val="000C1271"/>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rsid w:val="000C1271"/>
    <w:pPr>
      <w:tabs>
        <w:tab w:val="center" w:pos="4513"/>
        <w:tab w:val="right" w:pos="9026"/>
      </w:tabs>
    </w:pPr>
  </w:style>
  <w:style w:type="character" w:customStyle="1" w:styleId="HeaderChar">
    <w:name w:val="Header Char"/>
    <w:basedOn w:val="DefaultParagraphFont"/>
    <w:link w:val="Header"/>
    <w:uiPriority w:val="99"/>
    <w:rsid w:val="000C127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C1271"/>
    <w:pPr>
      <w:tabs>
        <w:tab w:val="center" w:pos="4513"/>
        <w:tab w:val="right" w:pos="9026"/>
      </w:tabs>
    </w:pPr>
  </w:style>
  <w:style w:type="character" w:customStyle="1" w:styleId="FooterChar">
    <w:name w:val="Footer Char"/>
    <w:basedOn w:val="DefaultParagraphFont"/>
    <w:link w:val="Footer"/>
    <w:uiPriority w:val="99"/>
    <w:rsid w:val="000C1271"/>
    <w:rPr>
      <w:rFonts w:ascii="Times New Roman" w:eastAsia="Times New Roman" w:hAnsi="Times New Roman" w:cs="Times New Roman"/>
      <w:sz w:val="20"/>
      <w:szCs w:val="20"/>
    </w:rPr>
  </w:style>
  <w:style w:type="paragraph" w:styleId="BodyText">
    <w:name w:val="Body Text"/>
    <w:basedOn w:val="Normal"/>
    <w:link w:val="BodyTextChar"/>
    <w:uiPriority w:val="1"/>
    <w:qFormat/>
    <w:rsid w:val="001C66DB"/>
    <w:pPr>
      <w:widowControl w:val="0"/>
      <w:ind w:left="1560" w:hanging="720"/>
    </w:pPr>
    <w:rPr>
      <w:rFonts w:ascii="Arial" w:eastAsia="Arial" w:hAnsi="Arial" w:cstheme="minorBidi"/>
      <w:sz w:val="22"/>
      <w:szCs w:val="22"/>
      <w:lang w:val="en-US"/>
    </w:rPr>
  </w:style>
  <w:style w:type="character" w:customStyle="1" w:styleId="BodyTextChar">
    <w:name w:val="Body Text Char"/>
    <w:basedOn w:val="DefaultParagraphFont"/>
    <w:link w:val="BodyText"/>
    <w:uiPriority w:val="1"/>
    <w:rsid w:val="001C66DB"/>
    <w:rPr>
      <w:rFonts w:eastAsia="Arial" w:cstheme="minorBidi"/>
      <w:lang w:val="en-US"/>
    </w:rPr>
  </w:style>
  <w:style w:type="table" w:styleId="TableGrid">
    <w:name w:val="Table Grid"/>
    <w:basedOn w:val="TableNormal"/>
    <w:uiPriority w:val="59"/>
    <w:rsid w:val="00795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58D1"/>
    <w:rPr>
      <w:sz w:val="16"/>
      <w:szCs w:val="16"/>
    </w:rPr>
  </w:style>
  <w:style w:type="paragraph" w:styleId="CommentText">
    <w:name w:val="annotation text"/>
    <w:basedOn w:val="Normal"/>
    <w:link w:val="CommentTextChar"/>
    <w:uiPriority w:val="99"/>
    <w:semiHidden/>
    <w:unhideWhenUsed/>
    <w:rsid w:val="006658D1"/>
  </w:style>
  <w:style w:type="character" w:customStyle="1" w:styleId="CommentTextChar">
    <w:name w:val="Comment Text Char"/>
    <w:basedOn w:val="DefaultParagraphFont"/>
    <w:link w:val="CommentText"/>
    <w:uiPriority w:val="99"/>
    <w:semiHidden/>
    <w:rsid w:val="006658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58D1"/>
    <w:rPr>
      <w:b/>
      <w:bCs/>
    </w:rPr>
  </w:style>
  <w:style w:type="character" w:customStyle="1" w:styleId="CommentSubjectChar">
    <w:name w:val="Comment Subject Char"/>
    <w:basedOn w:val="CommentTextChar"/>
    <w:link w:val="CommentSubject"/>
    <w:uiPriority w:val="99"/>
    <w:semiHidden/>
    <w:rsid w:val="006658D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06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Levendal</dc:creator>
  <cp:lastModifiedBy>Imre Nagy</cp:lastModifiedBy>
  <cp:revision>2</cp:revision>
  <cp:lastPrinted>2016-10-10T07:32:00Z</cp:lastPrinted>
  <dcterms:created xsi:type="dcterms:W3CDTF">2016-10-11T12:58:00Z</dcterms:created>
  <dcterms:modified xsi:type="dcterms:W3CDTF">2016-10-11T12:58:00Z</dcterms:modified>
</cp:coreProperties>
</file>