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E4A7A" w14:textId="77777777" w:rsidR="00F461CB" w:rsidRPr="00F463BC" w:rsidRDefault="00F461CB" w:rsidP="005277EF">
      <w:pPr>
        <w:pStyle w:val="Heading1"/>
        <w:spacing w:line="271" w:lineRule="auto"/>
      </w:pPr>
      <w:bookmarkStart w:id="0" w:name="_Ref299639925"/>
      <w:bookmarkStart w:id="1" w:name="_Toc300572984"/>
      <w:bookmarkStart w:id="2" w:name="_Ref300580867"/>
      <w:bookmarkStart w:id="3" w:name="_Ref300580960"/>
      <w:bookmarkStart w:id="4" w:name="_Toc304897951"/>
      <w:bookmarkStart w:id="5" w:name="_Toc305083379"/>
      <w:bookmarkStart w:id="6" w:name="_Toc404114537"/>
      <w:bookmarkStart w:id="7" w:name="_Toc275178357"/>
      <w:bookmarkStart w:id="8" w:name="_Toc275178464"/>
      <w:bookmarkStart w:id="9" w:name="_Toc277749818"/>
      <w:bookmarkStart w:id="10" w:name="_Toc277750689"/>
      <w:bookmarkStart w:id="11" w:name="_Toc277750870"/>
      <w:r w:rsidRPr="00F463BC">
        <w:t xml:space="preserve">Assurance Report on Compliance with Sections 36(5) and 36(8) of the Act (ISAE 3000 </w:t>
      </w:r>
      <w:r>
        <w:t xml:space="preserve">(Revised) </w:t>
      </w:r>
      <w:r w:rsidRPr="00F463BC">
        <w:t>Report)</w:t>
      </w:r>
      <w:bookmarkEnd w:id="0"/>
      <w:bookmarkEnd w:id="1"/>
      <w:bookmarkEnd w:id="2"/>
      <w:bookmarkEnd w:id="3"/>
      <w:bookmarkEnd w:id="4"/>
      <w:bookmarkEnd w:id="5"/>
      <w:bookmarkEnd w:id="6"/>
      <w:bookmarkEnd w:id="7"/>
      <w:bookmarkEnd w:id="8"/>
      <w:bookmarkEnd w:id="9"/>
      <w:bookmarkEnd w:id="10"/>
      <w:bookmarkEnd w:id="11"/>
    </w:p>
    <w:p w14:paraId="0E1C37A3" w14:textId="77777777" w:rsidR="00F461CB" w:rsidRPr="00F463BC" w:rsidRDefault="00F461CB" w:rsidP="0090668E">
      <w:pPr>
        <w:autoSpaceDE w:val="0"/>
        <w:autoSpaceDN w:val="0"/>
        <w:adjustRightInd w:val="0"/>
        <w:spacing w:before="0" w:line="271" w:lineRule="auto"/>
        <w:rPr>
          <w:rFonts w:ascii="Arial" w:hAnsi="Arial" w:cs="Arial"/>
          <w:b/>
          <w:bCs/>
          <w:sz w:val="22"/>
          <w:szCs w:val="22"/>
        </w:rPr>
      </w:pPr>
    </w:p>
    <w:p w14:paraId="6B8F31DE" w14:textId="220310A7" w:rsidR="00F461CB" w:rsidRPr="004D5DA2" w:rsidRDefault="004D5DA2" w:rsidP="0090668E">
      <w:pPr>
        <w:pBdr>
          <w:top w:val="single" w:sz="4" w:space="1" w:color="auto"/>
          <w:left w:val="single" w:sz="4" w:space="5" w:color="auto"/>
          <w:bottom w:val="single" w:sz="4" w:space="1" w:color="auto"/>
          <w:right w:val="single" w:sz="4" w:space="4" w:color="auto"/>
        </w:pBdr>
        <w:autoSpaceDE w:val="0"/>
        <w:autoSpaceDN w:val="0"/>
        <w:adjustRightInd w:val="0"/>
        <w:spacing w:before="0" w:line="271" w:lineRule="auto"/>
        <w:rPr>
          <w:rFonts w:ascii="Arial" w:hAnsi="Arial" w:cs="Arial"/>
          <w:b/>
          <w:bCs/>
          <w:sz w:val="22"/>
          <w:szCs w:val="22"/>
        </w:rPr>
      </w:pPr>
      <w:r>
        <w:rPr>
          <w:rFonts w:ascii="Arial" w:hAnsi="Arial" w:cs="Arial"/>
          <w:b/>
          <w:bCs/>
          <w:sz w:val="22"/>
          <w:szCs w:val="22"/>
        </w:rPr>
        <w:t>Circumstances</w:t>
      </w:r>
    </w:p>
    <w:p w14:paraId="101C67A3" w14:textId="7F6C5AA9" w:rsidR="00076E15" w:rsidRPr="004D5DA2" w:rsidRDefault="00076E15">
      <w:pPr>
        <w:numPr>
          <w:ilvl w:val="0"/>
          <w:numId w:val="5"/>
        </w:numPr>
        <w:pBdr>
          <w:top w:val="single" w:sz="4" w:space="1" w:color="auto"/>
          <w:left w:val="single" w:sz="4" w:space="5" w:color="auto"/>
          <w:bottom w:val="single" w:sz="4" w:space="1" w:color="auto"/>
          <w:right w:val="single" w:sz="4" w:space="4" w:color="auto"/>
        </w:pBdr>
        <w:autoSpaceDE w:val="0"/>
        <w:autoSpaceDN w:val="0"/>
        <w:adjustRightInd w:val="0"/>
        <w:spacing w:before="0" w:line="271" w:lineRule="auto"/>
        <w:rPr>
          <w:rFonts w:ascii="Arial" w:hAnsi="Arial" w:cs="Arial"/>
          <w:bCs/>
          <w:sz w:val="22"/>
          <w:szCs w:val="22"/>
        </w:rPr>
      </w:pPr>
      <w:r w:rsidRPr="004D5DA2">
        <w:rPr>
          <w:rFonts w:ascii="Arial" w:hAnsi="Arial" w:cs="Arial"/>
          <w:bCs/>
          <w:sz w:val="22"/>
          <w:szCs w:val="22"/>
        </w:rPr>
        <w:t>Limited assurance engagement conducted in terms of ISAE 3000 (Revised)</w:t>
      </w:r>
      <w:r w:rsidR="006359E1" w:rsidRPr="004D5DA2">
        <w:rPr>
          <w:rFonts w:ascii="Arial" w:hAnsi="Arial" w:cs="Arial"/>
          <w:bCs/>
          <w:sz w:val="22"/>
          <w:szCs w:val="22"/>
        </w:rPr>
        <w:t>.</w:t>
      </w:r>
      <w:r w:rsidRPr="004D5DA2">
        <w:rPr>
          <w:rFonts w:ascii="Arial" w:hAnsi="Arial" w:cs="Arial"/>
          <w:bCs/>
          <w:sz w:val="22"/>
          <w:szCs w:val="22"/>
        </w:rPr>
        <w:t xml:space="preserve"> </w:t>
      </w:r>
    </w:p>
    <w:p w14:paraId="7798FA78" w14:textId="31875E58" w:rsidR="00F461CB" w:rsidRPr="004D5DA2" w:rsidRDefault="00F461CB">
      <w:pPr>
        <w:numPr>
          <w:ilvl w:val="0"/>
          <w:numId w:val="5"/>
        </w:numPr>
        <w:pBdr>
          <w:top w:val="single" w:sz="4" w:space="1" w:color="auto"/>
          <w:left w:val="single" w:sz="4" w:space="5" w:color="auto"/>
          <w:bottom w:val="single" w:sz="4" w:space="1" w:color="auto"/>
          <w:right w:val="single" w:sz="4" w:space="4" w:color="auto"/>
        </w:pBdr>
        <w:autoSpaceDE w:val="0"/>
        <w:autoSpaceDN w:val="0"/>
        <w:adjustRightInd w:val="0"/>
        <w:spacing w:before="0" w:line="271" w:lineRule="auto"/>
        <w:rPr>
          <w:rFonts w:ascii="Arial" w:hAnsi="Arial" w:cs="Arial"/>
          <w:bCs/>
          <w:sz w:val="22"/>
          <w:szCs w:val="22"/>
        </w:rPr>
      </w:pPr>
      <w:r w:rsidRPr="004D5DA2">
        <w:rPr>
          <w:rFonts w:ascii="Arial" w:hAnsi="Arial" w:cs="Arial"/>
          <w:bCs/>
          <w:sz w:val="22"/>
          <w:szCs w:val="22"/>
        </w:rPr>
        <w:t xml:space="preserve">Materiality is set as one, as any non-compliance is required to </w:t>
      </w:r>
      <w:r w:rsidR="00D32139" w:rsidRPr="004D5DA2">
        <w:rPr>
          <w:rFonts w:ascii="Arial" w:hAnsi="Arial" w:cs="Arial"/>
          <w:bCs/>
          <w:sz w:val="22"/>
          <w:szCs w:val="22"/>
        </w:rPr>
        <w:t>be reported to</w:t>
      </w:r>
      <w:r w:rsidRPr="004D5DA2">
        <w:rPr>
          <w:rFonts w:ascii="Arial" w:hAnsi="Arial" w:cs="Arial"/>
          <w:bCs/>
          <w:sz w:val="22"/>
          <w:szCs w:val="22"/>
        </w:rPr>
        <w:t xml:space="preserve"> the Council. Therefore, all instances of non-compliance are regarded as material and therefore all are listed. Any instance of non-compliance will therefore result in a qualified conclusion.</w:t>
      </w:r>
    </w:p>
    <w:p w14:paraId="42CDB944" w14:textId="30A31CCC" w:rsidR="00076E15" w:rsidRPr="004D5DA2" w:rsidRDefault="00D97188">
      <w:pPr>
        <w:numPr>
          <w:ilvl w:val="0"/>
          <w:numId w:val="5"/>
        </w:numPr>
        <w:pBdr>
          <w:top w:val="single" w:sz="4" w:space="1" w:color="auto"/>
          <w:left w:val="single" w:sz="4" w:space="5" w:color="auto"/>
          <w:bottom w:val="single" w:sz="4" w:space="1" w:color="auto"/>
          <w:right w:val="single" w:sz="4" w:space="4" w:color="auto"/>
        </w:pBdr>
        <w:autoSpaceDE w:val="0"/>
        <w:autoSpaceDN w:val="0"/>
        <w:adjustRightInd w:val="0"/>
        <w:spacing w:before="0" w:line="271" w:lineRule="auto"/>
        <w:rPr>
          <w:rFonts w:ascii="Arial" w:hAnsi="Arial" w:cs="Arial"/>
          <w:bCs/>
          <w:sz w:val="22"/>
          <w:szCs w:val="22"/>
        </w:rPr>
      </w:pPr>
      <w:r w:rsidRPr="004D5DA2">
        <w:rPr>
          <w:rFonts w:ascii="Arial" w:hAnsi="Arial" w:cs="Arial"/>
          <w:bCs/>
          <w:sz w:val="22"/>
          <w:szCs w:val="22"/>
        </w:rPr>
        <w:t xml:space="preserve">Both </w:t>
      </w:r>
      <w:r w:rsidR="00076E15" w:rsidRPr="004D5DA2">
        <w:rPr>
          <w:rFonts w:ascii="Arial" w:hAnsi="Arial" w:cs="Arial"/>
          <w:bCs/>
          <w:sz w:val="22"/>
          <w:szCs w:val="22"/>
        </w:rPr>
        <w:t xml:space="preserve">an unmodified (i.e. “clean”) conclusion </w:t>
      </w:r>
      <w:r w:rsidRPr="004D5DA2">
        <w:rPr>
          <w:rFonts w:ascii="Arial" w:hAnsi="Arial" w:cs="Arial"/>
          <w:bCs/>
          <w:sz w:val="22"/>
          <w:szCs w:val="22"/>
        </w:rPr>
        <w:t>(appropriate</w:t>
      </w:r>
      <w:r w:rsidR="00076E15" w:rsidRPr="004D5DA2">
        <w:rPr>
          <w:rFonts w:ascii="Arial" w:hAnsi="Arial" w:cs="Arial"/>
          <w:bCs/>
          <w:sz w:val="22"/>
          <w:szCs w:val="22"/>
        </w:rPr>
        <w:t xml:space="preserve"> based on the evidence obtained</w:t>
      </w:r>
      <w:r w:rsidRPr="004D5DA2">
        <w:rPr>
          <w:rFonts w:ascii="Arial" w:hAnsi="Arial" w:cs="Arial"/>
          <w:bCs/>
          <w:sz w:val="22"/>
          <w:szCs w:val="22"/>
        </w:rPr>
        <w:t>) and a qualified conclusion are illustrated.</w:t>
      </w:r>
    </w:p>
    <w:p w14:paraId="6949404A" w14:textId="77777777" w:rsidR="00F461CB" w:rsidRPr="00F463BC" w:rsidRDefault="00F461CB" w:rsidP="0090668E">
      <w:pPr>
        <w:autoSpaceDE w:val="0"/>
        <w:autoSpaceDN w:val="0"/>
        <w:adjustRightInd w:val="0"/>
        <w:spacing w:before="0" w:line="271" w:lineRule="auto"/>
        <w:rPr>
          <w:rFonts w:ascii="Arial" w:hAnsi="Arial" w:cs="Arial"/>
          <w:b/>
          <w:bCs/>
          <w:sz w:val="22"/>
          <w:szCs w:val="22"/>
        </w:rPr>
      </w:pPr>
    </w:p>
    <w:p w14:paraId="3A3447E0" w14:textId="61C49E66" w:rsidR="00076E15" w:rsidRPr="00EB69C1" w:rsidRDefault="00A818FC" w:rsidP="0090668E">
      <w:pPr>
        <w:autoSpaceDE w:val="0"/>
        <w:autoSpaceDN w:val="0"/>
        <w:adjustRightInd w:val="0"/>
        <w:spacing w:before="0" w:line="271" w:lineRule="auto"/>
        <w:rPr>
          <w:rFonts w:ascii="Arial" w:hAnsi="Arial" w:cs="Arial"/>
          <w:b/>
          <w:bCs/>
        </w:rPr>
      </w:pPr>
      <w:r>
        <w:rPr>
          <w:rFonts w:ascii="Arial" w:hAnsi="Arial" w:cs="Arial"/>
          <w:b/>
          <w:bCs/>
        </w:rPr>
        <w:t>Independent Auditor’s Limited Assurance R</w:t>
      </w:r>
      <w:r w:rsidR="00076E15" w:rsidRPr="00EB69C1">
        <w:rPr>
          <w:rFonts w:ascii="Arial" w:hAnsi="Arial" w:cs="Arial"/>
          <w:b/>
          <w:bCs/>
        </w:rPr>
        <w:t xml:space="preserve">eport </w:t>
      </w:r>
      <w:r>
        <w:rPr>
          <w:rFonts w:ascii="Arial" w:hAnsi="Arial" w:cs="Arial"/>
          <w:b/>
        </w:rPr>
        <w:t>in Accordance with the R</w:t>
      </w:r>
      <w:r w:rsidR="00076E15" w:rsidRPr="00EB69C1">
        <w:rPr>
          <w:rFonts w:ascii="Arial" w:hAnsi="Arial" w:cs="Arial"/>
          <w:b/>
        </w:rPr>
        <w:t xml:space="preserve">equirements of </w:t>
      </w:r>
      <w:r w:rsidR="00076E15" w:rsidRPr="00EB69C1">
        <w:rPr>
          <w:rFonts w:ascii="Arial" w:hAnsi="Arial" w:cs="Arial"/>
          <w:b/>
          <w:bCs/>
        </w:rPr>
        <w:t>Sections 36(5) and 36(8) of the Medical Schemes Act No. 131 of 1998</w:t>
      </w:r>
      <w:r w:rsidR="00076E15" w:rsidRPr="00EB69C1">
        <w:rPr>
          <w:rStyle w:val="FootnoteReference"/>
          <w:rFonts w:ascii="Arial" w:hAnsi="Arial" w:cs="Arial"/>
          <w:b/>
          <w:bCs/>
        </w:rPr>
        <w:footnoteReference w:id="1"/>
      </w:r>
    </w:p>
    <w:p w14:paraId="22CC3358" w14:textId="77777777" w:rsidR="00F461CB" w:rsidRPr="00EB69C1" w:rsidRDefault="00F461CB" w:rsidP="0090668E">
      <w:pPr>
        <w:autoSpaceDE w:val="0"/>
        <w:autoSpaceDN w:val="0"/>
        <w:adjustRightInd w:val="0"/>
        <w:spacing w:before="0" w:line="271" w:lineRule="auto"/>
        <w:rPr>
          <w:rFonts w:ascii="Arial" w:hAnsi="Arial" w:cs="Arial"/>
          <w:bCs/>
          <w:i/>
          <w:sz w:val="22"/>
        </w:rPr>
      </w:pPr>
      <w:r w:rsidRPr="00EB69C1">
        <w:rPr>
          <w:rFonts w:ascii="Arial" w:hAnsi="Arial" w:cs="Arial"/>
          <w:bCs/>
          <w:i/>
          <w:sz w:val="22"/>
        </w:rPr>
        <w:t>To the Board of Trustees of [name of scheme]</w:t>
      </w:r>
    </w:p>
    <w:p w14:paraId="0EDA85E0" w14:textId="77777777" w:rsidR="00F461CB" w:rsidRPr="00F463BC" w:rsidRDefault="00F461CB" w:rsidP="0090668E">
      <w:pPr>
        <w:autoSpaceDE w:val="0"/>
        <w:autoSpaceDN w:val="0"/>
        <w:adjustRightInd w:val="0"/>
        <w:spacing w:before="0" w:line="271" w:lineRule="auto"/>
        <w:rPr>
          <w:rFonts w:ascii="Arial" w:hAnsi="Arial" w:cs="Arial"/>
          <w:b/>
          <w:bCs/>
          <w:sz w:val="22"/>
          <w:szCs w:val="22"/>
        </w:rPr>
      </w:pPr>
    </w:p>
    <w:p w14:paraId="704E90C1" w14:textId="4B480E62" w:rsidR="00F461CB" w:rsidRPr="00F463BC" w:rsidRDefault="00F461CB" w:rsidP="0090668E">
      <w:p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We have undertaken our engagement in accordance with the requirements of Sections 36(5) and 36(8) of the Medical Schemes Act </w:t>
      </w:r>
      <w:r>
        <w:rPr>
          <w:rFonts w:ascii="Arial" w:hAnsi="Arial" w:cs="Arial"/>
          <w:sz w:val="22"/>
          <w:szCs w:val="22"/>
        </w:rPr>
        <w:t>of South Africa</w:t>
      </w:r>
      <w:r w:rsidRPr="00F463BC">
        <w:rPr>
          <w:rFonts w:ascii="Arial" w:hAnsi="Arial" w:cs="Arial"/>
          <w:sz w:val="22"/>
          <w:szCs w:val="22"/>
        </w:rPr>
        <w:t xml:space="preserve"> (the Act) in order to </w:t>
      </w:r>
      <w:r w:rsidR="00076E15" w:rsidRPr="008548E5">
        <w:rPr>
          <w:rFonts w:ascii="Arial" w:hAnsi="Arial" w:cs="Arial"/>
          <w:sz w:val="22"/>
          <w:szCs w:val="22"/>
        </w:rPr>
        <w:t>provide the Registrar</w:t>
      </w:r>
      <w:r w:rsidR="00076E15" w:rsidRPr="008548E5">
        <w:rPr>
          <w:rFonts w:ascii="Arial" w:hAnsi="Arial" w:cs="Arial"/>
          <w:b/>
          <w:bCs/>
          <w:sz w:val="22"/>
          <w:szCs w:val="22"/>
        </w:rPr>
        <w:t xml:space="preserve"> </w:t>
      </w:r>
      <w:r w:rsidR="00076E15" w:rsidRPr="008548E5">
        <w:rPr>
          <w:rFonts w:ascii="Arial" w:hAnsi="Arial" w:cs="Arial"/>
          <w:bCs/>
          <w:sz w:val="22"/>
          <w:szCs w:val="22"/>
        </w:rPr>
        <w:t>of Medical Schemes</w:t>
      </w:r>
      <w:r w:rsidR="00076E15" w:rsidRPr="008548E5">
        <w:rPr>
          <w:rFonts w:ascii="Arial" w:hAnsi="Arial" w:cs="Arial"/>
          <w:sz w:val="22"/>
          <w:szCs w:val="22"/>
        </w:rPr>
        <w:t xml:space="preserve"> (the Registrar) </w:t>
      </w:r>
      <w:r w:rsidR="00076E15">
        <w:rPr>
          <w:rFonts w:ascii="Arial" w:hAnsi="Arial" w:cs="Arial"/>
          <w:sz w:val="22"/>
          <w:szCs w:val="22"/>
        </w:rPr>
        <w:t xml:space="preserve">with </w:t>
      </w:r>
      <w:r w:rsidRPr="00E65C2E">
        <w:rPr>
          <w:rFonts w:ascii="Arial" w:hAnsi="Arial" w:cs="Arial"/>
          <w:sz w:val="22"/>
          <w:szCs w:val="22"/>
        </w:rPr>
        <w:t>limited assurance regarding compliance by &lt;</w:t>
      </w:r>
      <w:r>
        <w:rPr>
          <w:rFonts w:ascii="Arial" w:hAnsi="Arial" w:cs="Arial"/>
          <w:i/>
          <w:sz w:val="22"/>
          <w:szCs w:val="22"/>
        </w:rPr>
        <w:t>n</w:t>
      </w:r>
      <w:r w:rsidRPr="00E65C2E">
        <w:rPr>
          <w:rFonts w:ascii="Arial" w:hAnsi="Arial" w:cs="Arial"/>
          <w:i/>
          <w:sz w:val="22"/>
          <w:szCs w:val="22"/>
        </w:rPr>
        <w:t xml:space="preserve">ame of </w:t>
      </w:r>
      <w:r>
        <w:rPr>
          <w:rFonts w:ascii="Arial" w:hAnsi="Arial" w:cs="Arial"/>
          <w:i/>
          <w:sz w:val="22"/>
          <w:szCs w:val="22"/>
        </w:rPr>
        <w:t>s</w:t>
      </w:r>
      <w:r w:rsidRPr="00E65C2E">
        <w:rPr>
          <w:rFonts w:ascii="Arial" w:hAnsi="Arial" w:cs="Arial"/>
          <w:i/>
          <w:sz w:val="22"/>
          <w:szCs w:val="22"/>
        </w:rPr>
        <w:t>cheme</w:t>
      </w:r>
      <w:r w:rsidRPr="00E65C2E">
        <w:rPr>
          <w:rFonts w:ascii="Arial" w:hAnsi="Arial" w:cs="Arial"/>
          <w:sz w:val="22"/>
          <w:szCs w:val="22"/>
        </w:rPr>
        <w:t>&gt; (the Scheme) with the Sections of the Act</w:t>
      </w:r>
      <w:r w:rsidRPr="00F463BC">
        <w:rPr>
          <w:rFonts w:ascii="Arial" w:hAnsi="Arial" w:cs="Arial"/>
          <w:sz w:val="22"/>
          <w:szCs w:val="22"/>
        </w:rPr>
        <w:t xml:space="preserve"> and related Regulations specified below (the specified Sections of the Act and related Regulations) for the year ended &lt;</w:t>
      </w:r>
      <w:r w:rsidRPr="00944A95">
        <w:rPr>
          <w:rFonts w:ascii="Arial" w:hAnsi="Arial" w:cs="Arial"/>
          <w:i/>
          <w:sz w:val="22"/>
          <w:szCs w:val="22"/>
        </w:rPr>
        <w:t>insert date</w:t>
      </w:r>
      <w:r w:rsidRPr="00F463BC">
        <w:rPr>
          <w:rFonts w:ascii="Arial" w:hAnsi="Arial" w:cs="Arial"/>
          <w:sz w:val="22"/>
          <w:szCs w:val="22"/>
        </w:rPr>
        <w:t>&gt;:</w:t>
      </w:r>
    </w:p>
    <w:p w14:paraId="111426AA" w14:textId="77777777" w:rsidR="00F461CB" w:rsidRPr="00F463BC" w:rsidRDefault="00F461CB">
      <w:pPr>
        <w:numPr>
          <w:ilvl w:val="0"/>
          <w:numId w:val="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 24(5) and/or Regulation 2 (1)(j); and/or sections 33(3) and 44(9)(b) as applicable, relating to the furnishing of financial guarantees;</w:t>
      </w:r>
    </w:p>
    <w:p w14:paraId="4D1C069F" w14:textId="77777777" w:rsidR="00F461CB" w:rsidRPr="00F463BC" w:rsidRDefault="00F461CB">
      <w:pPr>
        <w:numPr>
          <w:ilvl w:val="0"/>
          <w:numId w:val="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 26(1)(c) relating to the establishment of a bank account under the scheme’s direct control;</w:t>
      </w:r>
    </w:p>
    <w:p w14:paraId="4736EAD0" w14:textId="77777777" w:rsidR="00F461CB" w:rsidRPr="00F463BC" w:rsidRDefault="00F461CB">
      <w:pPr>
        <w:numPr>
          <w:ilvl w:val="0"/>
          <w:numId w:val="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Sections 26(4) relating to the restriction of payments made from the scheme’s bank account; and 26(5) relating to the prohibition on any dividend, rebate or bonus payment by a Scheme; </w:t>
      </w:r>
    </w:p>
    <w:p w14:paraId="20DAFA5E" w14:textId="77777777" w:rsidR="00F461CB" w:rsidRPr="00F463BC" w:rsidRDefault="00F461CB">
      <w:pPr>
        <w:numPr>
          <w:ilvl w:val="0"/>
          <w:numId w:val="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Section 26(7) relating to the period within which all subscriptions or contributions are to be paid directly to the Scheme; </w:t>
      </w:r>
    </w:p>
    <w:p w14:paraId="0BC3A299" w14:textId="77777777" w:rsidR="00F461CB" w:rsidRPr="00F463BC" w:rsidRDefault="00F461CB">
      <w:pPr>
        <w:numPr>
          <w:ilvl w:val="0"/>
          <w:numId w:val="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 26(11) relating to the prohibition on a registered medical Scheme from carrying on any other business;</w:t>
      </w:r>
      <w:bookmarkStart w:id="12" w:name="_GoBack"/>
      <w:bookmarkEnd w:id="12"/>
    </w:p>
    <w:p w14:paraId="6B416EC4" w14:textId="77777777" w:rsidR="00F461CB" w:rsidRPr="00F463BC" w:rsidRDefault="00F461CB">
      <w:pPr>
        <w:numPr>
          <w:ilvl w:val="0"/>
          <w:numId w:val="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 37(4)(d) relating to disclosures in the annual financial statements in respect of benefit options offered, read together with section 33 relating to approval and withdrawal of benefit options;</w:t>
      </w:r>
    </w:p>
    <w:p w14:paraId="48435555" w14:textId="77777777" w:rsidR="00F461CB" w:rsidRPr="00F463BC" w:rsidRDefault="00F461CB">
      <w:pPr>
        <w:numPr>
          <w:ilvl w:val="0"/>
          <w:numId w:val="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Sections 35(4), 35(5), 35(7) and 35(8) relating to assets and investments held by the Scheme, as well as Regulation 30 relating to limitations on assets held, read together with </w:t>
      </w:r>
      <w:r w:rsidRPr="00F463BC">
        <w:rPr>
          <w:rFonts w:ascii="Arial" w:hAnsi="Arial" w:cs="Arial"/>
          <w:sz w:val="22"/>
          <w:szCs w:val="22"/>
        </w:rPr>
        <w:lastRenderedPageBreak/>
        <w:t>Annexure B of the Regulations which specifies the limitations on percentages of different categories of assets that may be held;</w:t>
      </w:r>
    </w:p>
    <w:p w14:paraId="5A2D68BB" w14:textId="77777777" w:rsidR="00F461CB" w:rsidRPr="00F463BC" w:rsidRDefault="00F461CB">
      <w:pPr>
        <w:numPr>
          <w:ilvl w:val="0"/>
          <w:numId w:val="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 35(6) relating to prohibition on encumbrances of Scheme assets without the prior approval of the Medical Council;</w:t>
      </w:r>
    </w:p>
    <w:p w14:paraId="1B17B962" w14:textId="77777777" w:rsidR="00F461CB" w:rsidRPr="00F463BC" w:rsidRDefault="00F461CB">
      <w:pPr>
        <w:numPr>
          <w:ilvl w:val="0"/>
          <w:numId w:val="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Sections 36(10) and 36(11) relating to the appointment of an audit committee and the composition of the majority of its members;</w:t>
      </w:r>
    </w:p>
    <w:p w14:paraId="782FAA35" w14:textId="77777777" w:rsidR="00F461CB" w:rsidRPr="00C13D72" w:rsidRDefault="00F461CB">
      <w:pPr>
        <w:numPr>
          <w:ilvl w:val="0"/>
          <w:numId w:val="3"/>
        </w:numPr>
        <w:autoSpaceDE w:val="0"/>
        <w:autoSpaceDN w:val="0"/>
        <w:adjustRightInd w:val="0"/>
        <w:spacing w:before="0" w:line="271" w:lineRule="auto"/>
        <w:rPr>
          <w:rFonts w:ascii="Arial" w:hAnsi="Arial" w:cs="Arial"/>
          <w:sz w:val="22"/>
          <w:szCs w:val="22"/>
        </w:rPr>
      </w:pPr>
      <w:r w:rsidRPr="00C13D72">
        <w:rPr>
          <w:rFonts w:ascii="Arial" w:hAnsi="Arial" w:cs="Arial"/>
          <w:sz w:val="22"/>
          <w:szCs w:val="22"/>
        </w:rPr>
        <w:t>Section 57(4)(f) regarding the duties of the Trustees to take out and maintain an appropriate level of professional indemnity and fidelity insurance</w:t>
      </w:r>
      <w:r w:rsidRPr="00C13D72">
        <w:rPr>
          <w:rStyle w:val="FootnoteReference"/>
          <w:rFonts w:ascii="Arial" w:hAnsi="Arial" w:cs="Arial"/>
          <w:sz w:val="22"/>
          <w:szCs w:val="22"/>
        </w:rPr>
        <w:footnoteReference w:id="2"/>
      </w:r>
      <w:r w:rsidRPr="00C13D72">
        <w:rPr>
          <w:rFonts w:ascii="Arial" w:hAnsi="Arial" w:cs="Arial"/>
          <w:sz w:val="22"/>
          <w:szCs w:val="22"/>
        </w:rPr>
        <w:t>;</w:t>
      </w:r>
    </w:p>
    <w:p w14:paraId="57A1A9A4" w14:textId="77777777" w:rsidR="00F461CB" w:rsidRPr="00F463BC" w:rsidRDefault="00F461CB">
      <w:pPr>
        <w:numPr>
          <w:ilvl w:val="0"/>
          <w:numId w:val="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Sections 59(2) relating to the payment within 30 days of a benefit to be paid to a member or supplier of service, read together with Regulations 6(1), 6(2), 6(3) and 6(4) relating to the manner of payment of benefits;</w:t>
      </w:r>
    </w:p>
    <w:p w14:paraId="6FF5D21D" w14:textId="77777777" w:rsidR="00F461CB" w:rsidRPr="00F463BC" w:rsidRDefault="00F461CB">
      <w:pPr>
        <w:numPr>
          <w:ilvl w:val="0"/>
          <w:numId w:val="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Regulation 9A relating to a prohibition on any provision in the rules of a Scheme that permits an accumulation of unexpended benefits by a beneficiary from one year to the next, other than as provided for in personal medical savings accounts;</w:t>
      </w:r>
    </w:p>
    <w:p w14:paraId="448AA50F" w14:textId="77777777" w:rsidR="00F461CB" w:rsidRPr="00F463BC" w:rsidRDefault="00F461CB">
      <w:pPr>
        <w:numPr>
          <w:ilvl w:val="0"/>
          <w:numId w:val="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 30(1)(e) relating to Scheme Rules allocating a personal medical savings account to a member within the limit and in the manner prescribed from time to time for payment of any relevant health service;</w:t>
      </w:r>
    </w:p>
    <w:p w14:paraId="15EB1A7A" w14:textId="77777777" w:rsidR="00F461CB" w:rsidRPr="00F463BC" w:rsidRDefault="00F461CB">
      <w:pPr>
        <w:numPr>
          <w:ilvl w:val="0"/>
          <w:numId w:val="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Regulations 10(1), 10(4), 10(5) and 10(6) relating to personal medical savings accounts;</w:t>
      </w:r>
    </w:p>
    <w:p w14:paraId="77636E9E" w14:textId="77777777" w:rsidR="00F461CB" w:rsidRPr="00F463BC" w:rsidRDefault="00F461CB">
      <w:pPr>
        <w:numPr>
          <w:ilvl w:val="0"/>
          <w:numId w:val="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Sections 4(1), 4(2), 4(4) and 4(5) of the Financial Institutions (Protection of Funds) Act 28 of 2001 relating to the investment of personal medical savings account monies and the separation thereof from scheme assets, read together with Section 2(c) of the Protection of Funds Act relating to the allocation of investment income earned in respect of these monies;</w:t>
      </w:r>
    </w:p>
    <w:p w14:paraId="3C979B5C" w14:textId="77777777" w:rsidR="00F461CB" w:rsidRPr="00F463BC" w:rsidRDefault="00F461CB">
      <w:pPr>
        <w:numPr>
          <w:ilvl w:val="0"/>
          <w:numId w:val="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Regulations 15 relating to the provision of managed health care; 18 relating to provisions to be included in administration agreements; and 19 relating to requirements of the parties on termination of an administration agreement;</w:t>
      </w:r>
    </w:p>
    <w:p w14:paraId="1F2FEAEC" w14:textId="47762BB8" w:rsidR="00F461CB" w:rsidRPr="00F463BC" w:rsidRDefault="00F461CB">
      <w:pPr>
        <w:numPr>
          <w:ilvl w:val="0"/>
          <w:numId w:val="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Section 65 relating to broker services and commission, read together with Regulations 28(1), 28(2), 28(5) relating to compensation of brokers by a Scheme and </w:t>
      </w:r>
      <w:r w:rsidR="00AA5170">
        <w:rPr>
          <w:rFonts w:ascii="Arial" w:hAnsi="Arial" w:cs="Arial"/>
          <w:sz w:val="22"/>
          <w:szCs w:val="22"/>
        </w:rPr>
        <w:t xml:space="preserve">Regulation </w:t>
      </w:r>
      <w:r w:rsidRPr="00F463BC">
        <w:rPr>
          <w:rFonts w:ascii="Arial" w:hAnsi="Arial" w:cs="Arial"/>
          <w:sz w:val="22"/>
          <w:szCs w:val="22"/>
        </w:rPr>
        <w:t>28B relating to requirements for accreditation of brokers by the Medical Council; and</w:t>
      </w:r>
    </w:p>
    <w:p w14:paraId="0C5412B0" w14:textId="77777777" w:rsidR="00F461CB" w:rsidRPr="00F463BC" w:rsidRDefault="00F461CB">
      <w:pPr>
        <w:numPr>
          <w:ilvl w:val="0"/>
          <w:numId w:val="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Regulation 29 relating to the minimum accumulated funds to be maintained by a Scheme.</w:t>
      </w:r>
    </w:p>
    <w:p w14:paraId="105DB133" w14:textId="77777777" w:rsidR="00F461CB" w:rsidRPr="00F463BC" w:rsidRDefault="00F461CB" w:rsidP="0090668E">
      <w:pPr>
        <w:autoSpaceDE w:val="0"/>
        <w:autoSpaceDN w:val="0"/>
        <w:adjustRightInd w:val="0"/>
        <w:spacing w:before="0" w:line="271" w:lineRule="auto"/>
        <w:rPr>
          <w:rFonts w:ascii="Arial" w:hAnsi="Arial" w:cs="Arial"/>
          <w:b/>
          <w:bCs/>
          <w:sz w:val="22"/>
          <w:szCs w:val="22"/>
        </w:rPr>
      </w:pPr>
    </w:p>
    <w:p w14:paraId="75639B09" w14:textId="77777777" w:rsidR="00F461CB" w:rsidRPr="00E93B2B" w:rsidRDefault="00F461CB" w:rsidP="0090668E">
      <w:pPr>
        <w:keepNext/>
        <w:autoSpaceDE w:val="0"/>
        <w:autoSpaceDN w:val="0"/>
        <w:adjustRightInd w:val="0"/>
        <w:spacing w:before="0" w:line="271" w:lineRule="auto"/>
        <w:rPr>
          <w:rFonts w:ascii="Arial" w:hAnsi="Arial" w:cs="Arial"/>
          <w:bCs/>
          <w:i/>
          <w:sz w:val="22"/>
          <w:szCs w:val="22"/>
        </w:rPr>
      </w:pPr>
      <w:r w:rsidRPr="00E93B2B">
        <w:rPr>
          <w:rFonts w:ascii="Arial" w:hAnsi="Arial" w:cs="Arial"/>
          <w:bCs/>
          <w:i/>
          <w:sz w:val="22"/>
          <w:szCs w:val="22"/>
        </w:rPr>
        <w:lastRenderedPageBreak/>
        <w:t>Trustees’ Responsibility</w:t>
      </w:r>
    </w:p>
    <w:p w14:paraId="093F9A3D" w14:textId="77C8CD0A" w:rsidR="00F461CB" w:rsidRPr="00F463BC" w:rsidRDefault="00F461CB" w:rsidP="0090668E">
      <w:pPr>
        <w:keepNext/>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The trustees are responsible for compliance by the Scheme with the specified Sections of the Act and related Regulations and for such internal control as they determine is necessary to ensure compliance with the specified Sections </w:t>
      </w:r>
      <w:r w:rsidR="005277EF">
        <w:rPr>
          <w:rFonts w:ascii="Arial" w:hAnsi="Arial" w:cs="Arial"/>
          <w:sz w:val="22"/>
          <w:szCs w:val="22"/>
        </w:rPr>
        <w:t xml:space="preserve">of the Act </w:t>
      </w:r>
      <w:r w:rsidRPr="00F463BC">
        <w:rPr>
          <w:rFonts w:ascii="Arial" w:hAnsi="Arial" w:cs="Arial"/>
          <w:sz w:val="22"/>
          <w:szCs w:val="22"/>
        </w:rPr>
        <w:t xml:space="preserve">and </w:t>
      </w:r>
      <w:r>
        <w:rPr>
          <w:rFonts w:ascii="Arial" w:hAnsi="Arial" w:cs="Arial"/>
          <w:sz w:val="22"/>
          <w:szCs w:val="22"/>
        </w:rPr>
        <w:t xml:space="preserve">related </w:t>
      </w:r>
      <w:r w:rsidRPr="00F463BC">
        <w:rPr>
          <w:rFonts w:ascii="Arial" w:hAnsi="Arial" w:cs="Arial"/>
          <w:sz w:val="22"/>
          <w:szCs w:val="22"/>
        </w:rPr>
        <w:t>Regulations.</w:t>
      </w:r>
    </w:p>
    <w:p w14:paraId="680CD446" w14:textId="77777777" w:rsidR="00F461CB" w:rsidRPr="00F463BC" w:rsidRDefault="00F461CB" w:rsidP="0090668E">
      <w:pPr>
        <w:keepNext/>
        <w:autoSpaceDE w:val="0"/>
        <w:autoSpaceDN w:val="0"/>
        <w:adjustRightInd w:val="0"/>
        <w:spacing w:before="0" w:line="271" w:lineRule="auto"/>
        <w:rPr>
          <w:rFonts w:ascii="Arial" w:hAnsi="Arial" w:cs="Arial"/>
          <w:sz w:val="22"/>
          <w:szCs w:val="22"/>
        </w:rPr>
      </w:pPr>
    </w:p>
    <w:p w14:paraId="4F387186" w14:textId="324F7A29" w:rsidR="00F461CB" w:rsidRPr="00E93B2B" w:rsidRDefault="00CE366E">
      <w:pPr>
        <w:keepNext/>
        <w:keepLines/>
        <w:autoSpaceDE w:val="0"/>
        <w:autoSpaceDN w:val="0"/>
        <w:adjustRightInd w:val="0"/>
        <w:spacing w:before="0" w:line="271" w:lineRule="auto"/>
        <w:rPr>
          <w:rFonts w:ascii="Arial" w:hAnsi="Arial" w:cs="Arial"/>
          <w:bCs/>
          <w:i/>
          <w:sz w:val="22"/>
          <w:szCs w:val="22"/>
        </w:rPr>
      </w:pPr>
      <w:r w:rsidRPr="00CE366E">
        <w:rPr>
          <w:rFonts w:ascii="Arial" w:hAnsi="Arial" w:cs="Arial"/>
          <w:bCs/>
          <w:i/>
          <w:sz w:val="22"/>
          <w:szCs w:val="22"/>
        </w:rPr>
        <w:t>Auditor’s</w:t>
      </w:r>
      <w:r w:rsidR="00F461CB" w:rsidRPr="00CE366E">
        <w:rPr>
          <w:rFonts w:ascii="Arial" w:hAnsi="Arial" w:cs="Arial"/>
          <w:bCs/>
          <w:i/>
          <w:sz w:val="22"/>
          <w:szCs w:val="22"/>
        </w:rPr>
        <w:t xml:space="preserve"> Independence and Quality Control</w:t>
      </w:r>
      <w:r w:rsidR="00F461CB" w:rsidRPr="00E93B2B">
        <w:rPr>
          <w:rFonts w:ascii="Arial" w:hAnsi="Arial" w:cs="Arial"/>
          <w:bCs/>
          <w:i/>
          <w:sz w:val="22"/>
          <w:szCs w:val="22"/>
        </w:rPr>
        <w:t xml:space="preserve"> </w:t>
      </w:r>
    </w:p>
    <w:p w14:paraId="7C4017DC" w14:textId="1BB17FE0" w:rsidR="00883322" w:rsidRPr="00076E15" w:rsidRDefault="00883322" w:rsidP="00883322">
      <w:pPr>
        <w:autoSpaceDE w:val="0"/>
        <w:autoSpaceDN w:val="0"/>
        <w:adjustRightInd w:val="0"/>
        <w:spacing w:before="0" w:line="271" w:lineRule="auto"/>
        <w:rPr>
          <w:rFonts w:ascii="Arial" w:hAnsi="Arial" w:cs="Arial"/>
          <w:sz w:val="22"/>
          <w:szCs w:val="22"/>
        </w:rPr>
      </w:pPr>
      <w:r w:rsidRPr="00076E15">
        <w:rPr>
          <w:rFonts w:ascii="Arial" w:hAnsi="Arial" w:cs="Arial"/>
          <w:sz w:val="22"/>
          <w:szCs w:val="22"/>
        </w:rPr>
        <w:t xml:space="preserve">We have complied with the </w:t>
      </w:r>
      <w:r w:rsidRPr="0090668E">
        <w:rPr>
          <w:rFonts w:ascii="Arial" w:hAnsi="Arial" w:cs="Arial"/>
          <w:sz w:val="22"/>
          <w:szCs w:val="22"/>
        </w:rPr>
        <w:t xml:space="preserve">independence and other ethical requirements of the </w:t>
      </w:r>
      <w:r w:rsidRPr="00D40F4F">
        <w:rPr>
          <w:rFonts w:ascii="Arial" w:hAnsi="Arial" w:cs="Arial"/>
          <w:i/>
          <w:sz w:val="22"/>
          <w:szCs w:val="22"/>
        </w:rPr>
        <w:t>Code of Professional Conduct for Registered Auditors</w:t>
      </w:r>
      <w:r w:rsidRPr="00076E15">
        <w:rPr>
          <w:rFonts w:ascii="Arial" w:hAnsi="Arial" w:cs="Arial"/>
          <w:sz w:val="22"/>
          <w:szCs w:val="22"/>
        </w:rPr>
        <w:t xml:space="preserve"> issued by the Independent Regulatory Board for Auditors (the IRBA</w:t>
      </w:r>
      <w:r>
        <w:rPr>
          <w:rFonts w:ascii="Arial" w:hAnsi="Arial" w:cs="Arial"/>
          <w:sz w:val="22"/>
          <w:szCs w:val="22"/>
        </w:rPr>
        <w:t xml:space="preserve"> Code</w:t>
      </w:r>
      <w:r w:rsidRPr="00076E15">
        <w:rPr>
          <w:rFonts w:ascii="Arial" w:hAnsi="Arial" w:cs="Arial"/>
          <w:sz w:val="22"/>
          <w:szCs w:val="22"/>
        </w:rPr>
        <w:t xml:space="preserve">), </w:t>
      </w:r>
      <w:r w:rsidRPr="00AD02FA">
        <w:rPr>
          <w:rFonts w:ascii="Arial" w:hAnsi="Arial" w:cs="Arial"/>
          <w:sz w:val="22"/>
          <w:szCs w:val="22"/>
        </w:rPr>
        <w:t>which is founded on fundamental principles of integrity, objectivity, professional competence and due care, confidentiality and professional behaviour</w:t>
      </w:r>
      <w:r>
        <w:rPr>
          <w:rFonts w:ascii="Arial" w:hAnsi="Arial" w:cs="Arial"/>
          <w:sz w:val="22"/>
          <w:szCs w:val="22"/>
        </w:rPr>
        <w:t xml:space="preserve">. The IRBA Code </w:t>
      </w:r>
      <w:r w:rsidRPr="0090668E">
        <w:rPr>
          <w:rFonts w:ascii="Arial" w:hAnsi="Arial" w:cs="Arial"/>
          <w:sz w:val="22"/>
          <w:szCs w:val="22"/>
        </w:rPr>
        <w:t xml:space="preserve">is consistent with the </w:t>
      </w:r>
      <w:r w:rsidRPr="00AD02FA">
        <w:rPr>
          <w:rFonts w:ascii="Arial" w:hAnsi="Arial" w:cs="Arial"/>
          <w:sz w:val="22"/>
          <w:szCs w:val="22"/>
        </w:rPr>
        <w:t xml:space="preserve">International Ethics Standards Board for Accountants </w:t>
      </w:r>
      <w:r w:rsidRPr="00D40F4F">
        <w:rPr>
          <w:rFonts w:ascii="Arial" w:hAnsi="Arial" w:cs="Arial"/>
          <w:i/>
          <w:sz w:val="22"/>
          <w:szCs w:val="22"/>
        </w:rPr>
        <w:t>Code of Ethics for Professional Accountants (Parts A and B)</w:t>
      </w:r>
      <w:r w:rsidRPr="00AD02FA">
        <w:rPr>
          <w:rFonts w:ascii="Arial" w:hAnsi="Arial" w:cs="Arial"/>
          <w:sz w:val="22"/>
          <w:szCs w:val="22"/>
        </w:rPr>
        <w:t>.</w:t>
      </w:r>
    </w:p>
    <w:p w14:paraId="5D6A8CDA" w14:textId="2916511F" w:rsidR="007F6D19" w:rsidRPr="00076E15" w:rsidRDefault="007F6D19" w:rsidP="00883322">
      <w:pPr>
        <w:autoSpaceDE w:val="0"/>
        <w:autoSpaceDN w:val="0"/>
        <w:adjustRightInd w:val="0"/>
        <w:spacing w:before="0" w:line="271" w:lineRule="auto"/>
        <w:rPr>
          <w:rFonts w:ascii="Arial" w:hAnsi="Arial" w:cs="Arial"/>
          <w:sz w:val="22"/>
          <w:szCs w:val="22"/>
        </w:rPr>
      </w:pPr>
      <w:r w:rsidRPr="00D40F4F">
        <w:rPr>
          <w:rFonts w:ascii="Arial" w:hAnsi="Arial" w:cs="Arial"/>
          <w:i/>
          <w:sz w:val="22"/>
          <w:szCs w:val="22"/>
        </w:rPr>
        <w:t>[Name of firm] / [The firm]</w:t>
      </w:r>
      <w:r w:rsidRPr="0090668E">
        <w:rPr>
          <w:rFonts w:ascii="Arial" w:hAnsi="Arial" w:cs="Arial"/>
          <w:sz w:val="22"/>
          <w:szCs w:val="22"/>
        </w:rPr>
        <w:t xml:space="preserve"> applies International Standard on Quality Control 1 </w:t>
      </w:r>
      <w:r w:rsidR="00AD02FA">
        <w:rPr>
          <w:rFonts w:ascii="Arial" w:hAnsi="Arial" w:cs="Arial"/>
          <w:sz w:val="22"/>
          <w:szCs w:val="22"/>
        </w:rPr>
        <w:t>(</w:t>
      </w:r>
      <w:r w:rsidR="00AD02FA" w:rsidRPr="00D40F4F">
        <w:rPr>
          <w:rFonts w:ascii="Arial" w:hAnsi="Arial" w:cs="Arial"/>
          <w:sz w:val="22"/>
          <w:szCs w:val="22"/>
        </w:rPr>
        <w:t xml:space="preserve">ISQC 1), </w:t>
      </w:r>
      <w:r w:rsidR="00AD02FA" w:rsidRPr="00D40F4F">
        <w:rPr>
          <w:rFonts w:ascii="Arial" w:hAnsi="Arial" w:cs="Arial"/>
          <w:i/>
          <w:sz w:val="22"/>
          <w:szCs w:val="22"/>
        </w:rPr>
        <w:t>Quality Control for Firms that Perform Audits and Reviews of Financial Statements, and Other Assurance and Related Services Engagements</w:t>
      </w:r>
      <w:r w:rsidR="00AD02FA" w:rsidRPr="00D40F4F">
        <w:rPr>
          <w:rFonts w:ascii="Arial" w:hAnsi="Arial" w:cs="Arial"/>
          <w:sz w:val="22"/>
          <w:szCs w:val="22"/>
        </w:rPr>
        <w:t xml:space="preserve">, </w:t>
      </w:r>
      <w:r w:rsidRPr="0090668E">
        <w:rPr>
          <w:rFonts w:ascii="Arial" w:hAnsi="Arial" w:cs="Arial"/>
          <w:sz w:val="22"/>
          <w:szCs w:val="22"/>
        </w:rPr>
        <w:t xml:space="preserve">and accordingly </w:t>
      </w:r>
      <w:r w:rsidRPr="00076E15">
        <w:rPr>
          <w:rFonts w:ascii="Arial" w:hAnsi="Arial" w:cs="Arial"/>
          <w:sz w:val="22"/>
          <w:szCs w:val="22"/>
        </w:rPr>
        <w:t xml:space="preserve">maintains a comprehensive system of quality control including documented policies and procedures regarding compliance with ethical requirements, professional standards and applicable legal and regulatory requirements. </w:t>
      </w:r>
    </w:p>
    <w:p w14:paraId="32FCF82C" w14:textId="77777777" w:rsidR="00F461CB" w:rsidRPr="00F463BC" w:rsidRDefault="00F461CB" w:rsidP="0090668E">
      <w:pPr>
        <w:autoSpaceDE w:val="0"/>
        <w:autoSpaceDN w:val="0"/>
        <w:adjustRightInd w:val="0"/>
        <w:spacing w:before="0" w:line="271" w:lineRule="auto"/>
        <w:rPr>
          <w:rFonts w:ascii="Arial" w:hAnsi="Arial" w:cs="Arial"/>
          <w:sz w:val="22"/>
          <w:szCs w:val="22"/>
        </w:rPr>
      </w:pPr>
    </w:p>
    <w:p w14:paraId="2F85E779" w14:textId="582AE446" w:rsidR="007E15CC" w:rsidRPr="00E93B2B" w:rsidRDefault="00CE366E">
      <w:pPr>
        <w:pStyle w:val="BodyText"/>
        <w:spacing w:after="120" w:line="271" w:lineRule="auto"/>
        <w:rPr>
          <w:rFonts w:cs="Arial"/>
          <w:i/>
          <w:sz w:val="22"/>
          <w:szCs w:val="22"/>
        </w:rPr>
      </w:pPr>
      <w:r w:rsidRPr="00CE366E">
        <w:rPr>
          <w:rFonts w:cs="Arial"/>
          <w:i/>
          <w:sz w:val="22"/>
          <w:szCs w:val="22"/>
        </w:rPr>
        <w:t>Auditor’s</w:t>
      </w:r>
      <w:r w:rsidR="007E15CC" w:rsidRPr="00CE366E">
        <w:rPr>
          <w:rFonts w:cs="Arial"/>
          <w:i/>
          <w:sz w:val="22"/>
          <w:szCs w:val="22"/>
        </w:rPr>
        <w:t xml:space="preserve"> Responsibility</w:t>
      </w:r>
    </w:p>
    <w:p w14:paraId="3F0DD557" w14:textId="634AB752" w:rsidR="007E15CC" w:rsidRDefault="007E15CC">
      <w:pPr>
        <w:pStyle w:val="BodyText"/>
        <w:spacing w:after="120" w:line="271" w:lineRule="auto"/>
        <w:rPr>
          <w:rFonts w:cs="Arial"/>
          <w:sz w:val="22"/>
          <w:szCs w:val="22"/>
        </w:rPr>
      </w:pPr>
      <w:r w:rsidRPr="001C38BD">
        <w:rPr>
          <w:rFonts w:cs="Arial"/>
          <w:sz w:val="22"/>
          <w:szCs w:val="22"/>
        </w:rPr>
        <w:t xml:space="preserve">Our responsibility, in accordance with Sections 36(5)(b) and 36(8)(b) of the Act, is to express </w:t>
      </w:r>
      <w:r w:rsidR="00D97188">
        <w:rPr>
          <w:rFonts w:cs="Arial"/>
          <w:sz w:val="22"/>
          <w:szCs w:val="22"/>
        </w:rPr>
        <w:t>a</w:t>
      </w:r>
      <w:r w:rsidR="00D97188" w:rsidRPr="001C38BD">
        <w:rPr>
          <w:rFonts w:cs="Arial"/>
          <w:sz w:val="22"/>
          <w:szCs w:val="22"/>
        </w:rPr>
        <w:t xml:space="preserve"> </w:t>
      </w:r>
      <w:r w:rsidRPr="001C38BD">
        <w:rPr>
          <w:rFonts w:cs="Arial"/>
          <w:sz w:val="22"/>
          <w:szCs w:val="22"/>
        </w:rPr>
        <w:t xml:space="preserve">limited assurance conclusion whether, based on our work performed, anything has come to our attention that causes us to believe that the Scheme has not complied with the </w:t>
      </w:r>
      <w:r w:rsidR="005277EF">
        <w:rPr>
          <w:rFonts w:cs="Arial"/>
          <w:sz w:val="22"/>
          <w:szCs w:val="22"/>
        </w:rPr>
        <w:t xml:space="preserve">specified </w:t>
      </w:r>
      <w:r w:rsidRPr="001C38BD">
        <w:rPr>
          <w:rFonts w:cs="Arial"/>
          <w:sz w:val="22"/>
          <w:szCs w:val="22"/>
        </w:rPr>
        <w:t>Sections of the Act and related Regulations</w:t>
      </w:r>
      <w:r>
        <w:rPr>
          <w:rFonts w:cs="Arial"/>
          <w:sz w:val="22"/>
          <w:szCs w:val="22"/>
        </w:rPr>
        <w:t>.</w:t>
      </w:r>
    </w:p>
    <w:p w14:paraId="2418BF19" w14:textId="19EC33C1" w:rsidR="00F461CB" w:rsidRDefault="00F461CB" w:rsidP="0090668E">
      <w:pPr>
        <w:keepNext/>
        <w:keepLines/>
        <w:autoSpaceDE w:val="0"/>
        <w:autoSpaceDN w:val="0"/>
        <w:adjustRightInd w:val="0"/>
        <w:spacing w:before="0" w:line="271" w:lineRule="auto"/>
        <w:rPr>
          <w:rFonts w:ascii="Arial" w:hAnsi="Arial" w:cs="Arial"/>
          <w:sz w:val="22"/>
          <w:szCs w:val="22"/>
        </w:rPr>
      </w:pPr>
      <w:r w:rsidRPr="00E65C2E">
        <w:rPr>
          <w:rFonts w:ascii="Arial" w:hAnsi="Arial" w:cs="Arial"/>
          <w:sz w:val="22"/>
          <w:szCs w:val="22"/>
        </w:rPr>
        <w:t>We conducted our engagement in accordance with the International Standard on Assurance Engagements</w:t>
      </w:r>
      <w:r w:rsidRPr="00F463BC">
        <w:rPr>
          <w:rFonts w:ascii="Arial" w:hAnsi="Arial" w:cs="Arial"/>
          <w:sz w:val="22"/>
          <w:szCs w:val="22"/>
        </w:rPr>
        <w:t xml:space="preserve"> (ISAE) 3000 (Revised), </w:t>
      </w:r>
      <w:r w:rsidRPr="00F463BC">
        <w:rPr>
          <w:rFonts w:ascii="Arial" w:hAnsi="Arial" w:cs="Arial"/>
          <w:i/>
          <w:iCs/>
          <w:sz w:val="22"/>
          <w:szCs w:val="22"/>
        </w:rPr>
        <w:t>Assurance Engagements Other Than Audits or Reviews of Historic Financial Information</w:t>
      </w:r>
      <w:r w:rsidR="007E15CC">
        <w:rPr>
          <w:rFonts w:ascii="Arial" w:hAnsi="Arial" w:cs="Arial"/>
          <w:sz w:val="22"/>
          <w:szCs w:val="22"/>
        </w:rPr>
        <w:t xml:space="preserve">, </w:t>
      </w:r>
      <w:r w:rsidR="007E15CC" w:rsidRPr="001C38BD">
        <w:rPr>
          <w:rFonts w:ascii="Arial" w:hAnsi="Arial" w:cs="Arial"/>
          <w:sz w:val="22"/>
          <w:szCs w:val="22"/>
        </w:rPr>
        <w:t>issued by the International Auditing and Assurance Standards Board</w:t>
      </w:r>
      <w:r w:rsidR="007E15CC">
        <w:rPr>
          <w:rFonts w:ascii="Arial" w:hAnsi="Arial" w:cs="Arial"/>
          <w:sz w:val="22"/>
          <w:szCs w:val="22"/>
        </w:rPr>
        <w:t>.</w:t>
      </w:r>
      <w:r w:rsidRPr="00F463BC">
        <w:rPr>
          <w:rFonts w:ascii="Arial" w:hAnsi="Arial" w:cs="Arial"/>
          <w:sz w:val="22"/>
          <w:szCs w:val="22"/>
        </w:rPr>
        <w:t xml:space="preserve"> That standard requires </w:t>
      </w:r>
      <w:r w:rsidR="000D3F6F">
        <w:rPr>
          <w:rFonts w:ascii="Arial" w:hAnsi="Arial" w:cs="Arial"/>
          <w:sz w:val="22"/>
          <w:szCs w:val="22"/>
        </w:rPr>
        <w:t xml:space="preserve">that we </w:t>
      </w:r>
      <w:r w:rsidRPr="00F463BC">
        <w:rPr>
          <w:rFonts w:ascii="Arial" w:hAnsi="Arial" w:cs="Arial"/>
          <w:sz w:val="22"/>
          <w:szCs w:val="22"/>
        </w:rPr>
        <w:t xml:space="preserve">plan and perform </w:t>
      </w:r>
      <w:r w:rsidR="000D3F6F">
        <w:rPr>
          <w:rFonts w:ascii="Arial" w:hAnsi="Arial" w:cs="Arial"/>
          <w:sz w:val="22"/>
          <w:szCs w:val="22"/>
        </w:rPr>
        <w:t>this</w:t>
      </w:r>
      <w:r w:rsidRPr="00F463BC">
        <w:rPr>
          <w:rFonts w:ascii="Arial" w:hAnsi="Arial" w:cs="Arial"/>
          <w:sz w:val="22"/>
          <w:szCs w:val="22"/>
        </w:rPr>
        <w:t xml:space="preserve"> engagement to obtain limited assurance on whether the Scheme has </w:t>
      </w:r>
      <w:r w:rsidRPr="006264DA">
        <w:rPr>
          <w:rFonts w:ascii="Arial" w:hAnsi="Arial" w:cs="Arial"/>
          <w:sz w:val="22"/>
          <w:szCs w:val="22"/>
        </w:rPr>
        <w:t>complied with the specified</w:t>
      </w:r>
      <w:r w:rsidRPr="00F463BC">
        <w:rPr>
          <w:rFonts w:ascii="Arial" w:hAnsi="Arial" w:cs="Arial"/>
          <w:sz w:val="22"/>
          <w:szCs w:val="22"/>
        </w:rPr>
        <w:t xml:space="preserve"> Sections of the Act and related Regulations.</w:t>
      </w:r>
    </w:p>
    <w:p w14:paraId="04E10E16" w14:textId="77777777" w:rsidR="00C83B46" w:rsidRPr="00034953" w:rsidRDefault="00C83B46" w:rsidP="00C83B46">
      <w:pPr>
        <w:spacing w:before="0" w:line="271" w:lineRule="auto"/>
        <w:rPr>
          <w:rFonts w:ascii="Arial" w:hAnsi="Arial" w:cs="Arial"/>
          <w:sz w:val="22"/>
          <w:szCs w:val="22"/>
        </w:rPr>
      </w:pPr>
      <w:r w:rsidRPr="00034953">
        <w:rPr>
          <w:rFonts w:ascii="Arial" w:hAnsi="Arial" w:cs="Arial"/>
          <w:sz w:val="22"/>
          <w:szCs w:val="22"/>
        </w:rPr>
        <w:t>A limited assurance engagement is substantially less in scope than a reasonable assurance engagement in relation to both risk assessme</w:t>
      </w:r>
      <w:r w:rsidRPr="00160E52">
        <w:rPr>
          <w:rFonts w:ascii="Arial" w:hAnsi="Arial" w:cs="Arial"/>
          <w:sz w:val="22"/>
          <w:szCs w:val="22"/>
        </w:rPr>
        <w:t>nt procedures, including an understanding of internal control, and the procedures performed in response to the assessed risks</w:t>
      </w:r>
      <w:r w:rsidRPr="008548E5">
        <w:rPr>
          <w:rFonts w:ascii="Arial" w:hAnsi="Arial" w:cs="Arial"/>
          <w:sz w:val="22"/>
          <w:szCs w:val="22"/>
        </w:rPr>
        <w:t>.</w:t>
      </w:r>
      <w:r w:rsidRPr="008548E5">
        <w:rPr>
          <w:rFonts w:ascii="Arial" w:hAnsi="Arial" w:cs="Arial"/>
          <w:b/>
          <w:sz w:val="22"/>
          <w:szCs w:val="22"/>
          <w:vertAlign w:val="superscript"/>
        </w:rPr>
        <w:t xml:space="preserve"> </w:t>
      </w:r>
      <w:r w:rsidRPr="008548E5">
        <w:rPr>
          <w:rFonts w:ascii="Arial" w:hAnsi="Arial" w:cs="Arial"/>
          <w:sz w:val="22"/>
          <w:szCs w:val="22"/>
        </w:rPr>
        <w:t>The procedures we performed were based on our professional judgement and included inquiries, observation of processes followed, inspection of documents, analytical procedures, evaluating the appropriateness of quantification methods and reporting policies, and agreeing or reconciling with underlying records.</w:t>
      </w:r>
    </w:p>
    <w:p w14:paraId="48E60D9A" w14:textId="77777777" w:rsidR="00C83B46" w:rsidRPr="00F463BC" w:rsidRDefault="00C83B46" w:rsidP="00C83B46">
      <w:p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We completed our audit of the annual financial statements of the Scheme for the year ended &lt;</w:t>
      </w:r>
      <w:r w:rsidRPr="00F463BC">
        <w:rPr>
          <w:rFonts w:ascii="Arial" w:hAnsi="Arial" w:cs="Arial"/>
          <w:i/>
          <w:iCs/>
          <w:sz w:val="22"/>
          <w:szCs w:val="22"/>
        </w:rPr>
        <w:t>insert date</w:t>
      </w:r>
      <w:r w:rsidRPr="00F463BC">
        <w:rPr>
          <w:rFonts w:ascii="Arial" w:hAnsi="Arial" w:cs="Arial"/>
          <w:sz w:val="22"/>
          <w:szCs w:val="22"/>
        </w:rPr>
        <w:t>&gt;, prepared in accordance with International Financial Reporting Standards (IFRS)</w:t>
      </w:r>
      <w:r>
        <w:rPr>
          <w:rFonts w:ascii="Arial" w:hAnsi="Arial" w:cs="Arial"/>
          <w:sz w:val="22"/>
          <w:szCs w:val="22"/>
        </w:rPr>
        <w:t xml:space="preserve"> </w:t>
      </w:r>
      <w:r w:rsidRPr="00AE7684">
        <w:rPr>
          <w:rFonts w:ascii="Arial" w:hAnsi="Arial" w:cs="Arial"/>
          <w:sz w:val="22"/>
          <w:szCs w:val="22"/>
        </w:rPr>
        <w:t>and the requirements of the Medical Schemes Act of South Africa</w:t>
      </w:r>
      <w:r w:rsidRPr="00F463BC">
        <w:rPr>
          <w:rFonts w:ascii="Arial" w:hAnsi="Arial" w:cs="Arial"/>
          <w:sz w:val="22"/>
          <w:szCs w:val="22"/>
        </w:rPr>
        <w:t>, on which we issued an &lt;</w:t>
      </w:r>
      <w:r w:rsidRPr="00F463BC">
        <w:rPr>
          <w:rFonts w:ascii="Arial" w:hAnsi="Arial" w:cs="Arial"/>
          <w:i/>
          <w:iCs/>
          <w:sz w:val="22"/>
          <w:szCs w:val="22"/>
        </w:rPr>
        <w:t>unmodified/modified</w:t>
      </w:r>
      <w:r w:rsidRPr="00F463BC">
        <w:rPr>
          <w:rFonts w:ascii="Arial" w:hAnsi="Arial" w:cs="Arial"/>
          <w:sz w:val="22"/>
          <w:szCs w:val="22"/>
        </w:rPr>
        <w:t>&gt;</w:t>
      </w:r>
      <w:r w:rsidRPr="00F463BC">
        <w:rPr>
          <w:rStyle w:val="FootnoteReference"/>
          <w:rFonts w:ascii="Arial" w:hAnsi="Arial" w:cs="Arial"/>
          <w:sz w:val="22"/>
          <w:szCs w:val="22"/>
        </w:rPr>
        <w:footnoteReference w:id="3"/>
      </w:r>
      <w:r w:rsidRPr="00F463BC">
        <w:rPr>
          <w:rFonts w:ascii="Arial" w:hAnsi="Arial" w:cs="Arial"/>
          <w:sz w:val="22"/>
          <w:szCs w:val="22"/>
        </w:rPr>
        <w:t xml:space="preserve"> opinion on &lt;</w:t>
      </w:r>
      <w:r w:rsidRPr="00F463BC">
        <w:rPr>
          <w:rFonts w:ascii="Arial" w:hAnsi="Arial" w:cs="Arial"/>
          <w:i/>
          <w:iCs/>
          <w:sz w:val="22"/>
          <w:szCs w:val="22"/>
        </w:rPr>
        <w:t>insert date of audit report</w:t>
      </w:r>
      <w:r w:rsidRPr="00F463BC">
        <w:rPr>
          <w:rFonts w:ascii="Arial" w:hAnsi="Arial" w:cs="Arial"/>
          <w:sz w:val="22"/>
          <w:szCs w:val="22"/>
        </w:rPr>
        <w:t xml:space="preserve">&gt;. Our audit was performed in </w:t>
      </w:r>
      <w:r w:rsidRPr="00F463BC">
        <w:rPr>
          <w:rFonts w:ascii="Arial" w:hAnsi="Arial" w:cs="Arial"/>
          <w:sz w:val="22"/>
          <w:szCs w:val="22"/>
        </w:rPr>
        <w:lastRenderedPageBreak/>
        <w:t xml:space="preserve">accordance with </w:t>
      </w:r>
      <w:r w:rsidRPr="00AE7684">
        <w:rPr>
          <w:rFonts w:ascii="Arial" w:hAnsi="Arial" w:cs="Arial"/>
          <w:sz w:val="22"/>
          <w:szCs w:val="22"/>
        </w:rPr>
        <w:t>International Standards on Auditing</w:t>
      </w:r>
      <w:r w:rsidRPr="00F463BC">
        <w:rPr>
          <w:rFonts w:ascii="Arial" w:hAnsi="Arial" w:cs="Arial"/>
          <w:sz w:val="22"/>
          <w:szCs w:val="22"/>
        </w:rPr>
        <w:t>. Where appropriate, we have drawn on evidence obtained regarding instances of non-compliance with the specified Sections of the Act and related Regulations</w:t>
      </w:r>
      <w:r w:rsidRPr="00F463BC" w:rsidDel="00F94BBB">
        <w:rPr>
          <w:rFonts w:ascii="Arial" w:hAnsi="Arial" w:cs="Arial"/>
          <w:sz w:val="22"/>
          <w:szCs w:val="22"/>
        </w:rPr>
        <w:t xml:space="preserve"> </w:t>
      </w:r>
      <w:r w:rsidRPr="00F463BC">
        <w:rPr>
          <w:rFonts w:ascii="Arial" w:hAnsi="Arial" w:cs="Arial"/>
          <w:sz w:val="22"/>
          <w:szCs w:val="22"/>
        </w:rPr>
        <w:t>identified during the course of our audit that might materially affect the annual financial statements, and have performed such additional procedures as we considered necessary which included:</w:t>
      </w:r>
    </w:p>
    <w:p w14:paraId="3CA49BD8" w14:textId="77777777" w:rsidR="00C83B46" w:rsidRPr="00F463BC" w:rsidRDefault="00C83B46" w:rsidP="00C83B46">
      <w:pPr>
        <w:numPr>
          <w:ilvl w:val="0"/>
          <w:numId w:val="2"/>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Making inquiries of the Scheme’s management primarily responsible for financial and accounting matters and regulatory compliance;</w:t>
      </w:r>
    </w:p>
    <w:p w14:paraId="3DD915F9" w14:textId="77777777" w:rsidR="00D97188" w:rsidRDefault="00C83B46" w:rsidP="00C83B46">
      <w:pPr>
        <w:numPr>
          <w:ilvl w:val="0"/>
          <w:numId w:val="2"/>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Re-performance of calculations</w:t>
      </w:r>
      <w:r w:rsidR="00D97188">
        <w:rPr>
          <w:rFonts w:ascii="Arial" w:hAnsi="Arial" w:cs="Arial"/>
          <w:sz w:val="22"/>
          <w:szCs w:val="22"/>
        </w:rPr>
        <w:t>;</w:t>
      </w:r>
    </w:p>
    <w:p w14:paraId="11FB9193" w14:textId="56CA31D2" w:rsidR="00C83B46" w:rsidRPr="00F463BC" w:rsidRDefault="00D97188" w:rsidP="00C83B46">
      <w:pPr>
        <w:numPr>
          <w:ilvl w:val="0"/>
          <w:numId w:val="2"/>
        </w:numPr>
        <w:autoSpaceDE w:val="0"/>
        <w:autoSpaceDN w:val="0"/>
        <w:adjustRightInd w:val="0"/>
        <w:spacing w:before="0" w:line="271" w:lineRule="auto"/>
        <w:rPr>
          <w:rFonts w:ascii="Arial" w:hAnsi="Arial" w:cs="Arial"/>
          <w:sz w:val="22"/>
          <w:szCs w:val="22"/>
        </w:rPr>
      </w:pPr>
      <w:r>
        <w:rPr>
          <w:rFonts w:ascii="Arial" w:hAnsi="Arial" w:cs="Arial"/>
          <w:sz w:val="22"/>
          <w:szCs w:val="22"/>
        </w:rPr>
        <w:t>Performance of s</w:t>
      </w:r>
      <w:r w:rsidR="00C83B46" w:rsidRPr="00F463BC">
        <w:rPr>
          <w:rFonts w:ascii="Arial" w:hAnsi="Arial" w:cs="Arial"/>
          <w:sz w:val="22"/>
          <w:szCs w:val="22"/>
        </w:rPr>
        <w:t xml:space="preserve">ubstantive analytical review procedures; and </w:t>
      </w:r>
    </w:p>
    <w:p w14:paraId="7B0C81A6" w14:textId="77777777" w:rsidR="00C83B46" w:rsidRPr="00F463BC" w:rsidRDefault="00C83B46" w:rsidP="00C83B46">
      <w:pPr>
        <w:numPr>
          <w:ilvl w:val="0"/>
          <w:numId w:val="2"/>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Inspection of supporting documentation considered necessary to assess compliance with the </w:t>
      </w:r>
      <w:r>
        <w:rPr>
          <w:rFonts w:ascii="Arial" w:hAnsi="Arial" w:cs="Arial"/>
          <w:sz w:val="22"/>
          <w:szCs w:val="22"/>
        </w:rPr>
        <w:t xml:space="preserve">specified </w:t>
      </w:r>
      <w:r w:rsidRPr="00F463BC">
        <w:rPr>
          <w:rFonts w:ascii="Arial" w:hAnsi="Arial" w:cs="Arial"/>
          <w:sz w:val="22"/>
          <w:szCs w:val="22"/>
        </w:rPr>
        <w:t>Sections of the Act and related Regulations</w:t>
      </w:r>
      <w:r>
        <w:rPr>
          <w:rFonts w:ascii="Arial" w:hAnsi="Arial" w:cs="Arial"/>
          <w:sz w:val="22"/>
          <w:szCs w:val="22"/>
        </w:rPr>
        <w:t>.</w:t>
      </w:r>
    </w:p>
    <w:p w14:paraId="57ED92F7" w14:textId="189D6997" w:rsidR="00F461CB" w:rsidRPr="00F463BC" w:rsidRDefault="00F461CB" w:rsidP="0090668E">
      <w:pPr>
        <w:autoSpaceDE w:val="0"/>
        <w:autoSpaceDN w:val="0"/>
        <w:adjustRightInd w:val="0"/>
        <w:spacing w:before="0" w:line="271" w:lineRule="auto"/>
        <w:rPr>
          <w:rFonts w:ascii="Arial" w:hAnsi="Arial" w:cs="Arial"/>
          <w:sz w:val="22"/>
          <w:szCs w:val="22"/>
        </w:rPr>
      </w:pPr>
      <w:r w:rsidRPr="00E65C2E">
        <w:rPr>
          <w:rFonts w:ascii="Arial" w:hAnsi="Arial" w:cs="Arial"/>
          <w:sz w:val="22"/>
          <w:szCs w:val="22"/>
        </w:rPr>
        <w:t>The procedures performed in a limited assurance engagement vary in nature from, and are less in extent than for, a reasonable assurance engagement</w:t>
      </w:r>
      <w:r w:rsidR="005277EF">
        <w:rPr>
          <w:rFonts w:ascii="Arial" w:hAnsi="Arial" w:cs="Arial"/>
          <w:sz w:val="22"/>
          <w:szCs w:val="22"/>
        </w:rPr>
        <w:t>.</w:t>
      </w:r>
      <w:r w:rsidRPr="00AE7684">
        <w:rPr>
          <w:rFonts w:ascii="Arial" w:hAnsi="Arial" w:cs="Arial"/>
          <w:sz w:val="22"/>
          <w:szCs w:val="22"/>
        </w:rPr>
        <w:t xml:space="preserve"> </w:t>
      </w:r>
      <w:r w:rsidR="000D3F6F">
        <w:rPr>
          <w:rFonts w:ascii="Arial" w:hAnsi="Arial" w:cs="Arial"/>
          <w:sz w:val="22"/>
          <w:szCs w:val="22"/>
        </w:rPr>
        <w:t>Consequently,</w:t>
      </w:r>
      <w:r w:rsidR="005277EF">
        <w:rPr>
          <w:rFonts w:ascii="Arial" w:hAnsi="Arial" w:cs="Arial"/>
          <w:sz w:val="22"/>
          <w:szCs w:val="22"/>
        </w:rPr>
        <w:t xml:space="preserve"> </w:t>
      </w:r>
      <w:r w:rsidRPr="00AE7684">
        <w:rPr>
          <w:rFonts w:ascii="Arial" w:hAnsi="Arial" w:cs="Arial"/>
          <w:sz w:val="22"/>
          <w:szCs w:val="22"/>
        </w:rPr>
        <w:t xml:space="preserve">the level of assurance obtained in a limited assurance engagement is substantially lower than the assurance that would have been obtained had </w:t>
      </w:r>
      <w:r w:rsidR="005277EF">
        <w:rPr>
          <w:rFonts w:ascii="Arial" w:hAnsi="Arial" w:cs="Arial"/>
          <w:sz w:val="22"/>
          <w:szCs w:val="22"/>
        </w:rPr>
        <w:t xml:space="preserve">we performed a </w:t>
      </w:r>
      <w:r w:rsidRPr="00AE7684">
        <w:rPr>
          <w:rFonts w:ascii="Arial" w:hAnsi="Arial" w:cs="Arial"/>
          <w:sz w:val="22"/>
          <w:szCs w:val="22"/>
        </w:rPr>
        <w:t>reasonable assurance engagement</w:t>
      </w:r>
      <w:r w:rsidRPr="00E65C2E">
        <w:rPr>
          <w:rFonts w:ascii="Arial" w:hAnsi="Arial" w:cs="Arial"/>
          <w:sz w:val="22"/>
          <w:szCs w:val="22"/>
        </w:rPr>
        <w:t xml:space="preserve">. Accordingly, we do not express a reasonable assurance opinion </w:t>
      </w:r>
      <w:r w:rsidR="005277EF">
        <w:rPr>
          <w:rFonts w:ascii="Arial" w:hAnsi="Arial" w:cs="Arial"/>
          <w:sz w:val="22"/>
          <w:szCs w:val="22"/>
        </w:rPr>
        <w:t>regarding</w:t>
      </w:r>
      <w:r w:rsidR="005277EF" w:rsidRPr="00E65C2E">
        <w:rPr>
          <w:rFonts w:ascii="Arial" w:hAnsi="Arial" w:cs="Arial"/>
          <w:sz w:val="22"/>
          <w:szCs w:val="22"/>
        </w:rPr>
        <w:t xml:space="preserve"> </w:t>
      </w:r>
      <w:r w:rsidRPr="00E65C2E">
        <w:rPr>
          <w:rFonts w:ascii="Arial" w:hAnsi="Arial" w:cs="Arial"/>
          <w:sz w:val="22"/>
          <w:szCs w:val="22"/>
        </w:rPr>
        <w:t>whether the Scheme has complied with the specified Sections of the Act and related Regulations.</w:t>
      </w:r>
    </w:p>
    <w:p w14:paraId="502BE2D9" w14:textId="1724726A" w:rsidR="00F461CB" w:rsidRPr="00AE7684" w:rsidRDefault="00F461CB" w:rsidP="0090668E">
      <w:pPr>
        <w:autoSpaceDE w:val="0"/>
        <w:autoSpaceDN w:val="0"/>
        <w:adjustRightInd w:val="0"/>
        <w:spacing w:before="0" w:line="271" w:lineRule="auto"/>
        <w:rPr>
          <w:sz w:val="22"/>
          <w:szCs w:val="22"/>
        </w:rPr>
      </w:pPr>
    </w:p>
    <w:p w14:paraId="3EAA85DC" w14:textId="4958486F" w:rsidR="00F461CB" w:rsidRPr="00E93B2B" w:rsidRDefault="00F461CB" w:rsidP="0090668E">
      <w:pPr>
        <w:keepNext/>
        <w:autoSpaceDE w:val="0"/>
        <w:autoSpaceDN w:val="0"/>
        <w:adjustRightInd w:val="0"/>
        <w:spacing w:before="0" w:line="271" w:lineRule="auto"/>
        <w:rPr>
          <w:rFonts w:ascii="Arial" w:hAnsi="Arial" w:cs="Arial"/>
          <w:i/>
          <w:sz w:val="22"/>
          <w:szCs w:val="22"/>
        </w:rPr>
      </w:pPr>
      <w:r w:rsidRPr="00E93B2B">
        <w:rPr>
          <w:rFonts w:ascii="Arial" w:hAnsi="Arial" w:cs="Arial"/>
          <w:i/>
          <w:sz w:val="22"/>
          <w:szCs w:val="22"/>
        </w:rPr>
        <w:t>Basis for Qualified</w:t>
      </w:r>
      <w:r w:rsidR="000D3F6F" w:rsidRPr="00E93B2B">
        <w:rPr>
          <w:rFonts w:ascii="Arial" w:hAnsi="Arial" w:cs="Arial"/>
          <w:i/>
          <w:sz w:val="22"/>
          <w:szCs w:val="22"/>
        </w:rPr>
        <w:t xml:space="preserve"> Limited Assurance</w:t>
      </w:r>
      <w:r w:rsidRPr="00E93B2B">
        <w:rPr>
          <w:rFonts w:ascii="Arial" w:hAnsi="Arial" w:cs="Arial"/>
          <w:i/>
          <w:sz w:val="22"/>
          <w:szCs w:val="22"/>
        </w:rPr>
        <w:t xml:space="preserve"> Conclusion</w:t>
      </w:r>
    </w:p>
    <w:p w14:paraId="2EDE1965" w14:textId="77777777" w:rsidR="00F461CB" w:rsidRPr="00944A95" w:rsidRDefault="00F461CB" w:rsidP="0090668E">
      <w:pPr>
        <w:keepNext/>
        <w:autoSpaceDE w:val="0"/>
        <w:autoSpaceDN w:val="0"/>
        <w:adjustRightInd w:val="0"/>
        <w:spacing w:before="0" w:line="271" w:lineRule="auto"/>
        <w:rPr>
          <w:rFonts w:ascii="Arial" w:hAnsi="Arial" w:cs="Arial"/>
          <w:i/>
          <w:sz w:val="22"/>
          <w:szCs w:val="22"/>
        </w:rPr>
      </w:pPr>
      <w:r w:rsidRPr="00944A95">
        <w:rPr>
          <w:rFonts w:ascii="Arial" w:hAnsi="Arial" w:cs="Arial"/>
          <w:i/>
          <w:sz w:val="22"/>
          <w:szCs w:val="22"/>
        </w:rPr>
        <w:t xml:space="preserve">&lt; List </w:t>
      </w:r>
      <w:r>
        <w:rPr>
          <w:rFonts w:ascii="Arial" w:hAnsi="Arial" w:cs="Arial"/>
          <w:i/>
          <w:sz w:val="22"/>
          <w:szCs w:val="22"/>
        </w:rPr>
        <w:t xml:space="preserve">all </w:t>
      </w:r>
      <w:r w:rsidRPr="00944A95">
        <w:rPr>
          <w:rFonts w:ascii="Arial" w:hAnsi="Arial" w:cs="Arial"/>
          <w:i/>
          <w:sz w:val="22"/>
          <w:szCs w:val="22"/>
        </w:rPr>
        <w:t>instances of non-compliance</w:t>
      </w:r>
      <w:r w:rsidRPr="00EC0CAB" w:rsidDel="00EC0CAB">
        <w:rPr>
          <w:rFonts w:ascii="Arial" w:hAnsi="Arial" w:cs="Arial"/>
          <w:i/>
          <w:sz w:val="22"/>
          <w:szCs w:val="22"/>
        </w:rPr>
        <w:t xml:space="preserve"> </w:t>
      </w:r>
      <w:r w:rsidRPr="00944A95">
        <w:rPr>
          <w:rFonts w:ascii="Arial" w:hAnsi="Arial" w:cs="Arial"/>
          <w:i/>
          <w:sz w:val="22"/>
          <w:szCs w:val="22"/>
        </w:rPr>
        <w:t>&gt;</w:t>
      </w:r>
      <w:r w:rsidRPr="00766953">
        <w:rPr>
          <w:rStyle w:val="FootnoteReference"/>
          <w:rFonts w:ascii="Arial" w:hAnsi="Arial" w:cs="Arial"/>
          <w:sz w:val="22"/>
          <w:szCs w:val="22"/>
        </w:rPr>
        <w:footnoteReference w:id="4"/>
      </w:r>
      <w:r w:rsidRPr="00944A95">
        <w:rPr>
          <w:rFonts w:ascii="Arial" w:hAnsi="Arial" w:cs="Arial"/>
          <w:i/>
          <w:sz w:val="22"/>
          <w:szCs w:val="22"/>
        </w:rPr>
        <w:t>.</w:t>
      </w:r>
    </w:p>
    <w:p w14:paraId="198114AE" w14:textId="77777777" w:rsidR="00F461CB" w:rsidRDefault="00F461CB" w:rsidP="0090668E">
      <w:pPr>
        <w:autoSpaceDE w:val="0"/>
        <w:autoSpaceDN w:val="0"/>
        <w:adjustRightInd w:val="0"/>
        <w:spacing w:before="0" w:line="271" w:lineRule="auto"/>
        <w:rPr>
          <w:rFonts w:ascii="Arial" w:hAnsi="Arial" w:cs="Arial"/>
          <w:sz w:val="22"/>
          <w:szCs w:val="22"/>
        </w:rPr>
      </w:pPr>
    </w:p>
    <w:p w14:paraId="08031AA6" w14:textId="707B682C" w:rsidR="00F461CB" w:rsidRPr="00E93B2B" w:rsidRDefault="00F461CB" w:rsidP="0090668E">
      <w:pPr>
        <w:keepNext/>
        <w:autoSpaceDE w:val="0"/>
        <w:autoSpaceDN w:val="0"/>
        <w:adjustRightInd w:val="0"/>
        <w:spacing w:before="0" w:line="271" w:lineRule="auto"/>
        <w:rPr>
          <w:rFonts w:ascii="Arial" w:hAnsi="Arial" w:cs="Arial"/>
          <w:i/>
          <w:sz w:val="22"/>
          <w:szCs w:val="22"/>
        </w:rPr>
      </w:pPr>
      <w:r w:rsidRPr="00E93B2B">
        <w:rPr>
          <w:rFonts w:ascii="Arial" w:hAnsi="Arial" w:cs="Arial"/>
          <w:i/>
          <w:sz w:val="22"/>
          <w:szCs w:val="22"/>
        </w:rPr>
        <w:t xml:space="preserve">Qualified </w:t>
      </w:r>
      <w:r w:rsidR="000D3F6F" w:rsidRPr="00E93B2B">
        <w:rPr>
          <w:rFonts w:ascii="Arial" w:hAnsi="Arial" w:cs="Arial"/>
          <w:i/>
          <w:sz w:val="22"/>
          <w:szCs w:val="22"/>
        </w:rPr>
        <w:t xml:space="preserve">Limited Assurance </w:t>
      </w:r>
      <w:r w:rsidRPr="00E93B2B">
        <w:rPr>
          <w:rFonts w:ascii="Arial" w:hAnsi="Arial" w:cs="Arial"/>
          <w:i/>
          <w:sz w:val="22"/>
          <w:szCs w:val="22"/>
        </w:rPr>
        <w:t>Conclusion</w:t>
      </w:r>
      <w:r w:rsidRPr="00E93B2B">
        <w:rPr>
          <w:rStyle w:val="FootnoteReference"/>
          <w:rFonts w:ascii="Arial" w:hAnsi="Arial" w:cs="Arial"/>
          <w:i/>
          <w:sz w:val="22"/>
          <w:szCs w:val="22"/>
        </w:rPr>
        <w:footnoteReference w:id="5"/>
      </w:r>
    </w:p>
    <w:p w14:paraId="7A22180F" w14:textId="1BDCF790" w:rsidR="00F461CB" w:rsidRPr="00F5577A" w:rsidRDefault="00F461CB" w:rsidP="0090668E">
      <w:pPr>
        <w:autoSpaceDE w:val="0"/>
        <w:autoSpaceDN w:val="0"/>
        <w:adjustRightInd w:val="0"/>
        <w:spacing w:before="0" w:line="271" w:lineRule="auto"/>
        <w:rPr>
          <w:rFonts w:ascii="Arial" w:hAnsi="Arial" w:cs="Arial"/>
          <w:sz w:val="22"/>
          <w:szCs w:val="22"/>
        </w:rPr>
      </w:pPr>
      <w:r w:rsidRPr="00944A95">
        <w:rPr>
          <w:rFonts w:ascii="Arial" w:hAnsi="Arial" w:cs="Arial"/>
          <w:sz w:val="22"/>
          <w:szCs w:val="22"/>
        </w:rPr>
        <w:t xml:space="preserve">Based on the procedures performed and the evidence obtained, except for the </w:t>
      </w:r>
      <w:r>
        <w:rPr>
          <w:rFonts w:ascii="Arial" w:hAnsi="Arial" w:cs="Arial"/>
          <w:sz w:val="22"/>
          <w:szCs w:val="22"/>
        </w:rPr>
        <w:t>instances of non-compliance</w:t>
      </w:r>
      <w:r w:rsidRPr="00944A95">
        <w:rPr>
          <w:rFonts w:ascii="Arial" w:hAnsi="Arial" w:cs="Arial"/>
          <w:sz w:val="22"/>
          <w:szCs w:val="22"/>
        </w:rPr>
        <w:t xml:space="preserve"> described in the Basis for Qualified Conclusion section of our report, nothing has come to our attention that causes us to believe that the Scheme has not complied</w:t>
      </w:r>
      <w:r>
        <w:rPr>
          <w:rFonts w:ascii="Arial" w:hAnsi="Arial" w:cs="Arial"/>
          <w:sz w:val="22"/>
          <w:szCs w:val="22"/>
        </w:rPr>
        <w:t>, in all material respects,</w:t>
      </w:r>
      <w:r w:rsidRPr="00944A95">
        <w:rPr>
          <w:rFonts w:ascii="Arial" w:hAnsi="Arial" w:cs="Arial"/>
          <w:sz w:val="22"/>
          <w:szCs w:val="22"/>
        </w:rPr>
        <w:t xml:space="preserve"> with the specified Sections of the Act and </w:t>
      </w:r>
      <w:r>
        <w:rPr>
          <w:rFonts w:ascii="Arial" w:hAnsi="Arial" w:cs="Arial"/>
          <w:sz w:val="22"/>
          <w:szCs w:val="22"/>
        </w:rPr>
        <w:t xml:space="preserve">related </w:t>
      </w:r>
      <w:r w:rsidRPr="00944A95">
        <w:rPr>
          <w:rFonts w:ascii="Arial" w:hAnsi="Arial" w:cs="Arial"/>
          <w:sz w:val="22"/>
          <w:szCs w:val="22"/>
        </w:rPr>
        <w:t>Regulations</w:t>
      </w:r>
      <w:r w:rsidR="000D3F6F" w:rsidRPr="000D3F6F">
        <w:rPr>
          <w:rFonts w:ascii="Arial" w:hAnsi="Arial" w:cs="Arial"/>
          <w:sz w:val="22"/>
          <w:szCs w:val="22"/>
        </w:rPr>
        <w:t xml:space="preserve"> </w:t>
      </w:r>
      <w:r w:rsidR="000D3F6F" w:rsidRPr="00F463BC">
        <w:rPr>
          <w:rFonts w:ascii="Arial" w:hAnsi="Arial" w:cs="Arial"/>
          <w:sz w:val="22"/>
          <w:szCs w:val="22"/>
        </w:rPr>
        <w:t>for the year ended &lt;</w:t>
      </w:r>
      <w:r w:rsidR="000D3F6F" w:rsidRPr="00944A95">
        <w:rPr>
          <w:rFonts w:ascii="Arial" w:hAnsi="Arial" w:cs="Arial"/>
          <w:i/>
          <w:sz w:val="22"/>
          <w:szCs w:val="22"/>
        </w:rPr>
        <w:t>insert date</w:t>
      </w:r>
      <w:r w:rsidR="000D3F6F" w:rsidRPr="00F463BC">
        <w:rPr>
          <w:rFonts w:ascii="Arial" w:hAnsi="Arial" w:cs="Arial"/>
          <w:sz w:val="22"/>
          <w:szCs w:val="22"/>
        </w:rPr>
        <w:t>&gt;</w:t>
      </w:r>
      <w:r w:rsidR="000D3F6F">
        <w:rPr>
          <w:rFonts w:ascii="Arial" w:hAnsi="Arial" w:cs="Arial"/>
          <w:sz w:val="22"/>
          <w:szCs w:val="22"/>
        </w:rPr>
        <w:t>.</w:t>
      </w:r>
    </w:p>
    <w:p w14:paraId="0901FBC7" w14:textId="77777777" w:rsidR="00F461CB" w:rsidRDefault="00F461CB" w:rsidP="0090668E">
      <w:pPr>
        <w:keepNext/>
        <w:autoSpaceDE w:val="0"/>
        <w:autoSpaceDN w:val="0"/>
        <w:adjustRightInd w:val="0"/>
        <w:spacing w:before="0" w:line="271" w:lineRule="auto"/>
        <w:rPr>
          <w:rFonts w:ascii="Arial" w:hAnsi="Arial" w:cs="Arial"/>
          <w:b/>
          <w:sz w:val="22"/>
          <w:szCs w:val="22"/>
        </w:rPr>
      </w:pPr>
    </w:p>
    <w:p w14:paraId="2C24AC61" w14:textId="77777777" w:rsidR="00F461CB" w:rsidRPr="00AE7684" w:rsidRDefault="00F461CB" w:rsidP="0090668E">
      <w:pPr>
        <w:keepNext/>
        <w:autoSpaceDE w:val="0"/>
        <w:autoSpaceDN w:val="0"/>
        <w:adjustRightInd w:val="0"/>
        <w:spacing w:before="0" w:line="271" w:lineRule="auto"/>
        <w:rPr>
          <w:rFonts w:ascii="Arial" w:hAnsi="Arial" w:cs="Arial"/>
          <w:b/>
          <w:i/>
          <w:sz w:val="22"/>
          <w:szCs w:val="22"/>
        </w:rPr>
      </w:pPr>
      <w:r w:rsidRPr="00AE7684">
        <w:rPr>
          <w:rFonts w:ascii="Arial" w:hAnsi="Arial" w:cs="Arial"/>
          <w:b/>
          <w:i/>
          <w:sz w:val="22"/>
          <w:szCs w:val="22"/>
        </w:rPr>
        <w:t>OR</w:t>
      </w:r>
    </w:p>
    <w:p w14:paraId="15F5C9BA" w14:textId="77777777" w:rsidR="00F461CB" w:rsidRPr="00F5577A" w:rsidRDefault="00F461CB" w:rsidP="0090668E">
      <w:pPr>
        <w:keepNext/>
        <w:autoSpaceDE w:val="0"/>
        <w:autoSpaceDN w:val="0"/>
        <w:adjustRightInd w:val="0"/>
        <w:spacing w:before="0" w:line="271" w:lineRule="auto"/>
        <w:rPr>
          <w:rFonts w:ascii="Arial" w:hAnsi="Arial" w:cs="Arial"/>
          <w:b/>
          <w:sz w:val="22"/>
          <w:szCs w:val="22"/>
        </w:rPr>
      </w:pPr>
    </w:p>
    <w:p w14:paraId="114898CC" w14:textId="66A26D6B" w:rsidR="00F461CB" w:rsidRPr="00E93B2B" w:rsidRDefault="005277EF" w:rsidP="0090668E">
      <w:pPr>
        <w:keepNext/>
        <w:autoSpaceDE w:val="0"/>
        <w:autoSpaceDN w:val="0"/>
        <w:adjustRightInd w:val="0"/>
        <w:spacing w:before="0" w:line="271" w:lineRule="auto"/>
        <w:rPr>
          <w:rFonts w:ascii="Arial" w:hAnsi="Arial" w:cs="Arial"/>
          <w:i/>
          <w:sz w:val="22"/>
          <w:szCs w:val="22"/>
        </w:rPr>
      </w:pPr>
      <w:r w:rsidRPr="00E93B2B">
        <w:rPr>
          <w:rFonts w:ascii="Arial" w:hAnsi="Arial" w:cs="Arial"/>
          <w:i/>
          <w:sz w:val="22"/>
          <w:szCs w:val="22"/>
        </w:rPr>
        <w:t xml:space="preserve">Limited Assurance </w:t>
      </w:r>
      <w:r w:rsidR="00F461CB" w:rsidRPr="00E93B2B">
        <w:rPr>
          <w:rFonts w:ascii="Arial" w:hAnsi="Arial" w:cs="Arial"/>
          <w:i/>
          <w:sz w:val="22"/>
          <w:szCs w:val="22"/>
        </w:rPr>
        <w:t>Conclusion</w:t>
      </w:r>
      <w:r w:rsidR="00F461CB" w:rsidRPr="00E93B2B">
        <w:rPr>
          <w:rStyle w:val="FootnoteReference"/>
          <w:rFonts w:ascii="Arial" w:hAnsi="Arial" w:cs="Arial"/>
          <w:i/>
          <w:sz w:val="22"/>
          <w:szCs w:val="22"/>
        </w:rPr>
        <w:footnoteReference w:id="6"/>
      </w:r>
    </w:p>
    <w:p w14:paraId="291A94BD" w14:textId="25307ECA" w:rsidR="00F461CB" w:rsidRDefault="00F461CB" w:rsidP="0090668E">
      <w:pPr>
        <w:autoSpaceDE w:val="0"/>
        <w:autoSpaceDN w:val="0"/>
        <w:adjustRightInd w:val="0"/>
        <w:spacing w:before="0" w:line="271" w:lineRule="auto"/>
        <w:rPr>
          <w:rFonts w:ascii="Arial" w:hAnsi="Arial" w:cs="Arial"/>
          <w:sz w:val="22"/>
          <w:szCs w:val="22"/>
        </w:rPr>
      </w:pPr>
      <w:r w:rsidRPr="00301B90">
        <w:rPr>
          <w:rFonts w:ascii="Arial" w:hAnsi="Arial" w:cs="Arial"/>
          <w:sz w:val="22"/>
          <w:szCs w:val="22"/>
        </w:rPr>
        <w:t xml:space="preserve">Based on the procedures </w:t>
      </w:r>
      <w:r w:rsidR="005277EF">
        <w:rPr>
          <w:rFonts w:ascii="Arial" w:hAnsi="Arial" w:cs="Arial"/>
          <w:sz w:val="22"/>
          <w:szCs w:val="22"/>
        </w:rPr>
        <w:t xml:space="preserve">we have </w:t>
      </w:r>
      <w:r w:rsidRPr="00301B90">
        <w:rPr>
          <w:rFonts w:ascii="Arial" w:hAnsi="Arial" w:cs="Arial"/>
          <w:sz w:val="22"/>
          <w:szCs w:val="22"/>
        </w:rPr>
        <w:t xml:space="preserve">performed and the evidence </w:t>
      </w:r>
      <w:r w:rsidR="005277EF">
        <w:rPr>
          <w:rFonts w:ascii="Arial" w:hAnsi="Arial" w:cs="Arial"/>
          <w:sz w:val="22"/>
          <w:szCs w:val="22"/>
        </w:rPr>
        <w:t xml:space="preserve">we have </w:t>
      </w:r>
      <w:r w:rsidRPr="00301B90">
        <w:rPr>
          <w:rFonts w:ascii="Arial" w:hAnsi="Arial" w:cs="Arial"/>
          <w:sz w:val="22"/>
          <w:szCs w:val="22"/>
        </w:rPr>
        <w:t>obtained</w:t>
      </w:r>
      <w:r w:rsidR="005277EF">
        <w:rPr>
          <w:rFonts w:ascii="Arial" w:hAnsi="Arial" w:cs="Arial"/>
          <w:sz w:val="22"/>
          <w:szCs w:val="22"/>
        </w:rPr>
        <w:t>,</w:t>
      </w:r>
      <w:r w:rsidRPr="00301B90">
        <w:rPr>
          <w:rFonts w:ascii="Arial" w:hAnsi="Arial" w:cs="Arial"/>
          <w:sz w:val="22"/>
          <w:szCs w:val="22"/>
        </w:rPr>
        <w:t xml:space="preserve"> nothing has come to our attention that causes us to believe that the Scheme has not complied with the specified Sections of the Act and </w:t>
      </w:r>
      <w:r>
        <w:rPr>
          <w:rFonts w:ascii="Arial" w:hAnsi="Arial" w:cs="Arial"/>
          <w:sz w:val="22"/>
          <w:szCs w:val="22"/>
        </w:rPr>
        <w:t xml:space="preserve">related </w:t>
      </w:r>
      <w:r w:rsidRPr="00301B90">
        <w:rPr>
          <w:rFonts w:ascii="Arial" w:hAnsi="Arial" w:cs="Arial"/>
          <w:sz w:val="22"/>
          <w:szCs w:val="22"/>
        </w:rPr>
        <w:t>Regulations</w:t>
      </w:r>
      <w:r w:rsidR="000D3F6F">
        <w:rPr>
          <w:rFonts w:ascii="Arial" w:hAnsi="Arial" w:cs="Arial"/>
          <w:sz w:val="22"/>
          <w:szCs w:val="22"/>
        </w:rPr>
        <w:t xml:space="preserve"> </w:t>
      </w:r>
      <w:r w:rsidR="000D3F6F" w:rsidRPr="00F463BC">
        <w:rPr>
          <w:rFonts w:ascii="Arial" w:hAnsi="Arial" w:cs="Arial"/>
          <w:sz w:val="22"/>
          <w:szCs w:val="22"/>
        </w:rPr>
        <w:t>for the year ended &lt;</w:t>
      </w:r>
      <w:r w:rsidR="000D3F6F" w:rsidRPr="00944A95">
        <w:rPr>
          <w:rFonts w:ascii="Arial" w:hAnsi="Arial" w:cs="Arial"/>
          <w:i/>
          <w:sz w:val="22"/>
          <w:szCs w:val="22"/>
        </w:rPr>
        <w:t>insert date</w:t>
      </w:r>
      <w:r w:rsidR="000D3F6F" w:rsidRPr="00F463BC">
        <w:rPr>
          <w:rFonts w:ascii="Arial" w:hAnsi="Arial" w:cs="Arial"/>
          <w:sz w:val="22"/>
          <w:szCs w:val="22"/>
        </w:rPr>
        <w:t>&gt;</w:t>
      </w:r>
      <w:r w:rsidR="000D3F6F">
        <w:rPr>
          <w:rFonts w:ascii="Arial" w:hAnsi="Arial" w:cs="Arial"/>
          <w:sz w:val="22"/>
          <w:szCs w:val="22"/>
        </w:rPr>
        <w:t>.</w:t>
      </w:r>
      <w:r w:rsidR="000D3F6F" w:rsidDel="000D3F6F">
        <w:rPr>
          <w:rStyle w:val="CommentReference"/>
        </w:rPr>
        <w:t xml:space="preserve"> </w:t>
      </w:r>
    </w:p>
    <w:p w14:paraId="7BC8ED33" w14:textId="77777777" w:rsidR="00F461CB" w:rsidRPr="00F463BC" w:rsidRDefault="00F461CB" w:rsidP="0090668E">
      <w:pPr>
        <w:autoSpaceDE w:val="0"/>
        <w:autoSpaceDN w:val="0"/>
        <w:adjustRightInd w:val="0"/>
        <w:spacing w:before="0" w:line="271" w:lineRule="auto"/>
        <w:rPr>
          <w:rFonts w:ascii="Arial" w:hAnsi="Arial" w:cs="Arial"/>
          <w:sz w:val="22"/>
          <w:szCs w:val="22"/>
        </w:rPr>
      </w:pPr>
    </w:p>
    <w:p w14:paraId="6640B5DC" w14:textId="77777777" w:rsidR="00F461CB" w:rsidRPr="00E93B2B" w:rsidRDefault="00F461CB" w:rsidP="0090668E">
      <w:pPr>
        <w:keepNext/>
        <w:autoSpaceDE w:val="0"/>
        <w:autoSpaceDN w:val="0"/>
        <w:adjustRightInd w:val="0"/>
        <w:spacing w:before="0" w:line="271" w:lineRule="auto"/>
        <w:rPr>
          <w:rFonts w:ascii="Arial" w:hAnsi="Arial" w:cs="Arial"/>
          <w:bCs/>
          <w:i/>
          <w:sz w:val="22"/>
          <w:szCs w:val="22"/>
        </w:rPr>
      </w:pPr>
      <w:r w:rsidRPr="00E93B2B">
        <w:rPr>
          <w:rFonts w:ascii="Arial" w:hAnsi="Arial" w:cs="Arial"/>
          <w:bCs/>
          <w:i/>
          <w:sz w:val="22"/>
          <w:szCs w:val="22"/>
        </w:rPr>
        <w:t>Restriction on Use</w:t>
      </w:r>
    </w:p>
    <w:p w14:paraId="5B8DAE55" w14:textId="61AF162C" w:rsidR="00F461CB" w:rsidRPr="00F463BC" w:rsidRDefault="00F461CB" w:rsidP="0090668E">
      <w:pPr>
        <w:keepNext/>
        <w:spacing w:before="0" w:line="271" w:lineRule="auto"/>
        <w:rPr>
          <w:rFonts w:ascii="Arial" w:hAnsi="Arial" w:cs="Arial"/>
          <w:sz w:val="22"/>
          <w:szCs w:val="22"/>
          <w:lang w:eastAsia="en-ZA"/>
        </w:rPr>
      </w:pPr>
      <w:r w:rsidRPr="00F463BC">
        <w:rPr>
          <w:rFonts w:ascii="Arial" w:hAnsi="Arial" w:cs="Arial"/>
          <w:sz w:val="22"/>
          <w:szCs w:val="22"/>
          <w:lang w:eastAsia="en-ZA"/>
        </w:rPr>
        <w:t xml:space="preserve">Without modifying our conclusion we emphasise that </w:t>
      </w:r>
      <w:r w:rsidRPr="00F463BC">
        <w:rPr>
          <w:rFonts w:ascii="Arial" w:hAnsi="Arial" w:cs="Arial"/>
          <w:sz w:val="22"/>
          <w:szCs w:val="22"/>
        </w:rPr>
        <w:t>the specified Sections of the Act and related Regulations</w:t>
      </w:r>
      <w:r w:rsidRPr="00F463BC">
        <w:rPr>
          <w:rFonts w:ascii="Arial" w:hAnsi="Arial" w:cs="Arial"/>
          <w:sz w:val="22"/>
          <w:szCs w:val="22"/>
          <w:lang w:eastAsia="en-ZA"/>
        </w:rPr>
        <w:t xml:space="preserve"> are designed to meet the information needs of the Registrar. As a result our report </w:t>
      </w:r>
      <w:r w:rsidR="005277EF">
        <w:rPr>
          <w:rFonts w:ascii="Arial" w:hAnsi="Arial" w:cs="Arial"/>
          <w:sz w:val="22"/>
          <w:szCs w:val="22"/>
          <w:lang w:eastAsia="en-ZA"/>
        </w:rPr>
        <w:t>is</w:t>
      </w:r>
      <w:r w:rsidR="005277EF" w:rsidRPr="00F463BC">
        <w:rPr>
          <w:rFonts w:ascii="Arial" w:hAnsi="Arial" w:cs="Arial"/>
          <w:sz w:val="22"/>
          <w:szCs w:val="22"/>
          <w:lang w:eastAsia="en-ZA"/>
        </w:rPr>
        <w:t xml:space="preserve"> </w:t>
      </w:r>
      <w:r w:rsidRPr="00F463BC">
        <w:rPr>
          <w:rFonts w:ascii="Arial" w:hAnsi="Arial" w:cs="Arial"/>
          <w:sz w:val="22"/>
          <w:szCs w:val="22"/>
          <w:lang w:eastAsia="en-ZA"/>
        </w:rPr>
        <w:t>not suitable for another purpose. Our report is presented solely for the information of the Registrar.</w:t>
      </w:r>
    </w:p>
    <w:p w14:paraId="6565E4EB" w14:textId="77777777" w:rsidR="00F461CB" w:rsidRDefault="00F461CB" w:rsidP="0090668E">
      <w:pPr>
        <w:autoSpaceDE w:val="0"/>
        <w:autoSpaceDN w:val="0"/>
        <w:adjustRightInd w:val="0"/>
        <w:spacing w:before="0" w:line="271" w:lineRule="auto"/>
        <w:rPr>
          <w:rFonts w:ascii="Arial" w:hAnsi="Arial" w:cs="Arial"/>
          <w:i/>
          <w:sz w:val="22"/>
          <w:szCs w:val="22"/>
        </w:rPr>
      </w:pPr>
    </w:p>
    <w:p w14:paraId="0E6EC941" w14:textId="77777777" w:rsidR="005277EF" w:rsidRPr="00124A4F" w:rsidRDefault="005277EF" w:rsidP="005277EF">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Signature</w:t>
      </w:r>
      <w:r w:rsidRPr="00124A4F">
        <w:rPr>
          <w:rFonts w:ascii="Arial" w:hAnsi="Arial" w:cs="Arial"/>
          <w:sz w:val="22"/>
          <w:szCs w:val="22"/>
        </w:rPr>
        <w:t>]</w:t>
      </w:r>
    </w:p>
    <w:p w14:paraId="4B2B7F01" w14:textId="77777777" w:rsidR="005277EF" w:rsidRPr="00124A4F" w:rsidRDefault="005277EF" w:rsidP="005277EF">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Name of individual registered auditor</w:t>
      </w:r>
      <w:r w:rsidRPr="00124A4F">
        <w:rPr>
          <w:rFonts w:ascii="Arial" w:hAnsi="Arial" w:cs="Arial"/>
          <w:sz w:val="22"/>
          <w:szCs w:val="22"/>
        </w:rPr>
        <w:t>]</w:t>
      </w:r>
    </w:p>
    <w:p w14:paraId="5EB432A3" w14:textId="77777777" w:rsidR="005277EF" w:rsidRPr="00124A4F" w:rsidRDefault="005277EF" w:rsidP="005277EF">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Capacity if not a sole practitioner: e.g. Director or Partner</w:t>
      </w:r>
      <w:r w:rsidRPr="00124A4F">
        <w:rPr>
          <w:rFonts w:ascii="Arial" w:hAnsi="Arial" w:cs="Arial"/>
          <w:sz w:val="22"/>
          <w:szCs w:val="22"/>
        </w:rPr>
        <w:t>]</w:t>
      </w:r>
    </w:p>
    <w:p w14:paraId="420778EC" w14:textId="77777777" w:rsidR="005277EF" w:rsidRPr="00124A4F" w:rsidRDefault="005277EF" w:rsidP="005277EF">
      <w:pPr>
        <w:spacing w:before="0" w:line="271" w:lineRule="auto"/>
        <w:rPr>
          <w:rFonts w:ascii="Arial" w:hAnsi="Arial" w:cs="Arial"/>
          <w:sz w:val="22"/>
          <w:szCs w:val="22"/>
        </w:rPr>
      </w:pPr>
      <w:r w:rsidRPr="00124A4F">
        <w:rPr>
          <w:rFonts w:ascii="Arial" w:hAnsi="Arial" w:cs="Arial"/>
          <w:sz w:val="22"/>
          <w:szCs w:val="22"/>
        </w:rPr>
        <w:t>Registered Auditor</w:t>
      </w:r>
    </w:p>
    <w:p w14:paraId="33B6CA2E" w14:textId="77777777" w:rsidR="005277EF" w:rsidRPr="00124A4F" w:rsidRDefault="005277EF" w:rsidP="005277EF">
      <w:pPr>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Date of auditor’s report</w:t>
      </w:r>
      <w:r w:rsidRPr="00124A4F">
        <w:rPr>
          <w:rFonts w:ascii="Arial" w:hAnsi="Arial" w:cs="Arial"/>
          <w:sz w:val="22"/>
          <w:szCs w:val="22"/>
        </w:rPr>
        <w:t>]</w:t>
      </w:r>
    </w:p>
    <w:p w14:paraId="06771564" w14:textId="77777777" w:rsidR="005277EF" w:rsidRPr="00124A4F" w:rsidRDefault="005277EF" w:rsidP="005277EF">
      <w:pPr>
        <w:keepNext/>
        <w:spacing w:before="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address</w:t>
      </w:r>
      <w:r w:rsidRPr="00124A4F">
        <w:rPr>
          <w:rFonts w:ascii="Arial" w:hAnsi="Arial" w:cs="Arial"/>
          <w:sz w:val="22"/>
          <w:szCs w:val="22"/>
        </w:rPr>
        <w:t>]</w:t>
      </w:r>
      <w:bookmarkStart w:id="13" w:name="_Appendix_4_–"/>
      <w:bookmarkStart w:id="14" w:name="_Appendix_6_–_1"/>
      <w:bookmarkEnd w:id="13"/>
      <w:bookmarkEnd w:id="14"/>
    </w:p>
    <w:p w14:paraId="0FDFF82F" w14:textId="77777777" w:rsidR="007B753A" w:rsidRDefault="007B753A" w:rsidP="0090668E">
      <w:pPr>
        <w:keepNext/>
        <w:spacing w:before="0" w:line="271" w:lineRule="auto"/>
      </w:pPr>
      <w:bookmarkStart w:id="15" w:name="_Appendix_6_–"/>
      <w:bookmarkStart w:id="16" w:name="_Appendix_8_–_1"/>
      <w:bookmarkStart w:id="17" w:name="_Appendix_7_–"/>
      <w:bookmarkStart w:id="18" w:name="_Appendix_7_–_1"/>
      <w:bookmarkEnd w:id="15"/>
      <w:bookmarkEnd w:id="16"/>
      <w:bookmarkEnd w:id="17"/>
      <w:bookmarkEnd w:id="18"/>
    </w:p>
    <w:sectPr w:rsidR="007B753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E9834" w14:textId="77777777" w:rsidR="003509F3" w:rsidRDefault="003509F3" w:rsidP="00506448">
      <w:pPr>
        <w:spacing w:before="0" w:after="0"/>
      </w:pPr>
      <w:r>
        <w:separator/>
      </w:r>
    </w:p>
  </w:endnote>
  <w:endnote w:type="continuationSeparator" w:id="0">
    <w:p w14:paraId="71F42B3C" w14:textId="77777777" w:rsidR="003509F3" w:rsidRDefault="003509F3" w:rsidP="005064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CCE44" w14:textId="485E556C" w:rsidR="009635F7" w:rsidRPr="009635F7" w:rsidRDefault="009635F7" w:rsidP="00125089">
    <w:pPr>
      <w:pStyle w:val="Footer"/>
      <w:pBdr>
        <w:bottom w:val="single" w:sz="4" w:space="1" w:color="auto"/>
      </w:pBdr>
      <w:jc w:val="right"/>
      <w:rPr>
        <w:rFonts w:ascii="Arial" w:hAnsi="Arial" w:cs="Arial"/>
        <w:sz w:val="20"/>
        <w:szCs w:val="20"/>
      </w:rPr>
    </w:pPr>
  </w:p>
  <w:p w14:paraId="3682CC6B" w14:textId="03DEB0FE" w:rsidR="009C68A6" w:rsidRDefault="009B4711" w:rsidP="00293032">
    <w:pPr>
      <w:pStyle w:val="Footer"/>
      <w:jc w:val="left"/>
    </w:pPr>
    <w:r>
      <w:rPr>
        <w:rFonts w:ascii="Arial" w:hAnsi="Arial" w:cs="Arial"/>
        <w:sz w:val="20"/>
        <w:szCs w:val="20"/>
      </w:rPr>
      <w:tab/>
    </w:r>
    <w:r>
      <w:rPr>
        <w:rFonts w:ascii="Arial" w:hAnsi="Arial" w:cs="Arial"/>
        <w:sz w:val="20"/>
        <w:szCs w:val="20"/>
      </w:rPr>
      <w:tab/>
    </w:r>
    <w:r w:rsidR="002A44AE" w:rsidRPr="009635F7">
      <w:rPr>
        <w:rFonts w:ascii="Arial" w:hAnsi="Arial" w:cs="Arial"/>
        <w:sz w:val="20"/>
        <w:szCs w:val="20"/>
      </w:rPr>
      <w:t xml:space="preserve">Page </w:t>
    </w:r>
    <w:r w:rsidR="002A44AE" w:rsidRPr="009635F7">
      <w:rPr>
        <w:rFonts w:ascii="Arial" w:hAnsi="Arial" w:cs="Arial"/>
        <w:bCs/>
        <w:sz w:val="20"/>
        <w:szCs w:val="20"/>
      </w:rPr>
      <w:fldChar w:fldCharType="begin"/>
    </w:r>
    <w:r w:rsidR="002A44AE" w:rsidRPr="009635F7">
      <w:rPr>
        <w:rFonts w:ascii="Arial" w:hAnsi="Arial" w:cs="Arial"/>
        <w:bCs/>
        <w:sz w:val="20"/>
        <w:szCs w:val="20"/>
      </w:rPr>
      <w:instrText xml:space="preserve"> PAGE </w:instrText>
    </w:r>
    <w:r w:rsidR="002A44AE" w:rsidRPr="009635F7">
      <w:rPr>
        <w:rFonts w:ascii="Arial" w:hAnsi="Arial" w:cs="Arial"/>
        <w:bCs/>
        <w:sz w:val="20"/>
        <w:szCs w:val="20"/>
      </w:rPr>
      <w:fldChar w:fldCharType="separate"/>
    </w:r>
    <w:r>
      <w:rPr>
        <w:rFonts w:ascii="Arial" w:hAnsi="Arial" w:cs="Arial"/>
        <w:bCs/>
        <w:noProof/>
        <w:sz w:val="20"/>
        <w:szCs w:val="20"/>
      </w:rPr>
      <w:t>5</w:t>
    </w:r>
    <w:r w:rsidR="002A44AE" w:rsidRPr="009635F7">
      <w:rPr>
        <w:rFonts w:ascii="Arial" w:hAnsi="Arial" w:cs="Arial"/>
        <w:bCs/>
        <w:sz w:val="20"/>
        <w:szCs w:val="20"/>
      </w:rPr>
      <w:fldChar w:fldCharType="end"/>
    </w:r>
    <w:r w:rsidR="002A44AE" w:rsidRPr="009635F7">
      <w:rPr>
        <w:rFonts w:ascii="Arial" w:hAnsi="Arial" w:cs="Arial"/>
        <w:sz w:val="20"/>
        <w:szCs w:val="20"/>
      </w:rPr>
      <w:t xml:space="preserve"> of </w:t>
    </w:r>
    <w:r w:rsidR="002A44AE" w:rsidRPr="009635F7">
      <w:rPr>
        <w:rFonts w:ascii="Arial" w:hAnsi="Arial" w:cs="Arial"/>
        <w:bCs/>
        <w:sz w:val="20"/>
        <w:szCs w:val="20"/>
      </w:rPr>
      <w:fldChar w:fldCharType="begin"/>
    </w:r>
    <w:r w:rsidR="002A44AE" w:rsidRPr="009635F7">
      <w:rPr>
        <w:rFonts w:ascii="Arial" w:hAnsi="Arial" w:cs="Arial"/>
        <w:bCs/>
        <w:sz w:val="20"/>
        <w:szCs w:val="20"/>
      </w:rPr>
      <w:instrText xml:space="preserve"> NUMPAGES  </w:instrText>
    </w:r>
    <w:r w:rsidR="002A44AE" w:rsidRPr="009635F7">
      <w:rPr>
        <w:rFonts w:ascii="Arial" w:hAnsi="Arial" w:cs="Arial"/>
        <w:bCs/>
        <w:sz w:val="20"/>
        <w:szCs w:val="20"/>
      </w:rPr>
      <w:fldChar w:fldCharType="separate"/>
    </w:r>
    <w:r>
      <w:rPr>
        <w:rFonts w:ascii="Arial" w:hAnsi="Arial" w:cs="Arial"/>
        <w:bCs/>
        <w:noProof/>
        <w:sz w:val="20"/>
        <w:szCs w:val="20"/>
      </w:rPr>
      <w:t>5</w:t>
    </w:r>
    <w:r w:rsidR="002A44AE" w:rsidRPr="009635F7">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2C2BC" w14:textId="77777777" w:rsidR="003509F3" w:rsidRDefault="003509F3" w:rsidP="00506448">
      <w:pPr>
        <w:spacing w:before="0" w:after="0"/>
      </w:pPr>
      <w:r>
        <w:separator/>
      </w:r>
    </w:p>
  </w:footnote>
  <w:footnote w:type="continuationSeparator" w:id="0">
    <w:p w14:paraId="03ADD70C" w14:textId="77777777" w:rsidR="003509F3" w:rsidRDefault="003509F3" w:rsidP="00506448">
      <w:pPr>
        <w:spacing w:before="0" w:after="0"/>
      </w:pPr>
      <w:r>
        <w:continuationSeparator/>
      </w:r>
    </w:p>
  </w:footnote>
  <w:footnote w:id="1">
    <w:p w14:paraId="75943F8B" w14:textId="77777777" w:rsidR="00076E15" w:rsidRPr="008548E5" w:rsidRDefault="00076E15" w:rsidP="00076E15">
      <w:pPr>
        <w:pStyle w:val="FootnoteText"/>
        <w:ind w:left="567" w:hanging="567"/>
        <w:rPr>
          <w:rFonts w:ascii="Arial" w:hAnsi="Arial" w:cs="Arial"/>
        </w:rPr>
      </w:pPr>
      <w:r w:rsidRPr="008548E5">
        <w:rPr>
          <w:rStyle w:val="FootnoteReference"/>
          <w:rFonts w:ascii="Arial" w:hAnsi="Arial" w:cs="Arial"/>
        </w:rPr>
        <w:footnoteRef/>
      </w:r>
      <w:r w:rsidRPr="008548E5">
        <w:rPr>
          <w:rFonts w:ascii="Arial" w:hAnsi="Arial" w:cs="Arial"/>
        </w:rPr>
        <w:t xml:space="preserve"> </w:t>
      </w:r>
      <w:r w:rsidRPr="008548E5">
        <w:rPr>
          <w:rFonts w:ascii="Arial" w:hAnsi="Arial" w:cs="Arial"/>
        </w:rPr>
        <w:tab/>
        <w:t>The Office of the Registrar requires auditors to submit this report on the auditor’s letterhead.</w:t>
      </w:r>
    </w:p>
  </w:footnote>
  <w:footnote w:id="2">
    <w:p w14:paraId="411CDC69" w14:textId="77777777" w:rsidR="00F461CB" w:rsidRPr="008D7219" w:rsidRDefault="00F461CB" w:rsidP="00F461CB">
      <w:pPr>
        <w:pStyle w:val="FootnoteText"/>
        <w:ind w:left="426" w:hanging="426"/>
      </w:pPr>
      <w:r w:rsidRPr="001B129E">
        <w:rPr>
          <w:rStyle w:val="FootnoteReference"/>
          <w:rFonts w:ascii="Arial" w:hAnsi="Arial" w:cs="Arial"/>
        </w:rPr>
        <w:footnoteRef/>
      </w:r>
      <w:r w:rsidRPr="00944A95">
        <w:rPr>
          <w:rFonts w:ascii="Arial" w:hAnsi="Arial" w:cs="Arial"/>
        </w:rPr>
        <w:t xml:space="preserve"> </w:t>
      </w:r>
      <w:r w:rsidRPr="008D7219">
        <w:rPr>
          <w:rFonts w:ascii="Arial" w:hAnsi="Arial" w:cs="Arial"/>
        </w:rPr>
        <w:tab/>
        <w:t>In terms of this section, i</w:t>
      </w:r>
      <w:r w:rsidRPr="00944A95">
        <w:rPr>
          <w:rFonts w:ascii="Arial" w:hAnsi="Arial" w:cs="Arial"/>
        </w:rPr>
        <w:t>nstances of non-compliance that may be identified may include</w:t>
      </w:r>
      <w:r w:rsidRPr="008D7219">
        <w:rPr>
          <w:rFonts w:ascii="Arial" w:hAnsi="Arial" w:cs="Arial"/>
        </w:rPr>
        <w:t xml:space="preserve"> that t</w:t>
      </w:r>
      <w:r w:rsidRPr="00944A95">
        <w:rPr>
          <w:rFonts w:ascii="Arial" w:hAnsi="Arial" w:cs="Arial"/>
        </w:rPr>
        <w:t>he Scheme either failed to take out fidelity guarantee and professional indemnity, or the cover provided in policy &lt;</w:t>
      </w:r>
      <w:r w:rsidRPr="00944A95">
        <w:rPr>
          <w:rFonts w:ascii="Arial" w:hAnsi="Arial" w:cs="Arial"/>
          <w:i/>
          <w:iCs/>
        </w:rPr>
        <w:t>insert policy number</w:t>
      </w:r>
      <w:r w:rsidRPr="00944A95">
        <w:rPr>
          <w:rFonts w:ascii="Arial" w:hAnsi="Arial" w:cs="Arial"/>
        </w:rPr>
        <w:t>&gt; to the value of &lt;</w:t>
      </w:r>
      <w:r w:rsidRPr="00944A95">
        <w:rPr>
          <w:rFonts w:ascii="Arial" w:hAnsi="Arial" w:cs="Arial"/>
          <w:i/>
          <w:iCs/>
        </w:rPr>
        <w:t>insert sum insured</w:t>
      </w:r>
      <w:r w:rsidRPr="00944A95">
        <w:rPr>
          <w:rFonts w:ascii="Arial" w:hAnsi="Arial" w:cs="Arial"/>
        </w:rPr>
        <w:t>&gt;, was not in accordance with section 57(4)(f) of the Act, and/or the premiums for the policy were not fully paid up.</w:t>
      </w:r>
    </w:p>
    <w:p w14:paraId="0B409073" w14:textId="77777777" w:rsidR="00F461CB" w:rsidRPr="00944A95" w:rsidRDefault="00F461CB" w:rsidP="00F461CB">
      <w:pPr>
        <w:pStyle w:val="FootnoteText"/>
        <w:ind w:left="426" w:hanging="426"/>
        <w:rPr>
          <w:rFonts w:ascii="Arial" w:hAnsi="Arial" w:cs="Arial"/>
        </w:rPr>
      </w:pPr>
    </w:p>
  </w:footnote>
  <w:footnote w:id="3">
    <w:p w14:paraId="7011E486" w14:textId="77777777" w:rsidR="00C83B46" w:rsidRPr="002330AB" w:rsidRDefault="00C83B46" w:rsidP="00C83B46">
      <w:pPr>
        <w:pStyle w:val="FootnoteText"/>
        <w:tabs>
          <w:tab w:val="left" w:pos="426"/>
        </w:tabs>
        <w:ind w:left="426" w:hanging="426"/>
        <w:rPr>
          <w:rFonts w:ascii="Arial" w:hAnsi="Arial" w:cs="Arial"/>
        </w:rPr>
      </w:pPr>
      <w:r w:rsidRPr="002330AB">
        <w:rPr>
          <w:rStyle w:val="FootnoteReference"/>
          <w:rFonts w:ascii="Arial" w:hAnsi="Arial" w:cs="Arial"/>
        </w:rPr>
        <w:footnoteRef/>
      </w:r>
      <w:r w:rsidRPr="002330AB">
        <w:rPr>
          <w:rFonts w:ascii="Arial" w:hAnsi="Arial" w:cs="Arial"/>
        </w:rPr>
        <w:t xml:space="preserve"> </w:t>
      </w:r>
      <w:r>
        <w:rPr>
          <w:rFonts w:ascii="Arial" w:hAnsi="Arial" w:cs="Arial"/>
        </w:rPr>
        <w:tab/>
      </w:r>
      <w:r w:rsidRPr="002330AB">
        <w:rPr>
          <w:rFonts w:ascii="Arial" w:hAnsi="Arial" w:cs="Arial"/>
        </w:rPr>
        <w:t xml:space="preserve">Where a modified opinion has been expressed on the annual financial statements, the auditor considers the implications </w:t>
      </w:r>
      <w:r w:rsidRPr="00EE4C25">
        <w:rPr>
          <w:rFonts w:ascii="Arial" w:hAnsi="Arial" w:cs="Arial"/>
        </w:rPr>
        <w:t xml:space="preserve">for the </w:t>
      </w:r>
      <w:r>
        <w:rPr>
          <w:rFonts w:ascii="Arial" w:hAnsi="Arial" w:cs="Arial"/>
        </w:rPr>
        <w:t>l</w:t>
      </w:r>
      <w:r w:rsidRPr="00944A95">
        <w:rPr>
          <w:rFonts w:ascii="Arial" w:hAnsi="Arial" w:cs="Arial"/>
        </w:rPr>
        <w:t xml:space="preserve">imited </w:t>
      </w:r>
      <w:r>
        <w:rPr>
          <w:rFonts w:ascii="Arial" w:hAnsi="Arial" w:cs="Arial"/>
        </w:rPr>
        <w:t>a</w:t>
      </w:r>
      <w:r w:rsidRPr="00944A95">
        <w:rPr>
          <w:rFonts w:ascii="Arial" w:hAnsi="Arial" w:cs="Arial"/>
        </w:rPr>
        <w:t xml:space="preserve">ssurance </w:t>
      </w:r>
      <w:r>
        <w:rPr>
          <w:rFonts w:ascii="Arial" w:hAnsi="Arial" w:cs="Arial"/>
        </w:rPr>
        <w:t>c</w:t>
      </w:r>
      <w:r w:rsidRPr="00944A95">
        <w:rPr>
          <w:rFonts w:ascii="Arial" w:hAnsi="Arial" w:cs="Arial"/>
        </w:rPr>
        <w:t>onclusion</w:t>
      </w:r>
      <w:r w:rsidRPr="00EE4C25">
        <w:rPr>
          <w:rFonts w:ascii="Arial" w:hAnsi="Arial" w:cs="Arial"/>
        </w:rPr>
        <w:t xml:space="preserve"> expressed in this report.</w:t>
      </w:r>
    </w:p>
  </w:footnote>
  <w:footnote w:id="4">
    <w:p w14:paraId="558B7CA1" w14:textId="75D0CF02" w:rsidR="00F461CB" w:rsidRPr="00074A98" w:rsidRDefault="00F461CB" w:rsidP="00F461CB">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Refer to paragraph A182 of ISAE 3000 </w:t>
      </w:r>
      <w:r w:rsidR="005277EF">
        <w:rPr>
          <w:rFonts w:ascii="Arial" w:hAnsi="Arial" w:cs="Arial"/>
        </w:rPr>
        <w:t>(</w:t>
      </w:r>
      <w:r w:rsidRPr="00766953">
        <w:rPr>
          <w:rFonts w:ascii="Arial" w:hAnsi="Arial" w:cs="Arial"/>
        </w:rPr>
        <w:t>Revised</w:t>
      </w:r>
      <w:r w:rsidR="005277EF">
        <w:rPr>
          <w:rFonts w:ascii="Arial" w:hAnsi="Arial" w:cs="Arial"/>
        </w:rPr>
        <w:t>)</w:t>
      </w:r>
      <w:r w:rsidRPr="00766953">
        <w:rPr>
          <w:rFonts w:ascii="Arial" w:hAnsi="Arial" w:cs="Arial"/>
        </w:rPr>
        <w:t>. Delete this paragraph if the conclusion is unmodified.</w:t>
      </w:r>
    </w:p>
  </w:footnote>
  <w:footnote w:id="5">
    <w:p w14:paraId="63391CA7" w14:textId="77777777" w:rsidR="00F461CB" w:rsidRPr="00766953" w:rsidRDefault="00F461CB" w:rsidP="00F461CB">
      <w:pPr>
        <w:pStyle w:val="FootnoteText"/>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Delete this paragraph if the conclusion is unmodified</w:t>
      </w:r>
    </w:p>
  </w:footnote>
  <w:footnote w:id="6">
    <w:p w14:paraId="210D2FA7" w14:textId="77777777" w:rsidR="00F461CB" w:rsidRPr="00766953" w:rsidRDefault="00F461CB" w:rsidP="00F461CB">
      <w:pPr>
        <w:pStyle w:val="FootnoteText"/>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Delete this</w:t>
      </w:r>
      <w:r w:rsidRPr="00074A98">
        <w:rPr>
          <w:rFonts w:ascii="Arial" w:hAnsi="Arial" w:cs="Arial"/>
        </w:rPr>
        <w:t xml:space="preserve"> paragraph if the conclusion is modified.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34F"/>
    <w:multiLevelType w:val="hybridMultilevel"/>
    <w:tmpl w:val="D94CD1FC"/>
    <w:lvl w:ilvl="0" w:tplc="A3CAF3BC">
      <w:numFmt w:val="bullet"/>
      <w:pStyle w:val="Regularbullets"/>
      <w:lvlText w:val="•"/>
      <w:lvlJc w:val="left"/>
      <w:pPr>
        <w:ind w:left="360" w:hanging="360"/>
      </w:pPr>
      <w:rPr>
        <w:rFonts w:ascii="Helv" w:hAnsi="Helv"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2334C1"/>
    <w:multiLevelType w:val="hybridMultilevel"/>
    <w:tmpl w:val="122C7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DF4CAB"/>
    <w:multiLevelType w:val="singleLevel"/>
    <w:tmpl w:val="4968AE54"/>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46364646"/>
    <w:multiLevelType w:val="hybridMultilevel"/>
    <w:tmpl w:val="6C94E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FE0A49"/>
    <w:multiLevelType w:val="singleLevel"/>
    <w:tmpl w:val="9438CDB8"/>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59684579"/>
    <w:multiLevelType w:val="hybridMultilevel"/>
    <w:tmpl w:val="CF28DE48"/>
    <w:lvl w:ilvl="0" w:tplc="2660861C">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765CA2"/>
    <w:multiLevelType w:val="hybridMultilevel"/>
    <w:tmpl w:val="EA427AC0"/>
    <w:lvl w:ilvl="0" w:tplc="2660861C">
      <w:start w:val="1"/>
      <w:numFmt w:val="bullet"/>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2C2DD0"/>
    <w:multiLevelType w:val="hybridMultilevel"/>
    <w:tmpl w:val="7A3E05F8"/>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7"/>
  </w:num>
  <w:num w:numId="4">
    <w:abstractNumId w:val="2"/>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48"/>
    <w:rsid w:val="00076E15"/>
    <w:rsid w:val="000B2B2B"/>
    <w:rsid w:val="000D3F6F"/>
    <w:rsid w:val="000E78D9"/>
    <w:rsid w:val="00125089"/>
    <w:rsid w:val="00145EBB"/>
    <w:rsid w:val="00164F0A"/>
    <w:rsid w:val="001E310C"/>
    <w:rsid w:val="00203E69"/>
    <w:rsid w:val="00293032"/>
    <w:rsid w:val="002A44AE"/>
    <w:rsid w:val="002E2BC2"/>
    <w:rsid w:val="00310161"/>
    <w:rsid w:val="00317124"/>
    <w:rsid w:val="003509F3"/>
    <w:rsid w:val="0037550D"/>
    <w:rsid w:val="003C3814"/>
    <w:rsid w:val="00450C3F"/>
    <w:rsid w:val="004A58D0"/>
    <w:rsid w:val="004D39B5"/>
    <w:rsid w:val="004D5DA2"/>
    <w:rsid w:val="00506448"/>
    <w:rsid w:val="005277EF"/>
    <w:rsid w:val="0059562E"/>
    <w:rsid w:val="005A2556"/>
    <w:rsid w:val="006359E1"/>
    <w:rsid w:val="00647B89"/>
    <w:rsid w:val="00682A01"/>
    <w:rsid w:val="006C0AA9"/>
    <w:rsid w:val="007947E1"/>
    <w:rsid w:val="007B753A"/>
    <w:rsid w:val="007E15CC"/>
    <w:rsid w:val="007F451E"/>
    <w:rsid w:val="007F6D19"/>
    <w:rsid w:val="008100FE"/>
    <w:rsid w:val="00883322"/>
    <w:rsid w:val="008A398C"/>
    <w:rsid w:val="008A4A66"/>
    <w:rsid w:val="008D063B"/>
    <w:rsid w:val="0090668E"/>
    <w:rsid w:val="009635F7"/>
    <w:rsid w:val="00990294"/>
    <w:rsid w:val="009907BC"/>
    <w:rsid w:val="009B4711"/>
    <w:rsid w:val="009C68A6"/>
    <w:rsid w:val="00A32A13"/>
    <w:rsid w:val="00A818FC"/>
    <w:rsid w:val="00A95A2C"/>
    <w:rsid w:val="00AA5170"/>
    <w:rsid w:val="00AD02FA"/>
    <w:rsid w:val="00AD5876"/>
    <w:rsid w:val="00B91EF0"/>
    <w:rsid w:val="00BC05B1"/>
    <w:rsid w:val="00BC1771"/>
    <w:rsid w:val="00C83B46"/>
    <w:rsid w:val="00CD48E0"/>
    <w:rsid w:val="00CD6D28"/>
    <w:rsid w:val="00CE366E"/>
    <w:rsid w:val="00D32139"/>
    <w:rsid w:val="00D40F4F"/>
    <w:rsid w:val="00D61272"/>
    <w:rsid w:val="00D97188"/>
    <w:rsid w:val="00DA15E3"/>
    <w:rsid w:val="00DD3A14"/>
    <w:rsid w:val="00E93B2B"/>
    <w:rsid w:val="00EB69C1"/>
    <w:rsid w:val="00EC030C"/>
    <w:rsid w:val="00F050BC"/>
    <w:rsid w:val="00F220F5"/>
    <w:rsid w:val="00F461CB"/>
    <w:rsid w:val="00FE21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E38A"/>
  <w15:docId w15:val="{E9D0405D-E811-4D73-AD34-2CFF68FB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461CB"/>
    <w:pPr>
      <w:spacing w:before="120" w:after="120" w:line="240" w:lineRule="auto"/>
      <w:jc w:val="both"/>
    </w:pPr>
    <w:rPr>
      <w:rFonts w:ascii="Arial Narrow" w:eastAsia="Times New Roman" w:hAnsi="Arial Narrow" w:cs="Times New Roman"/>
      <w:sz w:val="24"/>
      <w:szCs w:val="24"/>
      <w:lang w:eastAsia="en-GB"/>
    </w:rPr>
  </w:style>
  <w:style w:type="paragraph" w:styleId="Heading1">
    <w:name w:val="heading 1"/>
    <w:basedOn w:val="Normal"/>
    <w:next w:val="Normal"/>
    <w:link w:val="Heading1Char"/>
    <w:qFormat/>
    <w:rsid w:val="00F461CB"/>
    <w:pPr>
      <w:tabs>
        <w:tab w:val="left" w:pos="-720"/>
      </w:tabs>
      <w:suppressAutoHyphens/>
      <w:spacing w:before="0"/>
      <w:outlineLvl w:val="0"/>
    </w:pPr>
    <w:rPr>
      <w:rFonts w:ascii="Arial" w:hAnsi="Arial" w:cs="Arial"/>
      <w:b/>
      <w:spacing w:val="-2"/>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6448"/>
    <w:pPr>
      <w:tabs>
        <w:tab w:val="center" w:pos="4513"/>
        <w:tab w:val="right" w:pos="9026"/>
      </w:tabs>
      <w:spacing w:after="0"/>
    </w:pPr>
  </w:style>
  <w:style w:type="character" w:customStyle="1" w:styleId="HeaderChar">
    <w:name w:val="Header Char"/>
    <w:basedOn w:val="DefaultParagraphFont"/>
    <w:link w:val="Header"/>
    <w:rsid w:val="00506448"/>
  </w:style>
  <w:style w:type="paragraph" w:styleId="Footer">
    <w:name w:val="footer"/>
    <w:basedOn w:val="Normal"/>
    <w:link w:val="FooterChar"/>
    <w:uiPriority w:val="99"/>
    <w:unhideWhenUsed/>
    <w:rsid w:val="00506448"/>
    <w:pPr>
      <w:tabs>
        <w:tab w:val="center" w:pos="4513"/>
        <w:tab w:val="right" w:pos="9026"/>
      </w:tabs>
      <w:spacing w:after="0"/>
    </w:pPr>
  </w:style>
  <w:style w:type="character" w:customStyle="1" w:styleId="FooterChar">
    <w:name w:val="Footer Char"/>
    <w:basedOn w:val="DefaultParagraphFont"/>
    <w:link w:val="Footer"/>
    <w:uiPriority w:val="99"/>
    <w:rsid w:val="00506448"/>
  </w:style>
  <w:style w:type="character" w:customStyle="1" w:styleId="Heading1Char">
    <w:name w:val="Heading 1 Char"/>
    <w:basedOn w:val="DefaultParagraphFont"/>
    <w:link w:val="Heading1"/>
    <w:rsid w:val="00F461CB"/>
    <w:rPr>
      <w:rFonts w:eastAsia="Times New Roman"/>
      <w:b/>
      <w:spacing w:val="-2"/>
      <w:sz w:val="28"/>
      <w:szCs w:val="28"/>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ARM footnote Text, Cha"/>
    <w:basedOn w:val="Normal"/>
    <w:link w:val="FootnoteTextChar"/>
    <w:rsid w:val="00F461CB"/>
    <w:rPr>
      <w:sz w:val="20"/>
      <w:szCs w:val="20"/>
      <w:lang w:eastAsia="en-US"/>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rsid w:val="00F461CB"/>
    <w:rPr>
      <w:rFonts w:ascii="Arial Narrow" w:eastAsia="Times New Roman" w:hAnsi="Arial Narrow" w:cs="Times New Roman"/>
      <w:sz w:val="20"/>
      <w:szCs w:val="20"/>
    </w:rPr>
  </w:style>
  <w:style w:type="character" w:styleId="FootnoteReference">
    <w:name w:val="footnote reference"/>
    <w:rsid w:val="00F461CB"/>
    <w:rPr>
      <w:vertAlign w:val="superscript"/>
    </w:rPr>
  </w:style>
  <w:style w:type="paragraph" w:customStyle="1" w:styleId="ac-01">
    <w:name w:val="ac-01"/>
    <w:basedOn w:val="Normal"/>
    <w:uiPriority w:val="99"/>
    <w:rsid w:val="00F461CB"/>
    <w:pPr>
      <w:tabs>
        <w:tab w:val="left" w:pos="454"/>
      </w:tabs>
      <w:spacing w:before="240"/>
    </w:pPr>
    <w:rPr>
      <w:sz w:val="20"/>
      <w:szCs w:val="20"/>
      <w:lang w:val="en-GB" w:eastAsia="en-US"/>
    </w:rPr>
  </w:style>
  <w:style w:type="paragraph" w:customStyle="1" w:styleId="Regularbullets">
    <w:name w:val="Regular bullets"/>
    <w:basedOn w:val="Normal"/>
    <w:link w:val="RegularbulletsChar"/>
    <w:qFormat/>
    <w:rsid w:val="00F461CB"/>
    <w:pPr>
      <w:numPr>
        <w:numId w:val="1"/>
      </w:numPr>
    </w:pPr>
    <w:rPr>
      <w:i/>
      <w:lang w:val="en-GB"/>
    </w:rPr>
  </w:style>
  <w:style w:type="character" w:customStyle="1" w:styleId="RegularbulletsChar">
    <w:name w:val="Regular bullets Char"/>
    <w:link w:val="Regularbullets"/>
    <w:rsid w:val="00F461CB"/>
    <w:rPr>
      <w:rFonts w:ascii="Arial Narrow" w:eastAsia="Times New Roman" w:hAnsi="Arial Narrow" w:cs="Times New Roman"/>
      <w:i/>
      <w:sz w:val="24"/>
      <w:szCs w:val="24"/>
      <w:lang w:val="en-GB" w:eastAsia="en-GB"/>
    </w:rPr>
  </w:style>
  <w:style w:type="table" w:styleId="TableGrid">
    <w:name w:val="Table Grid"/>
    <w:basedOn w:val="TableNormal"/>
    <w:uiPriority w:val="59"/>
    <w:rsid w:val="00F461CB"/>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461CB"/>
    <w:pPr>
      <w:spacing w:before="0" w:after="200" w:line="276" w:lineRule="auto"/>
      <w:ind w:left="720"/>
      <w:contextualSpacing/>
      <w:jc w:val="left"/>
    </w:pPr>
    <w:rPr>
      <w:rFonts w:ascii="Calibri" w:hAnsi="Calibri"/>
      <w:sz w:val="22"/>
      <w:szCs w:val="22"/>
      <w:lang w:eastAsia="en-ZA"/>
    </w:rPr>
  </w:style>
  <w:style w:type="character" w:styleId="CommentReference">
    <w:name w:val="annotation reference"/>
    <w:basedOn w:val="DefaultParagraphFont"/>
    <w:semiHidden/>
    <w:unhideWhenUsed/>
    <w:rsid w:val="00076E15"/>
    <w:rPr>
      <w:sz w:val="16"/>
      <w:szCs w:val="16"/>
    </w:rPr>
  </w:style>
  <w:style w:type="paragraph" w:styleId="CommentText">
    <w:name w:val="annotation text"/>
    <w:basedOn w:val="Normal"/>
    <w:link w:val="CommentTextChar"/>
    <w:semiHidden/>
    <w:unhideWhenUsed/>
    <w:rsid w:val="00076E15"/>
    <w:rPr>
      <w:sz w:val="20"/>
      <w:szCs w:val="20"/>
    </w:rPr>
  </w:style>
  <w:style w:type="character" w:customStyle="1" w:styleId="CommentTextChar">
    <w:name w:val="Comment Text Char"/>
    <w:basedOn w:val="DefaultParagraphFont"/>
    <w:link w:val="CommentText"/>
    <w:uiPriority w:val="99"/>
    <w:semiHidden/>
    <w:rsid w:val="00076E15"/>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76E15"/>
    <w:rPr>
      <w:b/>
      <w:bCs/>
    </w:rPr>
  </w:style>
  <w:style w:type="character" w:customStyle="1" w:styleId="CommentSubjectChar">
    <w:name w:val="Comment Subject Char"/>
    <w:basedOn w:val="CommentTextChar"/>
    <w:link w:val="CommentSubject"/>
    <w:uiPriority w:val="99"/>
    <w:semiHidden/>
    <w:rsid w:val="00076E15"/>
    <w:rPr>
      <w:rFonts w:ascii="Arial Narrow" w:eastAsia="Times New Roman" w:hAnsi="Arial Narrow" w:cs="Times New Roman"/>
      <w:b/>
      <w:bCs/>
      <w:sz w:val="20"/>
      <w:szCs w:val="20"/>
      <w:lang w:eastAsia="en-GB"/>
    </w:rPr>
  </w:style>
  <w:style w:type="paragraph" w:styleId="BalloonText">
    <w:name w:val="Balloon Text"/>
    <w:basedOn w:val="Normal"/>
    <w:link w:val="BalloonTextChar"/>
    <w:uiPriority w:val="99"/>
    <w:semiHidden/>
    <w:unhideWhenUsed/>
    <w:rsid w:val="00076E1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E15"/>
    <w:rPr>
      <w:rFonts w:ascii="Segoe UI" w:eastAsia="Times New Roman" w:hAnsi="Segoe UI" w:cs="Segoe UI"/>
      <w:sz w:val="18"/>
      <w:szCs w:val="18"/>
      <w:lang w:eastAsia="en-GB"/>
    </w:rPr>
  </w:style>
  <w:style w:type="paragraph" w:styleId="BodyText">
    <w:name w:val="Body Text"/>
    <w:basedOn w:val="Normal"/>
    <w:link w:val="BodyTextChar"/>
    <w:rsid w:val="00076E15"/>
    <w:pPr>
      <w:spacing w:before="0" w:after="0"/>
    </w:pPr>
    <w:rPr>
      <w:rFonts w:ascii="Arial" w:hAnsi="Arial"/>
      <w:szCs w:val="20"/>
      <w:lang w:eastAsia="en-US"/>
    </w:rPr>
  </w:style>
  <w:style w:type="character" w:customStyle="1" w:styleId="BodyTextChar">
    <w:name w:val="Body Text Char"/>
    <w:basedOn w:val="DefaultParagraphFont"/>
    <w:link w:val="BodyText"/>
    <w:rsid w:val="00076E15"/>
    <w:rPr>
      <w:rFonts w:eastAsia="Times New Roman" w:cs="Times New Roman"/>
      <w:sz w:val="24"/>
      <w:szCs w:val="20"/>
    </w:rPr>
  </w:style>
  <w:style w:type="paragraph" w:styleId="Revision">
    <w:name w:val="Revision"/>
    <w:hidden/>
    <w:uiPriority w:val="99"/>
    <w:semiHidden/>
    <w:rsid w:val="008A4A66"/>
    <w:pPr>
      <w:spacing w:after="0" w:line="240" w:lineRule="auto"/>
    </w:pPr>
    <w:rPr>
      <w:rFonts w:ascii="Arial Narrow" w:eastAsia="Times New Roman" w:hAnsi="Arial Narrow"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34160">
      <w:bodyDiv w:val="1"/>
      <w:marLeft w:val="0"/>
      <w:marRight w:val="0"/>
      <w:marTop w:val="0"/>
      <w:marBottom w:val="0"/>
      <w:divBdr>
        <w:top w:val="none" w:sz="0" w:space="0" w:color="auto"/>
        <w:left w:val="none" w:sz="0" w:space="0" w:color="auto"/>
        <w:bottom w:val="none" w:sz="0" w:space="0" w:color="auto"/>
        <w:right w:val="none" w:sz="0" w:space="0" w:color="auto"/>
      </w:divBdr>
    </w:div>
    <w:div w:id="11157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FF5D7-DFFD-486F-A757-11F92F76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Simons</dc:creator>
  <cp:lastModifiedBy>Ciara Reintjes</cp:lastModifiedBy>
  <cp:revision>31</cp:revision>
  <dcterms:created xsi:type="dcterms:W3CDTF">2016-04-14T06:07:00Z</dcterms:created>
  <dcterms:modified xsi:type="dcterms:W3CDTF">2016-07-28T09:05:00Z</dcterms:modified>
</cp:coreProperties>
</file>