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46"/>
      </w:tblGrid>
      <w:tr w:rsidR="007814D3" w14:paraId="023825C2" w14:textId="77777777" w:rsidTr="007814D3">
        <w:tc>
          <w:tcPr>
            <w:tcW w:w="9962" w:type="dxa"/>
            <w:tcBorders>
              <w:top w:val="single" w:sz="4" w:space="0" w:color="auto"/>
              <w:left w:val="nil"/>
              <w:bottom w:val="single" w:sz="4" w:space="0" w:color="auto"/>
              <w:right w:val="nil"/>
            </w:tcBorders>
          </w:tcPr>
          <w:p w14:paraId="3026656C" w14:textId="77777777" w:rsidR="007814D3" w:rsidRPr="00266CB4" w:rsidRDefault="007814D3" w:rsidP="007814D3">
            <w:pPr>
              <w:spacing w:before="120" w:after="120" w:line="276" w:lineRule="auto"/>
              <w:jc w:val="center"/>
              <w:rPr>
                <w:rFonts w:ascii="Arial" w:hAnsi="Arial" w:cs="Arial"/>
                <w:b/>
                <w:bCs/>
                <w:color w:val="CC0000"/>
                <w:lang w:val="en-ZA"/>
              </w:rPr>
            </w:pPr>
            <w:r w:rsidRPr="00266CB4">
              <w:rPr>
                <w:rFonts w:ascii="Arial" w:hAnsi="Arial" w:cs="Arial"/>
                <w:b/>
                <w:bCs/>
                <w:color w:val="CC0000"/>
                <w:lang w:val="en-ZA"/>
              </w:rPr>
              <w:t>INDEPENDENT REGULATORY BOARD FOR AUDITORS</w:t>
            </w:r>
          </w:p>
          <w:p w14:paraId="390EA762" w14:textId="4C0DA924" w:rsidR="007814D3" w:rsidRDefault="007814D3" w:rsidP="007814D3">
            <w:pPr>
              <w:spacing w:line="276" w:lineRule="auto"/>
              <w:jc w:val="center"/>
              <w:rPr>
                <w:rFonts w:ascii="Arial" w:hAnsi="Arial" w:cs="Arial"/>
                <w:lang w:val="en-ZA"/>
              </w:rPr>
            </w:pPr>
            <w:r w:rsidRPr="00266CB4">
              <w:rPr>
                <w:rFonts w:ascii="Arial" w:hAnsi="Arial" w:cs="Arial"/>
                <w:b/>
                <w:bCs/>
                <w:color w:val="000000"/>
                <w:lang w:val="en-ZA"/>
              </w:rPr>
              <w:t>COMMITTEE FOR AUDITING STANDARDS</w:t>
            </w:r>
          </w:p>
        </w:tc>
      </w:tr>
    </w:tbl>
    <w:p w14:paraId="565BC03B" w14:textId="30698B3C" w:rsidR="00981C35" w:rsidRDefault="00981C35" w:rsidP="009B40ED">
      <w:pPr>
        <w:spacing w:line="276" w:lineRule="auto"/>
        <w:rPr>
          <w:rFonts w:ascii="Arial" w:hAnsi="Arial" w:cs="Arial"/>
          <w:lang w:val="en-ZA"/>
        </w:rPr>
      </w:pPr>
    </w:p>
    <w:tbl>
      <w:tblPr>
        <w:tblStyle w:val="TableGrid"/>
        <w:tblW w:w="0" w:type="auto"/>
        <w:tblLook w:val="04A0" w:firstRow="1" w:lastRow="0" w:firstColumn="1" w:lastColumn="0" w:noHBand="0" w:noVBand="1"/>
      </w:tblPr>
      <w:tblGrid>
        <w:gridCol w:w="9746"/>
      </w:tblGrid>
      <w:tr w:rsidR="007814D3" w:rsidRPr="00EF660D" w14:paraId="46A04CB5" w14:textId="77777777" w:rsidTr="007814D3">
        <w:tc>
          <w:tcPr>
            <w:tcW w:w="9962" w:type="dxa"/>
            <w:tcBorders>
              <w:top w:val="nil"/>
              <w:left w:val="nil"/>
              <w:bottom w:val="nil"/>
              <w:right w:val="nil"/>
            </w:tcBorders>
          </w:tcPr>
          <w:p w14:paraId="1011F6EA" w14:textId="4DDC8F77" w:rsidR="007814D3" w:rsidRPr="00EF660D" w:rsidRDefault="007814D3" w:rsidP="007814D3">
            <w:pPr>
              <w:spacing w:after="120" w:line="276" w:lineRule="auto"/>
              <w:jc w:val="center"/>
              <w:rPr>
                <w:rFonts w:ascii="Arial" w:hAnsi="Arial" w:cs="Arial"/>
                <w:b/>
                <w:sz w:val="22"/>
                <w:szCs w:val="22"/>
                <w:lang w:val="en-ZA"/>
              </w:rPr>
            </w:pPr>
            <w:r w:rsidRPr="00EF660D">
              <w:rPr>
                <w:rFonts w:ascii="Arial" w:hAnsi="Arial" w:cs="Arial"/>
                <w:b/>
                <w:sz w:val="22"/>
                <w:szCs w:val="22"/>
                <w:lang w:val="en-ZA"/>
              </w:rPr>
              <w:t>South African Auditing Practice Statement (SAAPS) 2 (Revised 2018</w:t>
            </w:r>
            <w:r w:rsidRPr="00EF660D">
              <w:rPr>
                <w:rFonts w:ascii="Arial" w:hAnsi="Arial" w:cs="Arial"/>
                <w:b/>
                <w:sz w:val="22"/>
                <w:szCs w:val="22"/>
                <w:lang w:val="en-ZA"/>
              </w:rPr>
              <w:t>)</w:t>
            </w:r>
          </w:p>
          <w:p w14:paraId="1C3A1B71" w14:textId="0783D8E8" w:rsidR="007814D3" w:rsidRPr="00EF660D" w:rsidRDefault="007814D3" w:rsidP="007814D3">
            <w:pPr>
              <w:spacing w:after="120" w:line="276" w:lineRule="auto"/>
              <w:jc w:val="center"/>
              <w:rPr>
                <w:rFonts w:ascii="Arial" w:hAnsi="Arial" w:cs="Arial"/>
                <w:b/>
                <w:bCs/>
                <w:color w:val="000000"/>
                <w:sz w:val="22"/>
                <w:szCs w:val="22"/>
                <w:lang w:val="en-ZA"/>
              </w:rPr>
            </w:pPr>
            <w:r w:rsidRPr="00EF660D">
              <w:rPr>
                <w:rFonts w:ascii="Arial" w:hAnsi="Arial" w:cs="Arial"/>
                <w:b/>
                <w:i/>
                <w:sz w:val="22"/>
                <w:szCs w:val="22"/>
                <w:lang w:val="en-ZA"/>
              </w:rPr>
              <w:t>Financial Repor</w:t>
            </w:r>
            <w:r w:rsidRPr="00EF660D">
              <w:rPr>
                <w:rFonts w:ascii="Arial" w:hAnsi="Arial" w:cs="Arial"/>
                <w:b/>
                <w:i/>
                <w:sz w:val="22"/>
                <w:szCs w:val="22"/>
                <w:lang w:val="en-ZA"/>
              </w:rPr>
              <w:t>ting Frameworks and the Auditor'</w:t>
            </w:r>
            <w:r w:rsidRPr="00EF660D">
              <w:rPr>
                <w:rFonts w:ascii="Arial" w:hAnsi="Arial" w:cs="Arial"/>
                <w:b/>
                <w:i/>
                <w:sz w:val="22"/>
                <w:szCs w:val="22"/>
                <w:lang w:val="en-ZA"/>
              </w:rPr>
              <w:t>s Report</w:t>
            </w:r>
          </w:p>
          <w:p w14:paraId="7C3B8CDF" w14:textId="77777777" w:rsidR="007814D3" w:rsidRPr="00EF660D" w:rsidRDefault="007814D3" w:rsidP="007814D3">
            <w:pPr>
              <w:spacing w:before="120" w:after="120" w:line="276" w:lineRule="auto"/>
              <w:jc w:val="center"/>
              <w:rPr>
                <w:rFonts w:ascii="Arial" w:hAnsi="Arial" w:cs="Arial"/>
                <w:sz w:val="22"/>
                <w:szCs w:val="22"/>
                <w:lang w:val="en-ZA"/>
              </w:rPr>
            </w:pPr>
            <w:r w:rsidRPr="00EF660D">
              <w:rPr>
                <w:rFonts w:ascii="Arial" w:hAnsi="Arial" w:cs="Arial"/>
                <w:sz w:val="22"/>
                <w:szCs w:val="22"/>
                <w:lang w:val="en-ZA"/>
              </w:rPr>
              <w:t>Johannesburg / 9 March 2018</w:t>
            </w:r>
          </w:p>
          <w:p w14:paraId="13984A84" w14:textId="77777777" w:rsidR="007814D3" w:rsidRPr="00EF660D" w:rsidRDefault="007814D3" w:rsidP="007814D3">
            <w:pPr>
              <w:spacing w:before="120" w:after="120" w:line="276" w:lineRule="auto"/>
              <w:jc w:val="center"/>
              <w:rPr>
                <w:rFonts w:ascii="Arial" w:hAnsi="Arial" w:cs="Arial"/>
                <w:sz w:val="22"/>
                <w:szCs w:val="22"/>
                <w:lang w:val="en-ZA"/>
              </w:rPr>
            </w:pPr>
          </w:p>
          <w:p w14:paraId="546F5509" w14:textId="6179AD91" w:rsidR="007814D3" w:rsidRPr="00EF660D" w:rsidRDefault="007814D3" w:rsidP="007814D3">
            <w:pPr>
              <w:pStyle w:val="NormalWeb"/>
              <w:spacing w:before="12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 xml:space="preserve">The Independent Regulatory Board for Auditors' (IRBA) Committee for Auditing Standards (CFAS) approved the release of </w:t>
            </w:r>
            <w:r w:rsidRPr="00EF660D">
              <w:rPr>
                <w:rStyle w:val="Emphasis"/>
                <w:rFonts w:ascii="Arial" w:hAnsi="Arial" w:cs="Arial"/>
                <w:sz w:val="22"/>
                <w:szCs w:val="22"/>
                <w:lang w:val="en-ZA"/>
              </w:rPr>
              <w:t xml:space="preserve">SAAPS 2 (Revised 2018), </w:t>
            </w:r>
            <w:r w:rsidRPr="00EF660D">
              <w:rPr>
                <w:rFonts w:ascii="Arial" w:hAnsi="Arial" w:cs="Arial"/>
                <w:i/>
                <w:sz w:val="22"/>
                <w:szCs w:val="22"/>
                <w:lang w:val="en-ZA"/>
              </w:rPr>
              <w:t>Financial Reporting Frameworks and the Auditor</w:t>
            </w:r>
            <w:r w:rsidR="004372D5" w:rsidRPr="00EF660D">
              <w:rPr>
                <w:rFonts w:ascii="Arial" w:hAnsi="Arial" w:cs="Arial"/>
                <w:i/>
                <w:sz w:val="22"/>
                <w:szCs w:val="22"/>
                <w:lang w:val="en-ZA"/>
              </w:rPr>
              <w:t>'</w:t>
            </w:r>
            <w:r w:rsidRPr="00EF660D">
              <w:rPr>
                <w:rFonts w:ascii="Arial" w:hAnsi="Arial" w:cs="Arial"/>
                <w:i/>
                <w:sz w:val="22"/>
                <w:szCs w:val="22"/>
                <w:lang w:val="en-ZA"/>
              </w:rPr>
              <w:t>s Report</w:t>
            </w:r>
            <w:r w:rsidRPr="00EF660D">
              <w:rPr>
                <w:rFonts w:ascii="Arial" w:hAnsi="Arial" w:cs="Arial"/>
                <w:sz w:val="22"/>
                <w:szCs w:val="22"/>
                <w:lang w:val="en-ZA"/>
              </w:rPr>
              <w:t xml:space="preserve"> </w:t>
            </w:r>
            <w:r w:rsidRPr="00EF660D">
              <w:rPr>
                <w:rStyle w:val="Emphasis"/>
                <w:rFonts w:ascii="Arial" w:hAnsi="Arial" w:cs="Arial"/>
                <w:i w:val="0"/>
                <w:sz w:val="22"/>
                <w:szCs w:val="22"/>
                <w:lang w:val="en-ZA"/>
              </w:rPr>
              <w:t>(this SAAPS 2 (Revised 2018)),</w:t>
            </w:r>
            <w:r w:rsidRPr="00EF660D">
              <w:rPr>
                <w:rFonts w:ascii="Arial" w:hAnsi="Arial" w:cs="Arial"/>
                <w:sz w:val="22"/>
                <w:szCs w:val="22"/>
                <w:lang w:val="en-ZA"/>
              </w:rPr>
              <w:t xml:space="preserve"> in March 2018 for issue.</w:t>
            </w:r>
          </w:p>
          <w:p w14:paraId="4E1E251E" w14:textId="77777777" w:rsidR="007814D3" w:rsidRPr="00EF660D" w:rsidRDefault="007814D3" w:rsidP="007814D3">
            <w:pPr>
              <w:pStyle w:val="NormalWeb"/>
              <w:spacing w:before="12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This SAAPS 2 (Revised 2018) provides guidance to registered auditors on the application of International Standards on Auditing (ISAs) in determining the acceptability of the financial reporting framework applied in the preparation of a set of financial statements.</w:t>
            </w:r>
          </w:p>
          <w:p w14:paraId="7582CA7C" w14:textId="77777777" w:rsidR="007814D3" w:rsidRPr="00EF660D" w:rsidRDefault="007814D3" w:rsidP="007814D3">
            <w:pPr>
              <w:spacing w:before="120" w:after="120" w:line="276" w:lineRule="auto"/>
              <w:jc w:val="both"/>
              <w:rPr>
                <w:rFonts w:ascii="Arial" w:hAnsi="Arial" w:cs="Arial"/>
                <w:b/>
                <w:sz w:val="22"/>
                <w:szCs w:val="22"/>
                <w:lang w:val="en-ZA"/>
              </w:rPr>
            </w:pPr>
            <w:r w:rsidRPr="00EF660D">
              <w:rPr>
                <w:rFonts w:ascii="Arial" w:hAnsi="Arial" w:cs="Arial"/>
                <w:b/>
                <w:sz w:val="22"/>
                <w:szCs w:val="22"/>
                <w:lang w:val="en-ZA"/>
              </w:rPr>
              <w:t>Revisions made to this SAAPS 2 (Revised 2018)</w:t>
            </w:r>
          </w:p>
          <w:p w14:paraId="359EE80A" w14:textId="77777777" w:rsidR="007814D3" w:rsidRPr="00EF660D" w:rsidRDefault="007814D3" w:rsidP="007814D3">
            <w:pPr>
              <w:spacing w:before="120" w:after="120" w:line="276" w:lineRule="auto"/>
              <w:jc w:val="both"/>
              <w:rPr>
                <w:rFonts w:ascii="Arial" w:hAnsi="Arial" w:cs="Arial"/>
                <w:sz w:val="22"/>
                <w:szCs w:val="22"/>
                <w:lang w:val="en-ZA"/>
              </w:rPr>
            </w:pPr>
            <w:r w:rsidRPr="00EF660D">
              <w:rPr>
                <w:rFonts w:ascii="Arial" w:hAnsi="Arial" w:cs="Arial"/>
                <w:sz w:val="22"/>
                <w:szCs w:val="22"/>
                <w:lang w:val="en-ZA"/>
              </w:rPr>
              <w:t>This SAAPS 2 (Revised 2018) includes:</w:t>
            </w:r>
          </w:p>
          <w:p w14:paraId="2C389E2D" w14:textId="2AF89CB4" w:rsidR="007814D3" w:rsidRPr="00EF660D" w:rsidRDefault="007814D3" w:rsidP="007814D3">
            <w:pPr>
              <w:pStyle w:val="ListParagraph"/>
              <w:numPr>
                <w:ilvl w:val="0"/>
                <w:numId w:val="5"/>
              </w:numPr>
              <w:spacing w:before="120" w:line="276" w:lineRule="auto"/>
              <w:ind w:left="360"/>
              <w:rPr>
                <w:rFonts w:cs="Arial"/>
                <w:szCs w:val="22"/>
              </w:rPr>
            </w:pPr>
            <w:r w:rsidRPr="00EF660D">
              <w:rPr>
                <w:rFonts w:cs="Arial"/>
                <w:szCs w:val="22"/>
              </w:rPr>
              <w:t xml:space="preserve">Conforming amendments arising from the withdrawal of the application of Statements of GAAP called the </w:t>
            </w:r>
            <w:r w:rsidRPr="00EF660D">
              <w:rPr>
                <w:rFonts w:cs="Arial"/>
                <w:szCs w:val="22"/>
              </w:rPr>
              <w:t>‘</w:t>
            </w:r>
            <w:r w:rsidRPr="00EF660D">
              <w:rPr>
                <w:rFonts w:cs="Arial"/>
                <w:szCs w:val="22"/>
              </w:rPr>
              <w:t>GAAP Reporting Framework</w:t>
            </w:r>
            <w:r w:rsidR="00712408" w:rsidRPr="00EF660D">
              <w:rPr>
                <w:rFonts w:cs="Arial"/>
                <w:szCs w:val="22"/>
              </w:rPr>
              <w:t>'</w:t>
            </w:r>
            <w:r w:rsidRPr="00EF660D">
              <w:rPr>
                <w:rFonts w:cs="Arial"/>
                <w:szCs w:val="22"/>
              </w:rPr>
              <w:t xml:space="preserve"> from 1 April 2018.</w:t>
            </w:r>
          </w:p>
          <w:p w14:paraId="1318F653" w14:textId="4DD2D016" w:rsidR="007814D3" w:rsidRPr="00EF660D" w:rsidRDefault="007814D3" w:rsidP="007814D3">
            <w:pPr>
              <w:pStyle w:val="ListParagraph"/>
              <w:numPr>
                <w:ilvl w:val="0"/>
                <w:numId w:val="5"/>
              </w:numPr>
              <w:spacing w:before="120" w:line="276" w:lineRule="auto"/>
              <w:ind w:left="360"/>
              <w:rPr>
                <w:rFonts w:cs="Arial"/>
                <w:szCs w:val="22"/>
              </w:rPr>
            </w:pPr>
            <w:r w:rsidRPr="00EF660D">
              <w:rPr>
                <w:rFonts w:cs="Arial"/>
                <w:szCs w:val="22"/>
              </w:rPr>
              <w:t>Conforming amendments arising from the introduction of the Modified Cash Standard (MCS) by the Office of the Accountant-General (OAG) at Nat</w:t>
            </w:r>
            <w:r w:rsidRPr="00EF660D">
              <w:rPr>
                <w:rFonts w:cs="Arial"/>
                <w:szCs w:val="22"/>
              </w:rPr>
              <w:t>ional Treasury in January 2015.</w:t>
            </w:r>
          </w:p>
          <w:p w14:paraId="3FAE76B0" w14:textId="77777777" w:rsidR="007814D3" w:rsidRPr="00EF660D" w:rsidRDefault="007814D3" w:rsidP="007814D3">
            <w:pPr>
              <w:pStyle w:val="ListParagraph"/>
              <w:numPr>
                <w:ilvl w:val="0"/>
                <w:numId w:val="5"/>
              </w:numPr>
              <w:spacing w:before="120" w:line="276" w:lineRule="auto"/>
              <w:ind w:left="360"/>
              <w:rPr>
                <w:rFonts w:cs="Arial"/>
                <w:szCs w:val="22"/>
              </w:rPr>
            </w:pPr>
            <w:r w:rsidRPr="00EF660D">
              <w:rPr>
                <w:rFonts w:cs="Arial"/>
                <w:szCs w:val="22"/>
              </w:rPr>
              <w:t>Conforming amendments, where considered necessary, arising from the revision of the following ISAs:</w:t>
            </w:r>
          </w:p>
          <w:p w14:paraId="230C220B" w14:textId="77777777" w:rsidR="007814D3" w:rsidRPr="00EF660D" w:rsidRDefault="007814D3" w:rsidP="007814D3">
            <w:pPr>
              <w:pStyle w:val="ListParagraph"/>
              <w:numPr>
                <w:ilvl w:val="1"/>
                <w:numId w:val="5"/>
              </w:numPr>
              <w:spacing w:before="120" w:line="276" w:lineRule="auto"/>
              <w:ind w:left="720"/>
              <w:rPr>
                <w:rFonts w:cs="Arial"/>
                <w:szCs w:val="22"/>
              </w:rPr>
            </w:pPr>
            <w:r w:rsidRPr="00EF660D">
              <w:rPr>
                <w:rFonts w:cs="Arial"/>
                <w:szCs w:val="22"/>
              </w:rPr>
              <w:t xml:space="preserve">ISA 700 (Revised), </w:t>
            </w:r>
            <w:r w:rsidRPr="00EF660D">
              <w:rPr>
                <w:rFonts w:cs="Arial"/>
                <w:i/>
                <w:szCs w:val="22"/>
              </w:rPr>
              <w:t>Forming an Opinion and Reporting on Financial Statements</w:t>
            </w:r>
            <w:r w:rsidRPr="00EF660D">
              <w:rPr>
                <w:rFonts w:cs="Arial"/>
                <w:szCs w:val="22"/>
              </w:rPr>
              <w:t>;</w:t>
            </w:r>
          </w:p>
          <w:p w14:paraId="2382CD40" w14:textId="1F75A569" w:rsidR="007814D3" w:rsidRPr="00EF660D" w:rsidRDefault="007814D3" w:rsidP="007814D3">
            <w:pPr>
              <w:pStyle w:val="ListParagraph"/>
              <w:numPr>
                <w:ilvl w:val="1"/>
                <w:numId w:val="5"/>
              </w:numPr>
              <w:spacing w:before="120" w:line="276" w:lineRule="auto"/>
              <w:ind w:left="720"/>
              <w:rPr>
                <w:rFonts w:cs="Arial"/>
                <w:szCs w:val="22"/>
              </w:rPr>
            </w:pPr>
            <w:r w:rsidRPr="00EF660D">
              <w:rPr>
                <w:rFonts w:cs="Arial"/>
                <w:szCs w:val="22"/>
              </w:rPr>
              <w:t xml:space="preserve">ISA 701, </w:t>
            </w:r>
            <w:r w:rsidRPr="00EF660D">
              <w:rPr>
                <w:rFonts w:cs="Arial"/>
                <w:i/>
                <w:szCs w:val="22"/>
              </w:rPr>
              <w:t>Communicating Key Audit Matters in the Independent Auditor</w:t>
            </w:r>
            <w:r w:rsidR="004372D5" w:rsidRPr="00EF660D">
              <w:rPr>
                <w:rFonts w:cs="Arial"/>
                <w:i/>
                <w:szCs w:val="22"/>
              </w:rPr>
              <w:t>'</w:t>
            </w:r>
            <w:r w:rsidRPr="00EF660D">
              <w:rPr>
                <w:rFonts w:cs="Arial"/>
                <w:i/>
                <w:szCs w:val="22"/>
              </w:rPr>
              <w:t>s Report</w:t>
            </w:r>
            <w:r w:rsidRPr="00EF660D">
              <w:rPr>
                <w:rFonts w:cs="Arial"/>
                <w:szCs w:val="22"/>
              </w:rPr>
              <w:t>;</w:t>
            </w:r>
          </w:p>
          <w:p w14:paraId="6C08CE23" w14:textId="108DD931" w:rsidR="007814D3" w:rsidRPr="00EF660D" w:rsidRDefault="007814D3" w:rsidP="007814D3">
            <w:pPr>
              <w:pStyle w:val="ListParagraph"/>
              <w:numPr>
                <w:ilvl w:val="1"/>
                <w:numId w:val="5"/>
              </w:numPr>
              <w:spacing w:before="120" w:line="276" w:lineRule="auto"/>
              <w:ind w:left="720"/>
              <w:rPr>
                <w:rFonts w:cs="Arial"/>
                <w:szCs w:val="22"/>
              </w:rPr>
            </w:pPr>
            <w:r w:rsidRPr="00EF660D">
              <w:rPr>
                <w:rFonts w:cs="Arial"/>
                <w:szCs w:val="22"/>
              </w:rPr>
              <w:t xml:space="preserve">ISA 705 (Revised), </w:t>
            </w:r>
            <w:r w:rsidRPr="00EF660D">
              <w:rPr>
                <w:rFonts w:cs="Arial"/>
                <w:i/>
                <w:szCs w:val="22"/>
              </w:rPr>
              <w:t>Modifications to the Opinion in the Independent Auditor</w:t>
            </w:r>
            <w:r w:rsidR="004372D5" w:rsidRPr="00EF660D">
              <w:rPr>
                <w:rFonts w:cs="Arial"/>
                <w:i/>
                <w:szCs w:val="22"/>
              </w:rPr>
              <w:t>'</w:t>
            </w:r>
            <w:r w:rsidRPr="00EF660D">
              <w:rPr>
                <w:rFonts w:cs="Arial"/>
                <w:i/>
                <w:szCs w:val="22"/>
              </w:rPr>
              <w:t>s Report</w:t>
            </w:r>
            <w:r w:rsidRPr="00EF660D">
              <w:rPr>
                <w:rFonts w:cs="Arial"/>
                <w:szCs w:val="22"/>
              </w:rPr>
              <w:t>;</w:t>
            </w:r>
          </w:p>
          <w:p w14:paraId="28D91645" w14:textId="0C8D88BA" w:rsidR="007814D3" w:rsidRPr="00EF660D" w:rsidRDefault="007814D3" w:rsidP="007814D3">
            <w:pPr>
              <w:pStyle w:val="ListParagraph"/>
              <w:numPr>
                <w:ilvl w:val="1"/>
                <w:numId w:val="5"/>
              </w:numPr>
              <w:spacing w:before="120" w:line="276" w:lineRule="auto"/>
              <w:ind w:left="720"/>
              <w:rPr>
                <w:rFonts w:cs="Arial"/>
                <w:szCs w:val="22"/>
              </w:rPr>
            </w:pPr>
            <w:r w:rsidRPr="00EF660D">
              <w:rPr>
                <w:rFonts w:cs="Arial"/>
                <w:szCs w:val="22"/>
              </w:rPr>
              <w:t xml:space="preserve">ISA 706 (Revised), </w:t>
            </w:r>
            <w:r w:rsidRPr="00EF660D">
              <w:rPr>
                <w:rFonts w:cs="Arial"/>
                <w:i/>
                <w:szCs w:val="22"/>
              </w:rPr>
              <w:t>Emphasis of Matter Paragraphs and Other Matter Paragraphs in the Independent Auditor</w:t>
            </w:r>
            <w:r w:rsidR="004372D5" w:rsidRPr="00EF660D">
              <w:rPr>
                <w:rFonts w:cs="Arial"/>
                <w:i/>
                <w:szCs w:val="22"/>
              </w:rPr>
              <w:t>'</w:t>
            </w:r>
            <w:r w:rsidRPr="00EF660D">
              <w:rPr>
                <w:rFonts w:cs="Arial"/>
                <w:i/>
                <w:szCs w:val="22"/>
              </w:rPr>
              <w:t>s Report</w:t>
            </w:r>
            <w:r w:rsidR="004372D5" w:rsidRPr="00EF660D">
              <w:rPr>
                <w:rFonts w:cs="Arial"/>
                <w:szCs w:val="22"/>
              </w:rPr>
              <w:t>; and</w:t>
            </w:r>
          </w:p>
          <w:p w14:paraId="2B380ACB" w14:textId="503400E0" w:rsidR="007814D3" w:rsidRPr="00EF660D" w:rsidRDefault="007814D3" w:rsidP="007814D3">
            <w:pPr>
              <w:pStyle w:val="ListParagraph"/>
              <w:numPr>
                <w:ilvl w:val="1"/>
                <w:numId w:val="5"/>
              </w:numPr>
              <w:spacing w:before="120" w:line="276" w:lineRule="auto"/>
              <w:ind w:left="720"/>
              <w:rPr>
                <w:rFonts w:cs="Arial"/>
                <w:szCs w:val="22"/>
              </w:rPr>
            </w:pPr>
            <w:r w:rsidRPr="00EF660D">
              <w:rPr>
                <w:rFonts w:cs="Arial"/>
                <w:szCs w:val="22"/>
              </w:rPr>
              <w:t xml:space="preserve">ISA 800 (Revised), </w:t>
            </w:r>
            <w:r w:rsidRPr="00EF660D">
              <w:rPr>
                <w:rFonts w:cs="Arial"/>
                <w:i/>
                <w:szCs w:val="22"/>
              </w:rPr>
              <w:t>Special Considerations</w:t>
            </w:r>
            <w:r w:rsidR="004372D5" w:rsidRPr="00EF660D">
              <w:rPr>
                <w:rFonts w:cs="Arial"/>
                <w:i/>
                <w:szCs w:val="22"/>
              </w:rPr>
              <w:t xml:space="preserve"> - </w:t>
            </w:r>
            <w:r w:rsidRPr="00EF660D">
              <w:rPr>
                <w:rFonts w:cs="Arial"/>
                <w:i/>
                <w:szCs w:val="22"/>
              </w:rPr>
              <w:t>Audits of Financial Statements Prepared in Accordance with Special Purpose Frameworks</w:t>
            </w:r>
            <w:r w:rsidR="004372D5" w:rsidRPr="00EF660D">
              <w:rPr>
                <w:rFonts w:cs="Arial"/>
                <w:szCs w:val="22"/>
              </w:rPr>
              <w:t>.</w:t>
            </w:r>
          </w:p>
          <w:p w14:paraId="2002CA4A" w14:textId="77777777" w:rsidR="007814D3" w:rsidRPr="00EF660D" w:rsidRDefault="007814D3" w:rsidP="007814D3">
            <w:pPr>
              <w:pStyle w:val="NormalWeb"/>
              <w:spacing w:before="12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The abovementioned ISAs are effective for audits of financial statements for periods ending on or after 15 December 2016.</w:t>
            </w:r>
          </w:p>
          <w:p w14:paraId="261749BB" w14:textId="15142C55" w:rsidR="007814D3" w:rsidRPr="00EF660D" w:rsidRDefault="007814D3" w:rsidP="007814D3">
            <w:pPr>
              <w:pStyle w:val="ListParagraph"/>
              <w:numPr>
                <w:ilvl w:val="0"/>
                <w:numId w:val="5"/>
              </w:numPr>
              <w:spacing w:before="120" w:line="276" w:lineRule="auto"/>
              <w:ind w:left="360"/>
              <w:rPr>
                <w:rFonts w:cs="Arial"/>
                <w:szCs w:val="22"/>
              </w:rPr>
            </w:pPr>
            <w:r w:rsidRPr="00EF660D">
              <w:rPr>
                <w:rFonts w:cs="Arial"/>
                <w:szCs w:val="22"/>
              </w:rPr>
              <w:t xml:space="preserve">An update of the reference from the </w:t>
            </w:r>
            <w:r w:rsidRPr="00EF660D">
              <w:rPr>
                <w:rFonts w:cs="Arial"/>
                <w:i/>
                <w:szCs w:val="22"/>
              </w:rPr>
              <w:t xml:space="preserve">International Framework for Assurance Engagements </w:t>
            </w:r>
            <w:r w:rsidRPr="00EF660D">
              <w:rPr>
                <w:rFonts w:cs="Arial"/>
                <w:szCs w:val="22"/>
              </w:rPr>
              <w:t>(the Framework) to ISA 210</w:t>
            </w:r>
            <w:r w:rsidRPr="00EF660D">
              <w:rPr>
                <w:rFonts w:cs="Arial"/>
                <w:i/>
                <w:szCs w:val="22"/>
              </w:rPr>
              <w:t>, Agreeing the Terms of Audit Engagements</w:t>
            </w:r>
            <w:r w:rsidRPr="00EF660D">
              <w:rPr>
                <w:rFonts w:cs="Arial"/>
                <w:szCs w:val="22"/>
              </w:rPr>
              <w:t>, regarding characteristics of suitable criteria for a financial reporting framework. This is because the Framework has been revised to include assurance engagements other than audits or reviews of his</w:t>
            </w:r>
            <w:r w:rsidR="004372D5" w:rsidRPr="00EF660D">
              <w:rPr>
                <w:rFonts w:cs="Arial"/>
                <w:szCs w:val="22"/>
              </w:rPr>
              <w:t>torical financial information.</w:t>
            </w:r>
          </w:p>
          <w:p w14:paraId="66746465" w14:textId="77777777" w:rsidR="007814D3" w:rsidRPr="00EF660D" w:rsidRDefault="007814D3" w:rsidP="007814D3">
            <w:pPr>
              <w:pStyle w:val="NormalWeb"/>
              <w:spacing w:before="120" w:beforeAutospacing="0" w:after="120" w:afterAutospacing="0" w:line="276" w:lineRule="auto"/>
              <w:ind w:left="426" w:hanging="426"/>
              <w:jc w:val="both"/>
              <w:rPr>
                <w:rFonts w:ascii="Arial" w:hAnsi="Arial" w:cs="Arial"/>
                <w:b/>
                <w:sz w:val="22"/>
                <w:szCs w:val="22"/>
                <w:lang w:val="en-ZA"/>
              </w:rPr>
            </w:pPr>
            <w:r w:rsidRPr="00EF660D">
              <w:rPr>
                <w:rFonts w:ascii="Arial" w:hAnsi="Arial" w:cs="Arial"/>
                <w:b/>
                <w:sz w:val="22"/>
                <w:szCs w:val="22"/>
                <w:lang w:val="en-ZA"/>
              </w:rPr>
              <w:t>Effective date</w:t>
            </w:r>
          </w:p>
          <w:p w14:paraId="1A3C7240" w14:textId="77777777" w:rsidR="007814D3" w:rsidRPr="00EF660D" w:rsidRDefault="007814D3" w:rsidP="007814D3">
            <w:pPr>
              <w:pStyle w:val="NormalWeb"/>
              <w:spacing w:before="120" w:beforeAutospacing="0" w:after="120" w:afterAutospacing="0" w:line="276" w:lineRule="auto"/>
              <w:jc w:val="both"/>
              <w:rPr>
                <w:rFonts w:ascii="Arial" w:hAnsi="Arial" w:cs="Arial"/>
                <w:b/>
                <w:sz w:val="22"/>
                <w:szCs w:val="22"/>
                <w:lang w:val="en-ZA"/>
              </w:rPr>
            </w:pPr>
            <w:r w:rsidRPr="00EF660D">
              <w:rPr>
                <w:rFonts w:ascii="Arial" w:hAnsi="Arial" w:cs="Arial"/>
                <w:sz w:val="22"/>
                <w:szCs w:val="22"/>
                <w:lang w:val="en-ZA"/>
              </w:rPr>
              <w:t xml:space="preserve">This SAAPS (Revised 2018) is effective for audits of financial statements for periods ending on or after 1 April 2018. As with the early adoption of the new and revised ISAs permitted by the IAASB, </w:t>
            </w:r>
            <w:r w:rsidRPr="00EF660D">
              <w:rPr>
                <w:rFonts w:ascii="Arial" w:hAnsi="Arial" w:cs="Arial"/>
                <w:sz w:val="22"/>
                <w:szCs w:val="22"/>
                <w:lang w:val="en-ZA"/>
              </w:rPr>
              <w:lastRenderedPageBreak/>
              <w:t>the early adoption of this SAAPS 2 (Revised 2018) is permitted where the auditor has early adopted the underlying suite of new and revised IAASB standards.</w:t>
            </w:r>
          </w:p>
          <w:p w14:paraId="1BF7C8E2" w14:textId="77777777" w:rsidR="007814D3" w:rsidRPr="00EF660D" w:rsidRDefault="007814D3" w:rsidP="007814D3">
            <w:pPr>
              <w:pStyle w:val="NormalWeb"/>
              <w:spacing w:before="120" w:beforeAutospacing="0" w:after="120" w:afterAutospacing="0" w:line="276" w:lineRule="auto"/>
              <w:jc w:val="both"/>
              <w:rPr>
                <w:rFonts w:ascii="Arial" w:hAnsi="Arial" w:cs="Arial"/>
                <w:b/>
                <w:sz w:val="22"/>
                <w:szCs w:val="22"/>
                <w:lang w:val="en-ZA"/>
              </w:rPr>
            </w:pPr>
            <w:r w:rsidRPr="00EF660D">
              <w:rPr>
                <w:rFonts w:ascii="Arial" w:hAnsi="Arial" w:cs="Arial"/>
                <w:b/>
                <w:sz w:val="22"/>
                <w:szCs w:val="22"/>
                <w:lang w:val="en-ZA"/>
              </w:rPr>
              <w:t>Summary of responses to the significant issues from the exposure process</w:t>
            </w:r>
          </w:p>
          <w:p w14:paraId="0BE25275" w14:textId="023EAEB9" w:rsidR="007814D3" w:rsidRPr="00EF660D" w:rsidRDefault="007814D3" w:rsidP="007814D3">
            <w:pPr>
              <w:pStyle w:val="NormalWeb"/>
              <w:spacing w:before="12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The significant issues arising out of the exposure process were whether National Treasury, through the OAG, is an organisation authorised or recognised to promulgate standards to be used by certain types of entities; and whether the MCS is a general purpose, fair presentation framework.</w:t>
            </w:r>
          </w:p>
          <w:p w14:paraId="04820981" w14:textId="77777777" w:rsidR="007814D3" w:rsidRPr="00EF660D" w:rsidRDefault="007814D3" w:rsidP="007814D3">
            <w:pPr>
              <w:pStyle w:val="NormalWeb"/>
              <w:spacing w:before="120" w:beforeAutospacing="0" w:after="0" w:afterAutospacing="0" w:line="276" w:lineRule="auto"/>
              <w:jc w:val="both"/>
              <w:rPr>
                <w:rFonts w:ascii="Arial" w:hAnsi="Arial" w:cs="Arial"/>
                <w:b/>
                <w:sz w:val="22"/>
                <w:szCs w:val="22"/>
                <w:lang w:val="en-ZA"/>
              </w:rPr>
            </w:pPr>
            <w:r w:rsidRPr="00EF660D">
              <w:rPr>
                <w:rFonts w:ascii="Arial" w:hAnsi="Arial" w:cs="Arial"/>
                <w:b/>
                <w:sz w:val="22"/>
                <w:szCs w:val="22"/>
                <w:lang w:val="en-ZA"/>
              </w:rPr>
              <w:t>General purpose framework:</w:t>
            </w:r>
          </w:p>
          <w:p w14:paraId="0BB359C8" w14:textId="5306D6B5" w:rsidR="007814D3" w:rsidRPr="00EF660D" w:rsidRDefault="007814D3" w:rsidP="007814D3">
            <w:pPr>
              <w:pStyle w:val="NormalWeb"/>
              <w:spacing w:before="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 xml:space="preserve">ISA 210, paragraph A8 states that: </w:t>
            </w:r>
            <w:r w:rsidR="004372D5" w:rsidRPr="00EF660D">
              <w:rPr>
                <w:rFonts w:ascii="Arial" w:hAnsi="Arial" w:cs="Arial"/>
                <w:sz w:val="22"/>
                <w:szCs w:val="22"/>
                <w:lang w:val="en-ZA"/>
              </w:rPr>
              <w:t>'</w:t>
            </w:r>
            <w:r w:rsidRPr="00EF660D">
              <w:rPr>
                <w:rFonts w:ascii="Arial" w:hAnsi="Arial" w:cs="Arial"/>
                <w:sz w:val="22"/>
                <w:szCs w:val="22"/>
                <w:lang w:val="en-ZA"/>
              </w:rPr>
              <w:t>At present, there is no objective and authoritative basis that has been recognised globally for judging the acceptability of general purpose frameworks. In the absence of such a basis, financial reporting standards established by organisations that are authorised or recognised to promulgate standards to be used by certain types of entities are presumed to be acceptable for general purpose financial statements prepared by such entities, provided the organisations follow an established and transparent process involving deliberation and consideration of the views of a wide range of stakeholders.</w:t>
            </w:r>
            <w:r w:rsidR="004372D5" w:rsidRPr="00EF660D">
              <w:rPr>
                <w:rFonts w:ascii="Arial" w:hAnsi="Arial" w:cs="Arial"/>
                <w:sz w:val="22"/>
                <w:szCs w:val="22"/>
                <w:lang w:val="en-ZA"/>
              </w:rPr>
              <w:t>'</w:t>
            </w:r>
            <w:r w:rsidRPr="00EF660D">
              <w:rPr>
                <w:rFonts w:ascii="Arial" w:hAnsi="Arial" w:cs="Arial"/>
                <w:sz w:val="22"/>
                <w:szCs w:val="22"/>
                <w:lang w:val="en-ZA"/>
              </w:rPr>
              <w:t xml:space="preserve"> The application guidance of ISA 210 refers to the presumption that reporting standards established by authorised organisations to be used by certain types of entities are accepted as </w:t>
            </w:r>
            <w:proofErr w:type="gramStart"/>
            <w:r w:rsidRPr="00EF660D">
              <w:rPr>
                <w:rFonts w:ascii="Arial" w:hAnsi="Arial" w:cs="Arial"/>
                <w:sz w:val="22"/>
                <w:szCs w:val="22"/>
                <w:lang w:val="en-ZA"/>
              </w:rPr>
              <w:t>general purpose</w:t>
            </w:r>
            <w:proofErr w:type="gramEnd"/>
            <w:r w:rsidRPr="00EF660D">
              <w:rPr>
                <w:rFonts w:ascii="Arial" w:hAnsi="Arial" w:cs="Arial"/>
                <w:sz w:val="22"/>
                <w:szCs w:val="22"/>
                <w:lang w:val="en-ZA"/>
              </w:rPr>
              <w:t xml:space="preserve"> frameworks. The presumption applies if the organisation follows an established and transparent process involving deliberation and the involvement of views from a wide range of stakeholders</w:t>
            </w:r>
            <w:r w:rsidR="004372D5" w:rsidRPr="00EF660D">
              <w:rPr>
                <w:rFonts w:ascii="Arial" w:hAnsi="Arial" w:cs="Arial"/>
                <w:sz w:val="22"/>
                <w:szCs w:val="22"/>
                <w:lang w:val="en-ZA"/>
              </w:rPr>
              <w:t>.</w:t>
            </w:r>
          </w:p>
          <w:p w14:paraId="7A87FECE" w14:textId="77777777" w:rsidR="007814D3" w:rsidRPr="00EF660D" w:rsidRDefault="007814D3" w:rsidP="007814D3">
            <w:pPr>
              <w:pStyle w:val="NormalWeb"/>
              <w:spacing w:before="12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 xml:space="preserve">The OAG, based on the process followed and the due process described in paragraphs 11-16 of the MCS, considered best practices, both locally and internationally, the capacity of departments to comply with the reporting requirements, and the systems used by departments in preparing and collating the information required to comply with the reporting requirements. The OAG also made use of the pronouncements issued by the Accounting Standards Board (ASB), the International </w:t>
            </w:r>
            <w:proofErr w:type="gramStart"/>
            <w:r w:rsidRPr="00EF660D">
              <w:rPr>
                <w:rFonts w:ascii="Arial" w:hAnsi="Arial" w:cs="Arial"/>
                <w:sz w:val="22"/>
                <w:szCs w:val="22"/>
                <w:lang w:val="en-ZA"/>
              </w:rPr>
              <w:t>Public Sector</w:t>
            </w:r>
            <w:proofErr w:type="gramEnd"/>
            <w:r w:rsidRPr="00EF660D">
              <w:rPr>
                <w:rFonts w:ascii="Arial" w:hAnsi="Arial" w:cs="Arial"/>
                <w:sz w:val="22"/>
                <w:szCs w:val="22"/>
                <w:lang w:val="en-ZA"/>
              </w:rPr>
              <w:t xml:space="preserve"> Accounting Standards Board (IPSASB) and other organisations that develop financial reporting, accounting and auditing requirements.</w:t>
            </w:r>
          </w:p>
          <w:p w14:paraId="4E472B08" w14:textId="034F2E1F" w:rsidR="007814D3" w:rsidRPr="00EF660D" w:rsidRDefault="007814D3" w:rsidP="007814D3">
            <w:pPr>
              <w:pStyle w:val="NormalWeb"/>
              <w:spacing w:before="12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 xml:space="preserve">The due process followed by the OAG at National Treasury while setting the MCS is </w:t>
            </w:r>
            <w:proofErr w:type="gramStart"/>
            <w:r w:rsidRPr="00EF660D">
              <w:rPr>
                <w:rFonts w:ascii="Arial" w:hAnsi="Arial" w:cs="Arial"/>
                <w:sz w:val="22"/>
                <w:szCs w:val="22"/>
                <w:lang w:val="en-ZA"/>
              </w:rPr>
              <w:t>similar to</w:t>
            </w:r>
            <w:proofErr w:type="gramEnd"/>
            <w:r w:rsidRPr="00EF660D">
              <w:rPr>
                <w:rFonts w:ascii="Arial" w:hAnsi="Arial" w:cs="Arial"/>
                <w:sz w:val="22"/>
                <w:szCs w:val="22"/>
                <w:lang w:val="en-ZA"/>
              </w:rPr>
              <w:t xml:space="preserve"> that followed by the ASB when setting the standards of Generally Recognised Accounting Practice (GRAP). Both the statements of GRAP, as set by the ASB, and the MCS were developed through a due process that involved accountants, auditors, preparers, regulators and users of financial information in the public sector. The process also involved the request for and consideration of comments on the proposed draft MCS published on the OAG</w:t>
            </w:r>
            <w:r w:rsidR="004372D5" w:rsidRPr="00EF660D">
              <w:rPr>
                <w:rFonts w:ascii="Arial" w:hAnsi="Arial" w:cs="Arial"/>
                <w:sz w:val="22"/>
                <w:szCs w:val="22"/>
                <w:lang w:val="en-ZA"/>
              </w:rPr>
              <w:t>'</w:t>
            </w:r>
            <w:r w:rsidRPr="00EF660D">
              <w:rPr>
                <w:rFonts w:ascii="Arial" w:hAnsi="Arial" w:cs="Arial"/>
                <w:sz w:val="22"/>
                <w:szCs w:val="22"/>
                <w:lang w:val="en-ZA"/>
              </w:rPr>
              <w:t>s website for a specific period to allow interested parties to consider and comment on the proposed draft MCS. The OAG considered all the comments received and made modifications where appropriate. The process followed, as described above, indicates that common needs of a wide range of users were considered.</w:t>
            </w:r>
          </w:p>
          <w:p w14:paraId="1B4AB809" w14:textId="07A3F429" w:rsidR="007814D3" w:rsidRPr="00EF660D" w:rsidRDefault="007814D3" w:rsidP="007814D3">
            <w:pPr>
              <w:pStyle w:val="NormalWeb"/>
              <w:spacing w:before="12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 xml:space="preserve">Paragraph A5 of ISA 210 states that: </w:t>
            </w:r>
            <w:r w:rsidR="004372D5" w:rsidRPr="00EF660D">
              <w:rPr>
                <w:rFonts w:ascii="Arial" w:hAnsi="Arial" w:cs="Arial"/>
                <w:sz w:val="22"/>
                <w:szCs w:val="22"/>
                <w:lang w:val="en-ZA"/>
              </w:rPr>
              <w:t>'</w:t>
            </w:r>
            <w:r w:rsidRPr="00EF660D">
              <w:rPr>
                <w:rFonts w:ascii="Arial" w:hAnsi="Arial" w:cs="Arial"/>
                <w:sz w:val="22"/>
                <w:szCs w:val="22"/>
                <w:lang w:val="en-ZA"/>
              </w:rPr>
              <w:t xml:space="preserve">Many users of financial statements are not </w:t>
            </w:r>
            <w:proofErr w:type="gramStart"/>
            <w:r w:rsidRPr="00EF660D">
              <w:rPr>
                <w:rFonts w:ascii="Arial" w:hAnsi="Arial" w:cs="Arial"/>
                <w:sz w:val="22"/>
                <w:szCs w:val="22"/>
                <w:lang w:val="en-ZA"/>
              </w:rPr>
              <w:t>in a position to</w:t>
            </w:r>
            <w:proofErr w:type="gramEnd"/>
            <w:r w:rsidRPr="00EF660D">
              <w:rPr>
                <w:rFonts w:ascii="Arial" w:hAnsi="Arial" w:cs="Arial"/>
                <w:sz w:val="22"/>
                <w:szCs w:val="22"/>
                <w:lang w:val="en-ZA"/>
              </w:rPr>
              <w:t xml:space="preserve"> demand financial statements tailored to meet their specific information needs. While all the information needs of specific users cannot be met, there are financial information needs that are common to a wide range of users. Financial statements prepared in accordance with a financial reporting framework designed to meet the common financial information needs of a wide range of users are referred to as general purpose financial statements.</w:t>
            </w:r>
            <w:r w:rsidR="004372D5" w:rsidRPr="00EF660D">
              <w:rPr>
                <w:rFonts w:ascii="Arial" w:hAnsi="Arial" w:cs="Arial"/>
                <w:sz w:val="22"/>
                <w:szCs w:val="22"/>
                <w:lang w:val="en-ZA"/>
              </w:rPr>
              <w:t>'</w:t>
            </w:r>
          </w:p>
          <w:p w14:paraId="1C82FADA" w14:textId="4E7F4DF1" w:rsidR="007814D3" w:rsidRPr="00EF660D" w:rsidRDefault="007814D3" w:rsidP="007814D3">
            <w:pPr>
              <w:pStyle w:val="NormalWeb"/>
              <w:spacing w:before="120" w:beforeAutospacing="0" w:after="0" w:afterAutospacing="0" w:line="276" w:lineRule="auto"/>
              <w:jc w:val="both"/>
              <w:rPr>
                <w:rFonts w:ascii="Arial" w:hAnsi="Arial" w:cs="Arial"/>
                <w:sz w:val="22"/>
                <w:szCs w:val="22"/>
                <w:lang w:val="en-ZA"/>
              </w:rPr>
            </w:pPr>
            <w:r w:rsidRPr="00EF660D">
              <w:rPr>
                <w:rFonts w:ascii="Arial" w:hAnsi="Arial" w:cs="Arial"/>
                <w:sz w:val="22"/>
                <w:szCs w:val="22"/>
                <w:lang w:val="en-ZA"/>
              </w:rPr>
              <w:t>The MCS has been set to meet the information needs of a wide range of users, as described in paragraphs 12-14 of the MCS, and is therefo</w:t>
            </w:r>
            <w:r w:rsidR="004372D5" w:rsidRPr="00EF660D">
              <w:rPr>
                <w:rFonts w:ascii="Arial" w:hAnsi="Arial" w:cs="Arial"/>
                <w:sz w:val="22"/>
                <w:szCs w:val="22"/>
                <w:lang w:val="en-ZA"/>
              </w:rPr>
              <w:t xml:space="preserve">re a </w:t>
            </w:r>
            <w:proofErr w:type="gramStart"/>
            <w:r w:rsidR="004372D5" w:rsidRPr="00EF660D">
              <w:rPr>
                <w:rFonts w:ascii="Arial" w:hAnsi="Arial" w:cs="Arial"/>
                <w:sz w:val="22"/>
                <w:szCs w:val="22"/>
                <w:lang w:val="en-ZA"/>
              </w:rPr>
              <w:t>general purpose</w:t>
            </w:r>
            <w:proofErr w:type="gramEnd"/>
            <w:r w:rsidR="004372D5" w:rsidRPr="00EF660D">
              <w:rPr>
                <w:rFonts w:ascii="Arial" w:hAnsi="Arial" w:cs="Arial"/>
                <w:sz w:val="22"/>
                <w:szCs w:val="22"/>
                <w:lang w:val="en-ZA"/>
              </w:rPr>
              <w:t xml:space="preserve"> framework.</w:t>
            </w:r>
          </w:p>
          <w:p w14:paraId="67DE3EE8" w14:textId="77777777" w:rsidR="007814D3" w:rsidRPr="00EF660D" w:rsidRDefault="007814D3" w:rsidP="007814D3">
            <w:pPr>
              <w:pStyle w:val="NormalWeb"/>
              <w:spacing w:before="120" w:beforeAutospacing="0" w:after="0" w:afterAutospacing="0" w:line="276" w:lineRule="auto"/>
              <w:jc w:val="both"/>
              <w:rPr>
                <w:rFonts w:ascii="Arial" w:hAnsi="Arial" w:cs="Arial"/>
                <w:b/>
                <w:sz w:val="22"/>
                <w:szCs w:val="22"/>
                <w:lang w:val="en-ZA"/>
              </w:rPr>
            </w:pPr>
            <w:r w:rsidRPr="00EF660D">
              <w:rPr>
                <w:rFonts w:ascii="Arial" w:hAnsi="Arial" w:cs="Arial"/>
                <w:b/>
                <w:sz w:val="22"/>
                <w:szCs w:val="22"/>
                <w:lang w:val="en-ZA"/>
              </w:rPr>
              <w:t>Fair presentation framework:</w:t>
            </w:r>
          </w:p>
          <w:p w14:paraId="54202F95" w14:textId="3AC55A39" w:rsidR="007814D3" w:rsidRPr="00EF660D" w:rsidRDefault="007814D3" w:rsidP="007814D3">
            <w:pPr>
              <w:pStyle w:val="NormalWeb"/>
              <w:spacing w:before="0" w:beforeAutospacing="0" w:after="0" w:afterAutospacing="0" w:line="276" w:lineRule="auto"/>
              <w:jc w:val="both"/>
              <w:rPr>
                <w:rFonts w:ascii="Arial" w:hAnsi="Arial" w:cs="Arial"/>
                <w:sz w:val="22"/>
                <w:szCs w:val="22"/>
                <w:lang w:val="en-ZA"/>
              </w:rPr>
            </w:pPr>
            <w:r w:rsidRPr="00EF660D">
              <w:rPr>
                <w:rFonts w:ascii="Arial" w:hAnsi="Arial" w:cs="Arial"/>
                <w:sz w:val="22"/>
                <w:szCs w:val="22"/>
                <w:lang w:val="en-ZA"/>
              </w:rPr>
              <w:lastRenderedPageBreak/>
              <w:t xml:space="preserve">The IAASB Glossary of Terms (2016) states that the term </w:t>
            </w:r>
            <w:r w:rsidR="004372D5" w:rsidRPr="00EF660D">
              <w:rPr>
                <w:rFonts w:ascii="Arial" w:hAnsi="Arial" w:cs="Arial"/>
                <w:sz w:val="22"/>
                <w:szCs w:val="22"/>
                <w:lang w:val="en-ZA"/>
              </w:rPr>
              <w:t>'</w:t>
            </w:r>
            <w:r w:rsidRPr="00EF660D">
              <w:rPr>
                <w:rFonts w:ascii="Arial" w:hAnsi="Arial" w:cs="Arial"/>
                <w:sz w:val="22"/>
                <w:szCs w:val="22"/>
                <w:lang w:val="en-ZA"/>
              </w:rPr>
              <w:t>fair presentation framework</w:t>
            </w:r>
            <w:r w:rsidR="004372D5" w:rsidRPr="00EF660D">
              <w:rPr>
                <w:rFonts w:ascii="Arial" w:hAnsi="Arial" w:cs="Arial"/>
                <w:sz w:val="22"/>
                <w:szCs w:val="22"/>
                <w:lang w:val="en-ZA"/>
              </w:rPr>
              <w:t>'</w:t>
            </w:r>
            <w:r w:rsidRPr="00EF660D">
              <w:rPr>
                <w:rFonts w:ascii="Arial" w:hAnsi="Arial" w:cs="Arial"/>
                <w:sz w:val="22"/>
                <w:szCs w:val="22"/>
                <w:lang w:val="en-ZA"/>
              </w:rPr>
              <w:t xml:space="preserve"> refers to a financial reporting framework that requires compliance with the requirements of the framework and:</w:t>
            </w:r>
          </w:p>
          <w:p w14:paraId="71CE5725" w14:textId="77777777" w:rsidR="007814D3" w:rsidRPr="00EF660D" w:rsidRDefault="007814D3" w:rsidP="007814D3">
            <w:pPr>
              <w:pStyle w:val="ListParagraph"/>
              <w:numPr>
                <w:ilvl w:val="0"/>
                <w:numId w:val="5"/>
              </w:numPr>
              <w:spacing w:before="120" w:line="276" w:lineRule="auto"/>
              <w:ind w:left="360"/>
              <w:rPr>
                <w:rFonts w:cs="Arial"/>
                <w:szCs w:val="22"/>
              </w:rPr>
            </w:pPr>
            <w:r w:rsidRPr="00EF660D">
              <w:rPr>
                <w:rFonts w:cs="Arial"/>
                <w:szCs w:val="22"/>
              </w:rPr>
              <w:t>Acknowledges explicitly or implicitly that to achieve fair presentation of the financial statements, it may be necessary for management to provide disclosures beyond those specifically required by the framework; or</w:t>
            </w:r>
          </w:p>
          <w:p w14:paraId="13F2157D" w14:textId="77777777" w:rsidR="007814D3" w:rsidRPr="00EF660D" w:rsidRDefault="007814D3" w:rsidP="007814D3">
            <w:pPr>
              <w:pStyle w:val="ListParagraph"/>
              <w:numPr>
                <w:ilvl w:val="0"/>
                <w:numId w:val="5"/>
              </w:numPr>
              <w:spacing w:before="120" w:line="276" w:lineRule="auto"/>
              <w:ind w:left="360"/>
              <w:rPr>
                <w:rFonts w:cs="Arial"/>
                <w:szCs w:val="22"/>
              </w:rPr>
            </w:pPr>
            <w:r w:rsidRPr="00EF660D">
              <w:rPr>
                <w:rFonts w:cs="Arial"/>
                <w:szCs w:val="22"/>
              </w:rPr>
              <w:t>Acknowledges explicitly that it may be necessary for management to depart from a requirement of the framework to achieve fair presentation of the financial statements. Such departures are expected to be necessary only in extremely rare circumstances.</w:t>
            </w:r>
          </w:p>
          <w:p w14:paraId="492F1761" w14:textId="77777777" w:rsidR="007814D3" w:rsidRPr="00EF660D" w:rsidRDefault="007814D3" w:rsidP="007814D3">
            <w:pPr>
              <w:pStyle w:val="NormalWeb"/>
              <w:spacing w:before="120" w:beforeAutospacing="0" w:after="0" w:afterAutospacing="0" w:line="276" w:lineRule="auto"/>
              <w:jc w:val="both"/>
              <w:rPr>
                <w:rFonts w:ascii="Arial" w:hAnsi="Arial" w:cs="Arial"/>
                <w:sz w:val="22"/>
                <w:szCs w:val="22"/>
                <w:lang w:val="en-ZA"/>
              </w:rPr>
            </w:pPr>
            <w:r w:rsidRPr="00EF660D">
              <w:rPr>
                <w:rFonts w:ascii="Arial" w:hAnsi="Arial" w:cs="Arial"/>
                <w:sz w:val="22"/>
                <w:szCs w:val="22"/>
                <w:lang w:val="en-ZA"/>
              </w:rPr>
              <w:t>The MCS complies with the second requirement of the fair presentation definition in that it contains the following wording in paragraph 18 of the MCS:</w:t>
            </w:r>
          </w:p>
          <w:p w14:paraId="2EA0BC35" w14:textId="1E974997" w:rsidR="007814D3" w:rsidRPr="00EF660D" w:rsidRDefault="004372D5" w:rsidP="007814D3">
            <w:pPr>
              <w:pStyle w:val="ListParagraph"/>
              <w:numPr>
                <w:ilvl w:val="0"/>
                <w:numId w:val="5"/>
              </w:numPr>
              <w:spacing w:before="120" w:line="276" w:lineRule="auto"/>
              <w:ind w:left="360"/>
              <w:rPr>
                <w:rFonts w:cs="Arial"/>
                <w:szCs w:val="22"/>
              </w:rPr>
            </w:pPr>
            <w:r w:rsidRPr="00EF660D">
              <w:rPr>
                <w:rFonts w:cs="Arial"/>
                <w:szCs w:val="22"/>
              </w:rPr>
              <w:t>'</w:t>
            </w:r>
            <w:r w:rsidR="007814D3" w:rsidRPr="00EF660D">
              <w:rPr>
                <w:rFonts w:cs="Arial"/>
                <w:szCs w:val="22"/>
              </w:rPr>
              <w:t xml:space="preserve">In the extremely rare circumstances when management, in consultation with the Office of the Accountant General, concludes that compliance with a requirement of this Standard would be so misleading that it would conflict with the overall objectives of the Standard </w:t>
            </w:r>
            <w:proofErr w:type="gramStart"/>
            <w:r w:rsidR="007814D3" w:rsidRPr="00EF660D">
              <w:rPr>
                <w:rFonts w:cs="Arial"/>
                <w:szCs w:val="22"/>
              </w:rPr>
              <w:t>with regard to</w:t>
            </w:r>
            <w:proofErr w:type="gramEnd"/>
            <w:r w:rsidR="007814D3" w:rsidRPr="00EF660D">
              <w:rPr>
                <w:rFonts w:cs="Arial"/>
                <w:szCs w:val="22"/>
              </w:rPr>
              <w:t xml:space="preserve"> fair presentation, the department shall depart from that requirement in the manner set out in par 19 and 20.</w:t>
            </w:r>
            <w:r w:rsidRPr="00EF660D">
              <w:rPr>
                <w:rFonts w:cs="Arial"/>
                <w:szCs w:val="22"/>
              </w:rPr>
              <w:t>'</w:t>
            </w:r>
          </w:p>
          <w:p w14:paraId="6760FA2B" w14:textId="6360FEC2" w:rsidR="007814D3" w:rsidRPr="00EF660D" w:rsidRDefault="007814D3" w:rsidP="007814D3">
            <w:pPr>
              <w:pStyle w:val="NormalWeb"/>
              <w:spacing w:before="120" w:beforeAutospacing="0" w:after="120" w:afterAutospacing="0" w:line="276" w:lineRule="auto"/>
              <w:jc w:val="both"/>
              <w:rPr>
                <w:rFonts w:ascii="Arial" w:hAnsi="Arial" w:cs="Arial"/>
                <w:sz w:val="22"/>
                <w:szCs w:val="22"/>
                <w:lang w:val="en-ZA"/>
              </w:rPr>
            </w:pPr>
            <w:r w:rsidRPr="00EF660D">
              <w:rPr>
                <w:rFonts w:ascii="Arial" w:hAnsi="Arial" w:cs="Arial"/>
                <w:sz w:val="22"/>
                <w:szCs w:val="22"/>
                <w:lang w:val="en-ZA"/>
              </w:rPr>
              <w:t>This SAAPS is available in PDF format and may be downloaded from the</w:t>
            </w:r>
            <w:r w:rsidRPr="00EF660D">
              <w:rPr>
                <w:rStyle w:val="Hyperlink"/>
                <w:rFonts w:ascii="Arial" w:hAnsi="Arial" w:cs="Arial"/>
                <w:color w:val="auto"/>
                <w:sz w:val="22"/>
                <w:szCs w:val="22"/>
                <w:u w:val="none"/>
                <w:lang w:val="en-ZA"/>
              </w:rPr>
              <w:t xml:space="preserve"> IRBA website at </w:t>
            </w:r>
            <w:hyperlink r:id="rId8" w:history="1">
              <w:r w:rsidRPr="00EF660D">
                <w:rPr>
                  <w:rStyle w:val="Hyperlink"/>
                  <w:rFonts w:ascii="Arial" w:hAnsi="Arial" w:cs="Arial"/>
                  <w:sz w:val="22"/>
                  <w:szCs w:val="22"/>
                  <w:lang w:val="en-ZA"/>
                </w:rPr>
                <w:t>www.irba.co.za</w:t>
              </w:r>
            </w:hyperlink>
            <w:r w:rsidRPr="00EF660D">
              <w:rPr>
                <w:rFonts w:ascii="Arial" w:hAnsi="Arial" w:cs="Arial"/>
                <w:sz w:val="22"/>
                <w:szCs w:val="22"/>
                <w:lang w:val="en-ZA"/>
              </w:rPr>
              <w:t xml:space="preserve">. Should you have any other queries please do not hesitate to contact the Standards Department by sending an email to </w:t>
            </w:r>
            <w:hyperlink r:id="rId9" w:history="1">
              <w:r w:rsidRPr="00EF660D">
                <w:rPr>
                  <w:rStyle w:val="Hyperlink"/>
                  <w:rFonts w:ascii="Arial" w:hAnsi="Arial" w:cs="Arial"/>
                  <w:sz w:val="22"/>
                  <w:szCs w:val="22"/>
                  <w:lang w:val="en-ZA"/>
                </w:rPr>
                <w:t>standards@irba.co.za</w:t>
              </w:r>
            </w:hyperlink>
            <w:r w:rsidRPr="00EF660D">
              <w:rPr>
                <w:rStyle w:val="Hyperlink"/>
                <w:rFonts w:ascii="Arial" w:hAnsi="Arial" w:cs="Arial"/>
                <w:sz w:val="22"/>
                <w:szCs w:val="22"/>
                <w:lang w:val="en-ZA"/>
              </w:rPr>
              <w:t>.</w:t>
            </w:r>
            <w:r w:rsidRPr="00EF660D">
              <w:rPr>
                <w:rFonts w:ascii="Arial" w:hAnsi="Arial" w:cs="Arial"/>
                <w:vanish/>
                <w:sz w:val="22"/>
                <w:szCs w:val="22"/>
                <w:lang w:val="en-ZA"/>
              </w:rPr>
              <w:t>.</w:t>
            </w:r>
          </w:p>
          <w:p w14:paraId="0E6A3750" w14:textId="77777777" w:rsidR="007814D3" w:rsidRPr="00EF660D" w:rsidRDefault="007814D3" w:rsidP="007814D3">
            <w:pPr>
              <w:spacing w:before="120" w:after="120" w:line="276" w:lineRule="auto"/>
              <w:ind w:right="539"/>
              <w:jc w:val="both"/>
              <w:textAlignment w:val="top"/>
              <w:rPr>
                <w:rFonts w:ascii="Arial" w:hAnsi="Arial" w:cs="Arial"/>
                <w:b/>
                <w:bCs/>
                <w:sz w:val="22"/>
                <w:szCs w:val="22"/>
                <w:lang w:val="en-ZA"/>
              </w:rPr>
            </w:pPr>
          </w:p>
          <w:p w14:paraId="1BD8BCED" w14:textId="77777777" w:rsidR="007814D3" w:rsidRPr="00EF660D" w:rsidRDefault="007814D3" w:rsidP="007814D3">
            <w:pPr>
              <w:spacing w:before="120" w:after="120" w:line="276" w:lineRule="auto"/>
              <w:ind w:right="539"/>
              <w:jc w:val="both"/>
              <w:textAlignment w:val="top"/>
              <w:rPr>
                <w:rFonts w:ascii="Arial" w:hAnsi="Arial" w:cs="Arial"/>
                <w:b/>
                <w:bCs/>
                <w:sz w:val="22"/>
                <w:szCs w:val="22"/>
                <w:lang w:val="en-ZA"/>
              </w:rPr>
            </w:pPr>
          </w:p>
          <w:p w14:paraId="64D480CD" w14:textId="77777777" w:rsidR="007814D3" w:rsidRPr="00EF660D" w:rsidRDefault="007814D3" w:rsidP="007814D3">
            <w:pPr>
              <w:spacing w:before="120" w:after="120" w:line="276" w:lineRule="auto"/>
              <w:jc w:val="both"/>
              <w:textAlignment w:val="top"/>
              <w:rPr>
                <w:rFonts w:ascii="Arial" w:hAnsi="Arial" w:cs="Arial"/>
                <w:b/>
                <w:bCs/>
                <w:sz w:val="22"/>
                <w:szCs w:val="22"/>
                <w:lang w:val="en-ZA"/>
              </w:rPr>
            </w:pPr>
            <w:r w:rsidRPr="00EF660D">
              <w:rPr>
                <w:rFonts w:ascii="Arial" w:hAnsi="Arial" w:cs="Arial"/>
                <w:b/>
                <w:bCs/>
                <w:sz w:val="22"/>
                <w:szCs w:val="22"/>
                <w:lang w:val="en-ZA"/>
              </w:rPr>
              <w:t>Imran Vanker</w:t>
            </w:r>
          </w:p>
          <w:p w14:paraId="475E14DC" w14:textId="77777777" w:rsidR="007814D3" w:rsidRPr="00EF660D" w:rsidRDefault="007814D3" w:rsidP="007814D3">
            <w:pPr>
              <w:spacing w:before="120" w:after="120" w:line="276" w:lineRule="auto"/>
              <w:jc w:val="both"/>
              <w:rPr>
                <w:rFonts w:ascii="Arial" w:hAnsi="Arial" w:cs="Arial"/>
                <w:b/>
                <w:bCs/>
                <w:sz w:val="22"/>
                <w:szCs w:val="22"/>
                <w:lang w:val="en-ZA"/>
              </w:rPr>
            </w:pPr>
            <w:r w:rsidRPr="00EF660D">
              <w:rPr>
                <w:rFonts w:ascii="Arial" w:hAnsi="Arial" w:cs="Arial"/>
                <w:b/>
                <w:bCs/>
                <w:sz w:val="22"/>
                <w:szCs w:val="22"/>
                <w:lang w:val="en-ZA"/>
              </w:rPr>
              <w:t>Director: Standards</w:t>
            </w:r>
            <w:bookmarkStart w:id="0" w:name="_GoBack"/>
            <w:bookmarkEnd w:id="0"/>
          </w:p>
          <w:p w14:paraId="7F531455" w14:textId="77777777" w:rsidR="007814D3" w:rsidRPr="00EF660D" w:rsidRDefault="007814D3" w:rsidP="007814D3">
            <w:pPr>
              <w:spacing w:before="120" w:after="120" w:line="276" w:lineRule="auto"/>
              <w:jc w:val="both"/>
              <w:rPr>
                <w:rFonts w:ascii="Arial" w:hAnsi="Arial" w:cs="Arial"/>
                <w:b/>
                <w:bCs/>
                <w:i/>
                <w:iCs/>
                <w:sz w:val="22"/>
                <w:szCs w:val="22"/>
                <w:lang w:val="en-ZA"/>
              </w:rPr>
            </w:pPr>
          </w:p>
          <w:p w14:paraId="31400DF8" w14:textId="77777777" w:rsidR="007814D3" w:rsidRPr="00EF660D" w:rsidRDefault="007814D3" w:rsidP="007814D3">
            <w:pPr>
              <w:spacing w:before="120" w:after="120" w:line="276" w:lineRule="auto"/>
              <w:jc w:val="both"/>
              <w:rPr>
                <w:rFonts w:ascii="Arial" w:hAnsi="Arial" w:cs="Arial"/>
                <w:b/>
                <w:bCs/>
                <w:i/>
                <w:iCs/>
                <w:sz w:val="22"/>
                <w:szCs w:val="22"/>
                <w:lang w:val="en-ZA"/>
              </w:rPr>
            </w:pPr>
            <w:r w:rsidRPr="00EF660D">
              <w:rPr>
                <w:rFonts w:ascii="Arial" w:hAnsi="Arial" w:cs="Arial"/>
                <w:b/>
                <w:bCs/>
                <w:i/>
                <w:iCs/>
                <w:sz w:val="22"/>
                <w:szCs w:val="22"/>
                <w:lang w:val="en-ZA"/>
              </w:rPr>
              <w:t>About the IRBA</w:t>
            </w:r>
          </w:p>
          <w:p w14:paraId="0164BE23" w14:textId="77777777" w:rsidR="007814D3" w:rsidRPr="00EF660D" w:rsidRDefault="007814D3" w:rsidP="007814D3">
            <w:pPr>
              <w:spacing w:before="120" w:after="120" w:line="276" w:lineRule="auto"/>
              <w:jc w:val="both"/>
              <w:rPr>
                <w:rFonts w:ascii="Arial" w:hAnsi="Arial" w:cs="Arial"/>
                <w:sz w:val="20"/>
                <w:szCs w:val="20"/>
                <w:lang w:val="en-ZA"/>
              </w:rPr>
            </w:pPr>
            <w:r w:rsidRPr="00EF660D">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255846C9" w14:textId="10DEEC6E" w:rsidR="007814D3" w:rsidRPr="00EF660D" w:rsidRDefault="007814D3" w:rsidP="007814D3">
            <w:pPr>
              <w:spacing w:line="276" w:lineRule="auto"/>
              <w:jc w:val="both"/>
              <w:rPr>
                <w:rFonts w:ascii="Arial" w:hAnsi="Arial" w:cs="Arial"/>
                <w:lang w:val="en-ZA"/>
              </w:rPr>
            </w:pPr>
            <w:r w:rsidRPr="00EF660D">
              <w:rPr>
                <w:rFonts w:ascii="Arial" w:hAnsi="Arial" w:cs="Arial"/>
                <w:i/>
                <w:iCs/>
                <w:sz w:val="20"/>
                <w:szCs w:val="20"/>
                <w:lang w:val="en-ZA"/>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5C0F3AC3" w14:textId="77777777" w:rsidR="007814D3" w:rsidRPr="00266CB4" w:rsidRDefault="007814D3" w:rsidP="004372D5">
      <w:pPr>
        <w:spacing w:line="276" w:lineRule="auto"/>
        <w:rPr>
          <w:rFonts w:ascii="Arial" w:hAnsi="Arial" w:cs="Arial"/>
          <w:lang w:val="en-ZA"/>
        </w:rPr>
      </w:pPr>
    </w:p>
    <w:sectPr w:rsidR="007814D3" w:rsidRPr="00266CB4" w:rsidSect="00D9728A">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7C8F" w14:textId="77777777" w:rsidR="00B813B5" w:rsidRDefault="00B813B5" w:rsidP="00BE2542">
      <w:r>
        <w:separator/>
      </w:r>
    </w:p>
  </w:endnote>
  <w:endnote w:type="continuationSeparator" w:id="0">
    <w:p w14:paraId="252D677F" w14:textId="77777777" w:rsidR="00B813B5" w:rsidRDefault="00B813B5" w:rsidP="00BE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C42" w14:textId="5B827E82" w:rsidR="00BE2542" w:rsidRPr="00BD2E37" w:rsidRDefault="00BE2542" w:rsidP="00BE2542">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DB1A" w14:textId="77777777" w:rsidR="00B813B5" w:rsidRDefault="00B813B5" w:rsidP="00BE2542">
      <w:r>
        <w:separator/>
      </w:r>
    </w:p>
  </w:footnote>
  <w:footnote w:type="continuationSeparator" w:id="0">
    <w:p w14:paraId="77A80BB7" w14:textId="77777777" w:rsidR="00B813B5" w:rsidRDefault="00B813B5" w:rsidP="00BE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6C011A7"/>
    <w:multiLevelType w:val="hybridMultilevel"/>
    <w:tmpl w:val="B6EC335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8846AE8"/>
    <w:multiLevelType w:val="multilevel"/>
    <w:tmpl w:val="2744DBA6"/>
    <w:lvl w:ilvl="0">
      <w:start w:val="1"/>
      <w:numFmt w:val="decimal"/>
      <w:lvlText w:val="%1."/>
      <w:lvlJc w:val="left"/>
      <w:pPr>
        <w:ind w:left="360" w:hanging="360"/>
      </w:pPr>
      <w:rPr>
        <w:rFonts w:ascii="Arial" w:hAnsi="Arial" w:hint="default"/>
        <w:b w:val="0"/>
        <w:i w:val="0"/>
        <w:sz w:val="22"/>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525133"/>
    <w:multiLevelType w:val="multilevel"/>
    <w:tmpl w:val="B7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0"/>
  </w:num>
  <w:num w:numId="4">
    <w:abstractNumId w:val="3"/>
  </w:num>
  <w:num w:numId="5">
    <w:abstractNumId w:val="5"/>
  </w:num>
  <w:num w:numId="6">
    <w:abstractNumId w:val="0"/>
  </w:num>
  <w:num w:numId="7">
    <w:abstractNumId w:val="0"/>
  </w:num>
  <w:num w:numId="8">
    <w:abstractNumId w:val="0"/>
  </w:num>
  <w:num w:numId="9">
    <w:abstractNumId w:val="0"/>
  </w:num>
  <w:num w:numId="10">
    <w:abstractNumId w:val="2"/>
  </w:num>
  <w:num w:numId="11">
    <w:abstractNumId w:val="1"/>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6D6"/>
    <w:rsid w:val="00077913"/>
    <w:rsid w:val="00083DEE"/>
    <w:rsid w:val="000C1DC5"/>
    <w:rsid w:val="000F0B0B"/>
    <w:rsid w:val="000F6759"/>
    <w:rsid w:val="00104CED"/>
    <w:rsid w:val="001B58BD"/>
    <w:rsid w:val="0020295F"/>
    <w:rsid w:val="00203A30"/>
    <w:rsid w:val="00206B92"/>
    <w:rsid w:val="00217E16"/>
    <w:rsid w:val="00223FBE"/>
    <w:rsid w:val="00230587"/>
    <w:rsid w:val="00233943"/>
    <w:rsid w:val="00235177"/>
    <w:rsid w:val="00237549"/>
    <w:rsid w:val="00243A74"/>
    <w:rsid w:val="0025235E"/>
    <w:rsid w:val="00261280"/>
    <w:rsid w:val="00266CB4"/>
    <w:rsid w:val="00285B0C"/>
    <w:rsid w:val="00287884"/>
    <w:rsid w:val="002D325F"/>
    <w:rsid w:val="002F3480"/>
    <w:rsid w:val="002F7BF0"/>
    <w:rsid w:val="0031496C"/>
    <w:rsid w:val="003317D7"/>
    <w:rsid w:val="00344E83"/>
    <w:rsid w:val="00376943"/>
    <w:rsid w:val="00387112"/>
    <w:rsid w:val="003C23EB"/>
    <w:rsid w:val="003C5411"/>
    <w:rsid w:val="003F3563"/>
    <w:rsid w:val="004105AB"/>
    <w:rsid w:val="004372D5"/>
    <w:rsid w:val="00451D2F"/>
    <w:rsid w:val="00477148"/>
    <w:rsid w:val="004C50FA"/>
    <w:rsid w:val="004C56AF"/>
    <w:rsid w:val="004C574F"/>
    <w:rsid w:val="004D3F64"/>
    <w:rsid w:val="005225BE"/>
    <w:rsid w:val="005251A6"/>
    <w:rsid w:val="0055299B"/>
    <w:rsid w:val="00583B7D"/>
    <w:rsid w:val="00586A3F"/>
    <w:rsid w:val="0059696E"/>
    <w:rsid w:val="005F3E11"/>
    <w:rsid w:val="005F5998"/>
    <w:rsid w:val="00604FF3"/>
    <w:rsid w:val="00610226"/>
    <w:rsid w:val="006712A7"/>
    <w:rsid w:val="00695B44"/>
    <w:rsid w:val="006A2A11"/>
    <w:rsid w:val="006C5465"/>
    <w:rsid w:val="006E076C"/>
    <w:rsid w:val="00705EE6"/>
    <w:rsid w:val="00712408"/>
    <w:rsid w:val="00750A43"/>
    <w:rsid w:val="00756731"/>
    <w:rsid w:val="00765712"/>
    <w:rsid w:val="0077580A"/>
    <w:rsid w:val="007814D3"/>
    <w:rsid w:val="007832D8"/>
    <w:rsid w:val="00794A42"/>
    <w:rsid w:val="007C1ED9"/>
    <w:rsid w:val="00813AD0"/>
    <w:rsid w:val="00814A77"/>
    <w:rsid w:val="008476CA"/>
    <w:rsid w:val="00855C85"/>
    <w:rsid w:val="008617E8"/>
    <w:rsid w:val="00864DAE"/>
    <w:rsid w:val="0087229C"/>
    <w:rsid w:val="008761B5"/>
    <w:rsid w:val="00892EE3"/>
    <w:rsid w:val="00893618"/>
    <w:rsid w:val="008C11A6"/>
    <w:rsid w:val="008D3FA5"/>
    <w:rsid w:val="008F75F0"/>
    <w:rsid w:val="00923D66"/>
    <w:rsid w:val="00936DF0"/>
    <w:rsid w:val="009413CF"/>
    <w:rsid w:val="009469B8"/>
    <w:rsid w:val="0097788E"/>
    <w:rsid w:val="00981C35"/>
    <w:rsid w:val="00993008"/>
    <w:rsid w:val="00993036"/>
    <w:rsid w:val="009B40ED"/>
    <w:rsid w:val="009B6B2A"/>
    <w:rsid w:val="009E42A8"/>
    <w:rsid w:val="00A20523"/>
    <w:rsid w:val="00A20C54"/>
    <w:rsid w:val="00A26C62"/>
    <w:rsid w:val="00A45A2C"/>
    <w:rsid w:val="00A7528B"/>
    <w:rsid w:val="00AC0575"/>
    <w:rsid w:val="00AC7A19"/>
    <w:rsid w:val="00AE7223"/>
    <w:rsid w:val="00AF0B07"/>
    <w:rsid w:val="00B40890"/>
    <w:rsid w:val="00B44C4F"/>
    <w:rsid w:val="00B57235"/>
    <w:rsid w:val="00B6753B"/>
    <w:rsid w:val="00B74004"/>
    <w:rsid w:val="00B813B5"/>
    <w:rsid w:val="00B92583"/>
    <w:rsid w:val="00BA1A3F"/>
    <w:rsid w:val="00BD2E37"/>
    <w:rsid w:val="00BE2542"/>
    <w:rsid w:val="00C16E1F"/>
    <w:rsid w:val="00C20018"/>
    <w:rsid w:val="00C60148"/>
    <w:rsid w:val="00C92D44"/>
    <w:rsid w:val="00C932B4"/>
    <w:rsid w:val="00CB58A5"/>
    <w:rsid w:val="00D03506"/>
    <w:rsid w:val="00D3781E"/>
    <w:rsid w:val="00D77077"/>
    <w:rsid w:val="00D9728A"/>
    <w:rsid w:val="00DA68CA"/>
    <w:rsid w:val="00DB4245"/>
    <w:rsid w:val="00DF3178"/>
    <w:rsid w:val="00E13522"/>
    <w:rsid w:val="00E33529"/>
    <w:rsid w:val="00E50DBC"/>
    <w:rsid w:val="00E80B5B"/>
    <w:rsid w:val="00ED047A"/>
    <w:rsid w:val="00ED1530"/>
    <w:rsid w:val="00EE7CDD"/>
    <w:rsid w:val="00EF660D"/>
    <w:rsid w:val="00F03C1E"/>
    <w:rsid w:val="00F10603"/>
    <w:rsid w:val="00F23975"/>
    <w:rsid w:val="00F470EB"/>
    <w:rsid w:val="00F64BB9"/>
    <w:rsid w:val="00F76271"/>
    <w:rsid w:val="00FB35FF"/>
    <w:rsid w:val="00FB4281"/>
    <w:rsid w:val="00FD6D3D"/>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B60A"/>
  <w15:docId w15:val="{F6A6E99C-1EDF-4E3D-91F1-2FDCE1EE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BE2542"/>
    <w:pPr>
      <w:tabs>
        <w:tab w:val="center" w:pos="4513"/>
        <w:tab w:val="right" w:pos="9026"/>
      </w:tabs>
    </w:pPr>
  </w:style>
  <w:style w:type="character" w:customStyle="1" w:styleId="HeaderChar">
    <w:name w:val="Header Char"/>
    <w:basedOn w:val="DefaultParagraphFont"/>
    <w:link w:val="Header"/>
    <w:uiPriority w:val="99"/>
    <w:rsid w:val="00BE254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E2542"/>
    <w:pPr>
      <w:tabs>
        <w:tab w:val="center" w:pos="4513"/>
        <w:tab w:val="right" w:pos="9026"/>
      </w:tabs>
    </w:pPr>
  </w:style>
  <w:style w:type="character" w:customStyle="1" w:styleId="FooterChar">
    <w:name w:val="Footer Char"/>
    <w:basedOn w:val="DefaultParagraphFont"/>
    <w:link w:val="Footer"/>
    <w:uiPriority w:val="99"/>
    <w:rsid w:val="00BE2542"/>
    <w:rPr>
      <w:rFonts w:ascii="Times New Roman" w:eastAsia="Times New Roman" w:hAnsi="Times New Roman" w:cs="Times New Roman"/>
      <w:sz w:val="24"/>
      <w:szCs w:val="24"/>
      <w:lang w:val="en-US"/>
    </w:rPr>
  </w:style>
  <w:style w:type="table" w:styleId="TableGrid">
    <w:name w:val="Table Grid"/>
    <w:basedOn w:val="TableNormal"/>
    <w:uiPriority w:val="59"/>
    <w:rsid w:val="0078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2067560746">
      <w:bodyDiv w:val="1"/>
      <w:marLeft w:val="0"/>
      <w:marRight w:val="0"/>
      <w:marTop w:val="0"/>
      <w:marBottom w:val="0"/>
      <w:divBdr>
        <w:top w:val="none" w:sz="0" w:space="0" w:color="auto"/>
        <w:left w:val="none" w:sz="0" w:space="0" w:color="auto"/>
        <w:bottom w:val="none" w:sz="0" w:space="0" w:color="auto"/>
        <w:right w:val="none" w:sz="0" w:space="0" w:color="auto"/>
      </w:divBdr>
      <w:divsChild>
        <w:div w:id="2115006258">
          <w:marLeft w:val="0"/>
          <w:marRight w:val="0"/>
          <w:marTop w:val="0"/>
          <w:marBottom w:val="0"/>
          <w:divBdr>
            <w:top w:val="none" w:sz="0" w:space="0" w:color="auto"/>
            <w:left w:val="none" w:sz="0" w:space="0" w:color="auto"/>
            <w:bottom w:val="none" w:sz="0" w:space="0" w:color="auto"/>
            <w:right w:val="none" w:sz="0" w:space="0" w:color="auto"/>
          </w:divBdr>
          <w:divsChild>
            <w:div w:id="878053566">
              <w:marLeft w:val="0"/>
              <w:marRight w:val="-95"/>
              <w:marTop w:val="0"/>
              <w:marBottom w:val="0"/>
              <w:divBdr>
                <w:top w:val="none" w:sz="0" w:space="0" w:color="auto"/>
                <w:left w:val="none" w:sz="0" w:space="0" w:color="auto"/>
                <w:bottom w:val="none" w:sz="0" w:space="0" w:color="auto"/>
                <w:right w:val="none" w:sz="0" w:space="0" w:color="auto"/>
              </w:divBdr>
              <w:divsChild>
                <w:div w:id="477066196">
                  <w:marLeft w:val="3270"/>
                  <w:marRight w:val="270"/>
                  <w:marTop w:val="0"/>
                  <w:marBottom w:val="0"/>
                  <w:divBdr>
                    <w:top w:val="none" w:sz="0" w:space="0" w:color="auto"/>
                    <w:left w:val="none" w:sz="0" w:space="0" w:color="auto"/>
                    <w:bottom w:val="none" w:sz="0" w:space="0" w:color="auto"/>
                    <w:right w:val="none" w:sz="0" w:space="0" w:color="auto"/>
                  </w:divBdr>
                  <w:divsChild>
                    <w:div w:id="1443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a.co.za/guidance-to-ras/technical-guidance-for-auditors/auditing-standards-and-guides/south-african-standards-and-practice-stat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D781-B86F-443A-ABDE-8C94CBF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2018-03-08T14:26:00Z</cp:lastPrinted>
  <dcterms:created xsi:type="dcterms:W3CDTF">2018-03-09T11:34:00Z</dcterms:created>
  <dcterms:modified xsi:type="dcterms:W3CDTF">2018-03-09T11:34:00Z</dcterms:modified>
</cp:coreProperties>
</file>