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1A22FB" w:rsidRPr="00116085" w:rsidTr="008D0FF3">
        <w:trPr>
          <w:trHeight w:val="1747"/>
          <w:tblCellSpacing w:w="15" w:type="dxa"/>
        </w:trPr>
        <w:tc>
          <w:tcPr>
            <w:tcW w:w="9330" w:type="dxa"/>
          </w:tcPr>
          <w:p w:rsidR="001A22FB" w:rsidRPr="008D0FF3" w:rsidRDefault="001A22FB" w:rsidP="009141DD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</w:rPr>
            </w:pPr>
            <w:bookmarkStart w:id="0" w:name="_GoBack"/>
            <w:bookmarkEnd w:id="0"/>
            <w:r w:rsidRPr="008D0FF3">
              <w:rPr>
                <w:rFonts w:ascii="Arial" w:hAnsi="Arial" w:cs="Arial"/>
                <w:b/>
                <w:bCs/>
                <w:color w:val="CC0000"/>
              </w:rPr>
              <w:t>INDEPENDENT REGULATORY BOARD FOR AUDITORS</w:t>
            </w:r>
          </w:p>
          <w:p w:rsidR="001A22FB" w:rsidRPr="008D0FF3" w:rsidRDefault="001A22FB" w:rsidP="009141DD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F3">
              <w:rPr>
                <w:rFonts w:ascii="Arial" w:hAnsi="Arial" w:cs="Arial"/>
                <w:b/>
                <w:bCs/>
                <w:color w:val="000000"/>
              </w:rPr>
              <w:t xml:space="preserve">COMMITTEE FOR AUDITING STANDARDS </w:t>
            </w:r>
          </w:p>
          <w:p w:rsidR="001A22FB" w:rsidRPr="008D0FF3" w:rsidRDefault="001A22FB" w:rsidP="009141DD">
            <w:pPr>
              <w:pBdr>
                <w:top w:val="single" w:sz="4" w:space="1" w:color="auto"/>
              </w:pBdr>
              <w:spacing w:before="120"/>
              <w:jc w:val="center"/>
              <w:rPr>
                <w:rFonts w:ascii="Arial" w:hAnsi="Arial" w:cs="Arial"/>
              </w:rPr>
            </w:pPr>
            <w:bookmarkStart w:id="1" w:name="Text2"/>
            <w:bookmarkEnd w:id="1"/>
          </w:p>
          <w:p w:rsidR="001A22FB" w:rsidRPr="008D0FF3" w:rsidRDefault="001A22FB" w:rsidP="009141DD">
            <w:pPr>
              <w:jc w:val="both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1A22FB" w:rsidRPr="008D0FF3" w:rsidRDefault="001A22FB" w:rsidP="009141D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D0FF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Department of Trade and Industry publishes Draft Regulations to the Companies Act, 2008 (Act No. 71 of 2008) for Public Comment by 1 March 2010   </w:t>
            </w:r>
          </w:p>
          <w:p w:rsidR="001A22FB" w:rsidRPr="008D0FF3" w:rsidRDefault="001A22FB" w:rsidP="009141DD">
            <w:pPr>
              <w:spacing w:before="120" w:after="120"/>
              <w:jc w:val="center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8D0FF3">
                  <w:rPr>
                    <w:rFonts w:ascii="Arial" w:hAnsi="Arial" w:cs="Arial"/>
                    <w:sz w:val="22"/>
                    <w:szCs w:val="22"/>
                  </w:rPr>
                  <w:t>Johannesburg</w:t>
                </w:r>
              </w:smartTag>
            </w:smartTag>
            <w:r w:rsidRPr="008D0FF3">
              <w:rPr>
                <w:rFonts w:ascii="Arial" w:hAnsi="Arial" w:cs="Arial"/>
                <w:sz w:val="22"/>
                <w:szCs w:val="22"/>
              </w:rPr>
              <w:t xml:space="preserve"> / 5 January 2010</w:t>
            </w:r>
          </w:p>
          <w:p w:rsidR="001A22FB" w:rsidRPr="008D0FF3" w:rsidRDefault="001A22FB" w:rsidP="009141D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22FB" w:rsidRPr="008D0FF3" w:rsidRDefault="001A22FB" w:rsidP="00431DBA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Department of Trade and Industry (</w:t>
            </w:r>
            <w:proofErr w:type="spellStart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dti</w:t>
            </w:r>
            <w:proofErr w:type="spellEnd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published the following Government Notices in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Government Gazette No 32832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on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 December 2009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1A22FB" w:rsidRPr="008D0FF3" w:rsidRDefault="001A22FB" w:rsidP="000C6DE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Notice 1663 of 2009 “Rectification of the Companies Act, 2008 (Act No. 71 of 2008)”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8D0FF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and </w:t>
            </w:r>
          </w:p>
          <w:p w:rsidR="001A22FB" w:rsidRPr="008D0FF3" w:rsidRDefault="001A22FB" w:rsidP="000C6DE2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Notice 1664 of 2009 “Companies Act, 2008 (Act No. 71 of 2008)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Companies Regulations pursuant to the Companies Act, 2008 (Act No 71 of 2008)”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1A22FB" w:rsidRPr="008D0FF3" w:rsidRDefault="001A22FB" w:rsidP="000C6DE2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The Government Gazette No 32832 containing the Notices and Draft Regulations may be downloaded from the IRBA website: </w:t>
            </w:r>
            <w:hyperlink r:id="rId8" w:history="1">
              <w:r w:rsidRPr="00B17977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www.irba.co.za</w:t>
              </w:r>
            </w:hyperlink>
          </w:p>
          <w:p w:rsidR="001A22FB" w:rsidRPr="008D0FF3" w:rsidRDefault="001A22FB" w:rsidP="00431DBA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Comments on the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Rectification of the Companies Act, 2008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are due to be communicated to Mr McDonald </w:t>
            </w:r>
            <w:proofErr w:type="spellStart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Netshitenzhe</w:t>
            </w:r>
            <w:proofErr w:type="spellEnd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at </w:t>
            </w:r>
            <w:hyperlink r:id="rId9" w:history="1">
              <w:r w:rsidRPr="008D0FF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MNetshitenzhe@dti.gov.za</w:t>
              </w:r>
            </w:hyperlink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within 30 days</w:t>
            </w:r>
            <w:r w:rsidRPr="008D0F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of publication of the Notice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and comments on the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Regulations pursuant to the Companies Act, 2008</w:t>
            </w:r>
            <w:r w:rsidRPr="008D0FF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are due to be submitted to him by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March 2010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1A22FB" w:rsidRPr="008D0FF3" w:rsidRDefault="001A22FB" w:rsidP="00431DBA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 the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Companies Act 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and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Regulations pursuant to the Companies Act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directly affect the auditing profession and their clients, registered auditors are urged to submit comments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either to the </w:t>
            </w:r>
            <w:proofErr w:type="spellStart"/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dti</w:t>
            </w:r>
            <w:proofErr w:type="spellEnd"/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directly or to the IRBA for inclusion in its comments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to the </w:t>
            </w:r>
            <w:proofErr w:type="spellStart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dti</w:t>
            </w:r>
            <w:proofErr w:type="spellEnd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 Should you wish your comments to be included in the IRBA’s comments to the </w:t>
            </w:r>
            <w:proofErr w:type="spellStart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dti</w:t>
            </w:r>
            <w:proofErr w:type="spellEnd"/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please ensure these are communicated to the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Director: Standards, Sandy van Esch,</w:t>
            </w: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at </w:t>
            </w:r>
            <w:hyperlink r:id="rId10" w:history="1">
              <w:r w:rsidRPr="008D0FF3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svanesch@irba.co.za</w:t>
              </w:r>
            </w:hyperlink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by </w:t>
            </w:r>
            <w:r w:rsidRPr="008D0F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 later than 15 February 2010.</w:t>
            </w:r>
            <w:r w:rsidRPr="008D0FF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1A22FB" w:rsidRPr="008D0FF3" w:rsidRDefault="001A22FB" w:rsidP="00B65630">
            <w:pPr>
              <w:spacing w:before="120" w:after="120"/>
              <w:rPr>
                <w:rFonts w:ascii="Arial" w:hAnsi="Arial" w:cs="Arial"/>
                <w:bCs/>
                <w:color w:val="000000"/>
              </w:rPr>
            </w:pPr>
            <w:r w:rsidRPr="008D0FF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1A22FB" w:rsidRPr="008D0FF3" w:rsidRDefault="001A22FB" w:rsidP="00CE05FC">
            <w:pPr>
              <w:ind w:right="23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8D0FF3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About the IRBA</w:t>
            </w:r>
          </w:p>
          <w:p w:rsidR="001A22FB" w:rsidRPr="008D0FF3" w:rsidRDefault="001A22FB" w:rsidP="00CE05FC">
            <w:pPr>
              <w:ind w:right="23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</w:p>
          <w:p w:rsidR="001A22FB" w:rsidRPr="008D0FF3" w:rsidRDefault="001A22FB" w:rsidP="00CE05FC">
            <w:pPr>
              <w:ind w:right="23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D0FF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The objective of the IRBA is to endeavour to protect the financial interests of the South African public and international investors in </w:t>
            </w:r>
            <w:smartTag w:uri="urn:schemas-microsoft-com:office:smarttags" w:element="country-region">
              <w:smartTag w:uri="urn:schemas-microsoft-com:office:smarttags" w:element="place">
                <w:r w:rsidRPr="008D0FF3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t>South Africa</w:t>
                </w:r>
              </w:smartTag>
            </w:smartTag>
            <w:r w:rsidRPr="008D0FF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through the effective and appropriate regulation of audits conducted by registered auditors, in accordance with internationally recogni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s</w:t>
            </w:r>
            <w:r w:rsidRPr="008D0FF3">
              <w:rPr>
                <w:rFonts w:ascii="Arial" w:hAnsi="Arial" w:cs="Arial"/>
                <w:i/>
                <w:noProof/>
                <w:sz w:val="20"/>
                <w:szCs w:val="20"/>
              </w:rPr>
              <w:t>ed standards and processes. The CFAS assists the IRBA to develop and maintain auditing pronouncements which are internationally comparable.</w:t>
            </w:r>
          </w:p>
          <w:p w:rsidR="001A22FB" w:rsidRPr="008D0FF3" w:rsidRDefault="001A22FB" w:rsidP="00CE05FC">
            <w:pPr>
              <w:jc w:val="both"/>
              <w:textAlignment w:val="top"/>
              <w:rPr>
                <w:rFonts w:ascii="Arial" w:hAnsi="Arial" w:cs="Arial"/>
              </w:rPr>
            </w:pPr>
          </w:p>
          <w:p w:rsidR="001A22FB" w:rsidRPr="008D0FF3" w:rsidRDefault="001A22FB" w:rsidP="00F511BB">
            <w:pPr>
              <w:jc w:val="both"/>
              <w:textAlignment w:val="top"/>
              <w:rPr>
                <w:rFonts w:ascii="Arial" w:hAnsi="Arial" w:cs="Arial"/>
                <w:b/>
                <w:sz w:val="20"/>
                <w:szCs w:val="20"/>
              </w:rPr>
            </w:pPr>
            <w:r w:rsidRPr="008D0FF3">
              <w:rPr>
                <w:rFonts w:ascii="Arial" w:hAnsi="Arial" w:cs="Arial"/>
                <w:b/>
                <w:sz w:val="20"/>
                <w:szCs w:val="20"/>
              </w:rPr>
              <w:t>Sandy van Esch</w:t>
            </w:r>
          </w:p>
          <w:p w:rsidR="001A22FB" w:rsidRPr="008D0FF3" w:rsidRDefault="001A22FB" w:rsidP="00F511BB">
            <w:pPr>
              <w:ind w:right="235"/>
              <w:jc w:val="both"/>
              <w:rPr>
                <w:rFonts w:ascii="Arial" w:hAnsi="Arial" w:cs="Arial"/>
              </w:rPr>
            </w:pPr>
            <w:r w:rsidRPr="008D0FF3">
              <w:rPr>
                <w:rFonts w:ascii="Arial" w:hAnsi="Arial" w:cs="Arial"/>
                <w:b/>
                <w:sz w:val="20"/>
                <w:szCs w:val="20"/>
              </w:rPr>
              <w:t>Director: Standards</w:t>
            </w:r>
          </w:p>
        </w:tc>
      </w:tr>
    </w:tbl>
    <w:p w:rsidR="001A22FB" w:rsidRPr="00116085" w:rsidRDefault="001A22FB" w:rsidP="009141D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16085">
        <w:rPr>
          <w:rFonts w:ascii="Arial" w:hAnsi="Arial" w:cs="Arial"/>
          <w:color w:val="7C7C7C"/>
          <w:sz w:val="18"/>
          <w:szCs w:val="18"/>
          <w:lang w:val="en-GB"/>
        </w:rPr>
        <w:t> </w:t>
      </w:r>
    </w:p>
    <w:p w:rsidR="001A22FB" w:rsidRPr="00AC0C4E" w:rsidRDefault="001A22FB" w:rsidP="009141DD">
      <w:pPr>
        <w:jc w:val="both"/>
        <w:rPr>
          <w:rFonts w:ascii="Arial" w:hAnsi="Arial" w:cs="Arial"/>
          <w:lang w:val="en-GB"/>
        </w:rPr>
      </w:pPr>
    </w:p>
    <w:p w:rsidR="001A22FB" w:rsidRPr="006F44C4" w:rsidRDefault="001A22FB" w:rsidP="009141DD">
      <w:pPr>
        <w:jc w:val="both"/>
      </w:pPr>
    </w:p>
    <w:sectPr w:rsidR="001A22FB" w:rsidRPr="006F44C4" w:rsidSect="008D0FF3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FB" w:rsidRDefault="001A22FB">
      <w:r>
        <w:separator/>
      </w:r>
    </w:p>
  </w:endnote>
  <w:endnote w:type="continuationSeparator" w:id="0">
    <w:p w:rsidR="001A22FB" w:rsidRDefault="001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FB" w:rsidRDefault="001A22FB">
      <w:r>
        <w:separator/>
      </w:r>
    </w:p>
  </w:footnote>
  <w:footnote w:type="continuationSeparator" w:id="0">
    <w:p w:rsidR="001A22FB" w:rsidRDefault="001A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72"/>
    <w:multiLevelType w:val="hybridMultilevel"/>
    <w:tmpl w:val="8BB42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B5AE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A2521DA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31E67169"/>
    <w:multiLevelType w:val="multilevel"/>
    <w:tmpl w:val="19F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772B8D"/>
    <w:multiLevelType w:val="hybridMultilevel"/>
    <w:tmpl w:val="E38ACB3E"/>
    <w:lvl w:ilvl="0" w:tplc="EE06F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205F4"/>
    <w:multiLevelType w:val="multilevel"/>
    <w:tmpl w:val="7CA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DC2185"/>
    <w:multiLevelType w:val="hybridMultilevel"/>
    <w:tmpl w:val="69EC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7FC32C10"/>
    <w:multiLevelType w:val="hybridMultilevel"/>
    <w:tmpl w:val="5C5EF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62"/>
    <w:rsid w:val="00032EC5"/>
    <w:rsid w:val="00044382"/>
    <w:rsid w:val="000450CD"/>
    <w:rsid w:val="0006670E"/>
    <w:rsid w:val="000878CF"/>
    <w:rsid w:val="000B3AC9"/>
    <w:rsid w:val="000B4148"/>
    <w:rsid w:val="000C6DE2"/>
    <w:rsid w:val="000E50E0"/>
    <w:rsid w:val="00101136"/>
    <w:rsid w:val="00114451"/>
    <w:rsid w:val="00116085"/>
    <w:rsid w:val="00134F54"/>
    <w:rsid w:val="0018695A"/>
    <w:rsid w:val="001A22FB"/>
    <w:rsid w:val="001A7934"/>
    <w:rsid w:val="001C4B9C"/>
    <w:rsid w:val="001F4B6D"/>
    <w:rsid w:val="00203D03"/>
    <w:rsid w:val="00214ACB"/>
    <w:rsid w:val="00216C17"/>
    <w:rsid w:val="00232478"/>
    <w:rsid w:val="0024081E"/>
    <w:rsid w:val="00245BF9"/>
    <w:rsid w:val="00295291"/>
    <w:rsid w:val="002A60B6"/>
    <w:rsid w:val="002A74E0"/>
    <w:rsid w:val="002D6054"/>
    <w:rsid w:val="002D7307"/>
    <w:rsid w:val="002F1772"/>
    <w:rsid w:val="00315776"/>
    <w:rsid w:val="00342BA3"/>
    <w:rsid w:val="0037190D"/>
    <w:rsid w:val="0040189D"/>
    <w:rsid w:val="004170DD"/>
    <w:rsid w:val="00430ADA"/>
    <w:rsid w:val="00431DBA"/>
    <w:rsid w:val="00465756"/>
    <w:rsid w:val="00485F72"/>
    <w:rsid w:val="004A08F3"/>
    <w:rsid w:val="004A29F3"/>
    <w:rsid w:val="004B0A62"/>
    <w:rsid w:val="004B190D"/>
    <w:rsid w:val="004F1712"/>
    <w:rsid w:val="00502FE5"/>
    <w:rsid w:val="00543A22"/>
    <w:rsid w:val="005811FF"/>
    <w:rsid w:val="0059783A"/>
    <w:rsid w:val="005C5483"/>
    <w:rsid w:val="005D3E51"/>
    <w:rsid w:val="005F399F"/>
    <w:rsid w:val="00637821"/>
    <w:rsid w:val="00657AC1"/>
    <w:rsid w:val="00665BA3"/>
    <w:rsid w:val="0068669D"/>
    <w:rsid w:val="006964CA"/>
    <w:rsid w:val="006B7A0B"/>
    <w:rsid w:val="006E3E2B"/>
    <w:rsid w:val="006F44C4"/>
    <w:rsid w:val="0070324F"/>
    <w:rsid w:val="00711F93"/>
    <w:rsid w:val="00715EC2"/>
    <w:rsid w:val="00720CBE"/>
    <w:rsid w:val="007338EB"/>
    <w:rsid w:val="00736DEE"/>
    <w:rsid w:val="00766238"/>
    <w:rsid w:val="00771AA5"/>
    <w:rsid w:val="007D5559"/>
    <w:rsid w:val="007E2CDE"/>
    <w:rsid w:val="008044A3"/>
    <w:rsid w:val="00817D8E"/>
    <w:rsid w:val="00835CDC"/>
    <w:rsid w:val="00847575"/>
    <w:rsid w:val="0086276B"/>
    <w:rsid w:val="00862F7E"/>
    <w:rsid w:val="0089033B"/>
    <w:rsid w:val="008A3D9B"/>
    <w:rsid w:val="008C0F0D"/>
    <w:rsid w:val="008D0FF3"/>
    <w:rsid w:val="008E2763"/>
    <w:rsid w:val="009141DD"/>
    <w:rsid w:val="00981863"/>
    <w:rsid w:val="00982D4C"/>
    <w:rsid w:val="009E5345"/>
    <w:rsid w:val="00A10918"/>
    <w:rsid w:val="00A25906"/>
    <w:rsid w:val="00A320E2"/>
    <w:rsid w:val="00A338B0"/>
    <w:rsid w:val="00A719B1"/>
    <w:rsid w:val="00AC0C4E"/>
    <w:rsid w:val="00AC62A0"/>
    <w:rsid w:val="00AC74DF"/>
    <w:rsid w:val="00AD0FAA"/>
    <w:rsid w:val="00AD7D5A"/>
    <w:rsid w:val="00B17977"/>
    <w:rsid w:val="00B2199A"/>
    <w:rsid w:val="00B3448B"/>
    <w:rsid w:val="00B44226"/>
    <w:rsid w:val="00B53800"/>
    <w:rsid w:val="00B65630"/>
    <w:rsid w:val="00B837E8"/>
    <w:rsid w:val="00BE3A04"/>
    <w:rsid w:val="00BF23CF"/>
    <w:rsid w:val="00C075A2"/>
    <w:rsid w:val="00C23AA8"/>
    <w:rsid w:val="00C451BF"/>
    <w:rsid w:val="00CA3A48"/>
    <w:rsid w:val="00CB4B32"/>
    <w:rsid w:val="00CE05FC"/>
    <w:rsid w:val="00CF4646"/>
    <w:rsid w:val="00D00FBD"/>
    <w:rsid w:val="00D1346E"/>
    <w:rsid w:val="00D248FA"/>
    <w:rsid w:val="00D4672E"/>
    <w:rsid w:val="00D753EF"/>
    <w:rsid w:val="00D768AE"/>
    <w:rsid w:val="00D87912"/>
    <w:rsid w:val="00DA5AED"/>
    <w:rsid w:val="00DE6BF7"/>
    <w:rsid w:val="00DF707A"/>
    <w:rsid w:val="00E01488"/>
    <w:rsid w:val="00E13438"/>
    <w:rsid w:val="00E31ACF"/>
    <w:rsid w:val="00E57669"/>
    <w:rsid w:val="00E705F2"/>
    <w:rsid w:val="00E72126"/>
    <w:rsid w:val="00E860E3"/>
    <w:rsid w:val="00E9626D"/>
    <w:rsid w:val="00EB277F"/>
    <w:rsid w:val="00EB3DD8"/>
    <w:rsid w:val="00ED6D02"/>
    <w:rsid w:val="00EF4769"/>
    <w:rsid w:val="00F0083E"/>
    <w:rsid w:val="00F06026"/>
    <w:rsid w:val="00F1120B"/>
    <w:rsid w:val="00F2762C"/>
    <w:rsid w:val="00F34C10"/>
    <w:rsid w:val="00F511BB"/>
    <w:rsid w:val="00F6677D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C4"/>
    <w:rPr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basedOn w:val="DefaultParagraphFont"/>
    <w:uiPriority w:val="99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basedOn w:val="DefaultParagraphFont"/>
    <w:uiPriority w:val="99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basedOn w:val="DefaultParagraphFont"/>
    <w:uiPriority w:val="99"/>
    <w:rsid w:val="004B0A62"/>
    <w:rPr>
      <w:rFonts w:ascii="Calibri" w:hAnsi="Calibri" w:cs="Times New Roman"/>
      <w:color w:val="7C7C7C"/>
    </w:rPr>
  </w:style>
  <w:style w:type="character" w:styleId="Hyperlink">
    <w:name w:val="Hyperlink"/>
    <w:basedOn w:val="DefaultParagraphFont"/>
    <w:uiPriority w:val="99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ZA"/>
    </w:rPr>
  </w:style>
  <w:style w:type="character" w:styleId="Emphasis">
    <w:name w:val="Emphasis"/>
    <w:basedOn w:val="DefaultParagraphFont"/>
    <w:uiPriority w:val="99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uiPriority w:val="99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753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60B6"/>
    <w:rPr>
      <w:rFonts w:ascii="Consolas" w:hAnsi="Consolas" w:cs="Times New Roman"/>
      <w:lang w:bidi="ar-SA"/>
    </w:rPr>
  </w:style>
  <w:style w:type="paragraph" w:styleId="PlainText">
    <w:name w:val="Plain Text"/>
    <w:basedOn w:val="Normal"/>
    <w:link w:val="PlainTextChar"/>
    <w:uiPriority w:val="99"/>
    <w:rsid w:val="002A60B6"/>
    <w:rPr>
      <w:rFonts w:ascii="Consolas" w:hAnsi="Consolas"/>
      <w:sz w:val="20"/>
      <w:szCs w:val="20"/>
      <w:lang w:eastAsia="en-ZA"/>
    </w:rPr>
  </w:style>
  <w:style w:type="character" w:customStyle="1" w:styleId="PlainTextChar1">
    <w:name w:val="Plain Text Char1"/>
    <w:basedOn w:val="DefaultParagraphFont"/>
    <w:uiPriority w:val="99"/>
    <w:semiHidden/>
    <w:locked/>
    <w:rPr>
      <w:rFonts w:ascii="Courier New" w:hAnsi="Courier New" w:cs="Courier New"/>
      <w:sz w:val="20"/>
      <w:szCs w:val="20"/>
      <w:lang w:val="en-ZA"/>
    </w:rPr>
  </w:style>
  <w:style w:type="numbering" w:customStyle="1" w:styleId="Style1">
    <w:name w:val="Style1"/>
    <w:rsid w:val="00C23997"/>
    <w:pPr>
      <w:numPr>
        <w:numId w:val="1"/>
      </w:numPr>
    </w:pPr>
  </w:style>
  <w:style w:type="numbering" w:customStyle="1" w:styleId="Style2">
    <w:name w:val="Style2"/>
    <w:rsid w:val="00C2399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C4"/>
    <w:rPr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basedOn w:val="DefaultParagraphFont"/>
    <w:uiPriority w:val="99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basedOn w:val="DefaultParagraphFont"/>
    <w:uiPriority w:val="99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basedOn w:val="DefaultParagraphFont"/>
    <w:uiPriority w:val="99"/>
    <w:rsid w:val="004B0A62"/>
    <w:rPr>
      <w:rFonts w:ascii="Calibri" w:hAnsi="Calibri" w:cs="Times New Roman"/>
      <w:color w:val="7C7C7C"/>
    </w:rPr>
  </w:style>
  <w:style w:type="character" w:styleId="Hyperlink">
    <w:name w:val="Hyperlink"/>
    <w:basedOn w:val="DefaultParagraphFont"/>
    <w:uiPriority w:val="99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3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3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ZA"/>
    </w:rPr>
  </w:style>
  <w:style w:type="character" w:styleId="Emphasis">
    <w:name w:val="Emphasis"/>
    <w:basedOn w:val="DefaultParagraphFont"/>
    <w:uiPriority w:val="99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uiPriority w:val="99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753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60B6"/>
    <w:rPr>
      <w:rFonts w:ascii="Consolas" w:hAnsi="Consolas" w:cs="Times New Roman"/>
      <w:lang w:bidi="ar-SA"/>
    </w:rPr>
  </w:style>
  <w:style w:type="paragraph" w:styleId="PlainText">
    <w:name w:val="Plain Text"/>
    <w:basedOn w:val="Normal"/>
    <w:link w:val="PlainTextChar"/>
    <w:uiPriority w:val="99"/>
    <w:rsid w:val="002A60B6"/>
    <w:rPr>
      <w:rFonts w:ascii="Consolas" w:hAnsi="Consolas"/>
      <w:sz w:val="20"/>
      <w:szCs w:val="20"/>
      <w:lang w:eastAsia="en-ZA"/>
    </w:rPr>
  </w:style>
  <w:style w:type="character" w:customStyle="1" w:styleId="PlainTextChar1">
    <w:name w:val="Plain Text Char1"/>
    <w:basedOn w:val="DefaultParagraphFont"/>
    <w:uiPriority w:val="99"/>
    <w:semiHidden/>
    <w:locked/>
    <w:rPr>
      <w:rFonts w:ascii="Courier New" w:hAnsi="Courier New" w:cs="Courier New"/>
      <w:sz w:val="20"/>
      <w:szCs w:val="20"/>
      <w:lang w:val="en-ZA"/>
    </w:rPr>
  </w:style>
  <w:style w:type="numbering" w:customStyle="1" w:styleId="Style1">
    <w:name w:val="Style1"/>
    <w:rsid w:val="00C23997"/>
    <w:pPr>
      <w:numPr>
        <w:numId w:val="1"/>
      </w:numPr>
    </w:pPr>
  </w:style>
  <w:style w:type="numbering" w:customStyle="1" w:styleId="Style2">
    <w:name w:val="Style2"/>
    <w:rsid w:val="00C2399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326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3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23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93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315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631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34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93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317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593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63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a.co.z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anesch@irba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etshitenzhe@dt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Auditing Standards</vt:lpstr>
    </vt:vector>
  </TitlesOfParts>
  <Company>IRBA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Auditing Standards</dc:title>
  <dc:creator>tpeyper</dc:creator>
  <cp:lastModifiedBy>Pamela De Klerk</cp:lastModifiedBy>
  <cp:revision>2</cp:revision>
  <cp:lastPrinted>2010-01-05T09:16:00Z</cp:lastPrinted>
  <dcterms:created xsi:type="dcterms:W3CDTF">2015-07-09T12:41:00Z</dcterms:created>
  <dcterms:modified xsi:type="dcterms:W3CDTF">2015-07-09T12:41:00Z</dcterms:modified>
</cp:coreProperties>
</file>