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596500" w:rsidRPr="00AB430E" w:rsidTr="000F770F">
        <w:trPr>
          <w:trHeight w:val="1747"/>
          <w:tblCellSpacing w:w="15" w:type="dxa"/>
        </w:trPr>
        <w:tc>
          <w:tcPr>
            <w:tcW w:w="9580" w:type="dxa"/>
          </w:tcPr>
          <w:tbl>
            <w:tblPr>
              <w:tblpPr w:leftFromText="180" w:rightFromText="180" w:horzAnchor="page" w:tblpX="1" w:tblpY="-573"/>
              <w:tblOverlap w:val="never"/>
              <w:tblW w:w="9639" w:type="dxa"/>
              <w:tblCellSpacing w:w="15" w:type="dxa"/>
              <w:tblLayout w:type="fixed"/>
              <w:tblCellMar>
                <w:left w:w="0" w:type="dxa"/>
                <w:right w:w="0" w:type="dxa"/>
              </w:tblCellMar>
              <w:tblLook w:val="0000" w:firstRow="0" w:lastRow="0" w:firstColumn="0" w:lastColumn="0" w:noHBand="0" w:noVBand="0"/>
            </w:tblPr>
            <w:tblGrid>
              <w:gridCol w:w="9639"/>
            </w:tblGrid>
            <w:tr w:rsidR="00596500" w:rsidRPr="00BD58FB" w:rsidTr="000F770F">
              <w:trPr>
                <w:trHeight w:val="1747"/>
                <w:tblCellSpacing w:w="15" w:type="dxa"/>
              </w:trPr>
              <w:tc>
                <w:tcPr>
                  <w:tcW w:w="9579" w:type="dxa"/>
                </w:tcPr>
                <w:p w:rsidR="00596500" w:rsidRPr="0096139B" w:rsidRDefault="00596500" w:rsidP="000F770F">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96139B">
                    <w:rPr>
                      <w:rFonts w:ascii="Arial" w:hAnsi="Arial" w:cs="Arial"/>
                      <w:b/>
                      <w:bCs/>
                      <w:color w:val="CC0000"/>
                      <w:lang w:val="en-GB"/>
                    </w:rPr>
                    <w:t>INDEPENDENT REGULATORY BOARD FOR AUDITORS</w:t>
                  </w:r>
                </w:p>
                <w:p w:rsidR="00596500" w:rsidRPr="00803A00" w:rsidRDefault="00596500" w:rsidP="000F770F">
                  <w:pPr>
                    <w:keepNext/>
                    <w:ind w:right="537"/>
                    <w:jc w:val="both"/>
                    <w:textAlignment w:val="top"/>
                    <w:rPr>
                      <w:rFonts w:ascii="Arial" w:hAnsi="Arial" w:cs="Arial"/>
                      <w:sz w:val="20"/>
                      <w:szCs w:val="20"/>
                      <w:lang w:val="en-GB"/>
                    </w:rPr>
                  </w:pPr>
                  <w:bookmarkStart w:id="1" w:name="Text2"/>
                  <w:bookmarkEnd w:id="1"/>
                </w:p>
                <w:p w:rsidR="00DB2E58" w:rsidRDefault="00DB2E58" w:rsidP="000F770F">
                  <w:pPr>
                    <w:ind w:left="-426"/>
                    <w:jc w:val="center"/>
                    <w:rPr>
                      <w:rFonts w:ascii="Arial" w:hAnsi="Arial" w:cs="Arial"/>
                      <w:b/>
                      <w:lang w:val="en-GB"/>
                    </w:rPr>
                  </w:pPr>
                  <w:r w:rsidRPr="00DB2E58">
                    <w:rPr>
                      <w:rFonts w:ascii="Arial" w:hAnsi="Arial" w:cs="Arial"/>
                      <w:b/>
                      <w:lang w:val="en-GB"/>
                    </w:rPr>
                    <w:t xml:space="preserve">Products issued by the Financial Intelligence Centre in relation to </w:t>
                  </w:r>
                </w:p>
                <w:p w:rsidR="00596500" w:rsidRDefault="00DB2E58" w:rsidP="000F770F">
                  <w:pPr>
                    <w:ind w:left="-426"/>
                    <w:jc w:val="center"/>
                    <w:rPr>
                      <w:rFonts w:ascii="Arial" w:hAnsi="Arial" w:cs="Arial"/>
                      <w:b/>
                      <w:lang w:val="en-GB"/>
                    </w:rPr>
                  </w:pPr>
                  <w:r w:rsidRPr="00DB2E58">
                    <w:rPr>
                      <w:rFonts w:ascii="Arial" w:hAnsi="Arial" w:cs="Arial"/>
                      <w:b/>
                      <w:lang w:val="en-GB"/>
                    </w:rPr>
                    <w:t>the implementation of the new regi</w:t>
                  </w:r>
                  <w:r>
                    <w:rPr>
                      <w:rFonts w:ascii="Arial" w:hAnsi="Arial" w:cs="Arial"/>
                      <w:b/>
                      <w:lang w:val="en-GB"/>
                    </w:rPr>
                    <w:t>stration and reporting platform</w:t>
                  </w:r>
                </w:p>
                <w:p w:rsidR="00DB2E58" w:rsidRDefault="00DB2E58" w:rsidP="000F770F">
                  <w:pPr>
                    <w:ind w:left="-426"/>
                    <w:jc w:val="center"/>
                    <w:rPr>
                      <w:rFonts w:ascii="Arial" w:hAnsi="Arial" w:cs="Arial"/>
                      <w:b/>
                      <w:lang w:val="en-GB"/>
                    </w:rPr>
                  </w:pPr>
                </w:p>
                <w:p w:rsidR="00596500" w:rsidRDefault="00596500" w:rsidP="000F770F">
                  <w:pPr>
                    <w:ind w:left="-426"/>
                    <w:jc w:val="center"/>
                    <w:rPr>
                      <w:rFonts w:ascii="Arial" w:hAnsi="Arial" w:cs="Arial"/>
                      <w:lang w:val="en-GB"/>
                    </w:rPr>
                  </w:pPr>
                  <w:r w:rsidRPr="00470975">
                    <w:rPr>
                      <w:rFonts w:ascii="Arial" w:hAnsi="Arial" w:cs="Arial"/>
                      <w:lang w:val="en-GB"/>
                    </w:rPr>
                    <w:t xml:space="preserve">Johannesburg/ </w:t>
                  </w:r>
                  <w:r w:rsidR="00DB2E58">
                    <w:rPr>
                      <w:rFonts w:ascii="Arial" w:hAnsi="Arial" w:cs="Arial"/>
                      <w:lang w:val="en-GB"/>
                    </w:rPr>
                    <w:t xml:space="preserve">26 April </w:t>
                  </w:r>
                  <w:r w:rsidRPr="00470975">
                    <w:rPr>
                      <w:rFonts w:ascii="Arial" w:hAnsi="Arial" w:cs="Arial"/>
                      <w:lang w:val="en-GB"/>
                    </w:rPr>
                    <w:t>201</w:t>
                  </w:r>
                  <w:r w:rsidR="00DB2E58">
                    <w:rPr>
                      <w:rFonts w:ascii="Arial" w:hAnsi="Arial" w:cs="Arial"/>
                      <w:lang w:val="en-GB"/>
                    </w:rPr>
                    <w:t>6</w:t>
                  </w:r>
                </w:p>
                <w:p w:rsidR="00596500" w:rsidRPr="00470975" w:rsidRDefault="00596500" w:rsidP="000F770F">
                  <w:pPr>
                    <w:ind w:left="-426"/>
                    <w:jc w:val="center"/>
                    <w:rPr>
                      <w:rFonts w:ascii="Arial" w:hAnsi="Arial" w:cs="Arial"/>
                      <w:lang w:val="en-GB"/>
                    </w:rPr>
                  </w:pPr>
                </w:p>
                <w:p w:rsidR="00596500" w:rsidRPr="00470975" w:rsidRDefault="00596500" w:rsidP="000F770F">
                  <w:pPr>
                    <w:jc w:val="both"/>
                    <w:rPr>
                      <w:rFonts w:ascii="Arial" w:hAnsi="Arial" w:cs="Arial"/>
                      <w:b/>
                      <w:lang w:val="en-GB"/>
                    </w:rPr>
                  </w:pPr>
                </w:p>
                <w:p w:rsidR="00596500" w:rsidRDefault="00596500" w:rsidP="000F770F">
                  <w:pPr>
                    <w:jc w:val="both"/>
                    <w:rPr>
                      <w:rFonts w:ascii="Arial" w:hAnsi="Arial" w:cs="Arial"/>
                      <w:sz w:val="22"/>
                      <w:szCs w:val="22"/>
                      <w:lang w:val="en-GB"/>
                    </w:rPr>
                  </w:pPr>
                </w:p>
                <w:p w:rsidR="00596500" w:rsidRDefault="00596500" w:rsidP="00596500">
                  <w:pPr>
                    <w:ind w:right="159"/>
                    <w:jc w:val="both"/>
                    <w:rPr>
                      <w:rFonts w:ascii="Arial" w:hAnsi="Arial" w:cs="Arial"/>
                      <w:sz w:val="22"/>
                      <w:szCs w:val="22"/>
                      <w:lang w:val="en-GB"/>
                    </w:rPr>
                  </w:pPr>
                  <w:r w:rsidRPr="00C76650">
                    <w:rPr>
                      <w:rFonts w:ascii="Arial" w:hAnsi="Arial" w:cs="Arial"/>
                      <w:sz w:val="22"/>
                      <w:szCs w:val="22"/>
                      <w:lang w:val="en-GB"/>
                    </w:rPr>
                    <w:t xml:space="preserve">Please take note of the notice from the </w:t>
                  </w:r>
                  <w:r w:rsidR="00DB2E58">
                    <w:rPr>
                      <w:rFonts w:ascii="Arial" w:hAnsi="Arial" w:cs="Arial"/>
                      <w:sz w:val="22"/>
                      <w:szCs w:val="22"/>
                      <w:lang w:val="en-GB"/>
                    </w:rPr>
                    <w:t>Financial Intelligence Centre</w:t>
                  </w:r>
                  <w:r w:rsidRPr="00C76650">
                    <w:rPr>
                      <w:rFonts w:ascii="Arial" w:hAnsi="Arial" w:cs="Arial"/>
                      <w:sz w:val="22"/>
                      <w:szCs w:val="22"/>
                      <w:lang w:val="en-GB"/>
                    </w:rPr>
                    <w:t xml:space="preserve"> (</w:t>
                  </w:r>
                  <w:r w:rsidR="00DB2E58">
                    <w:rPr>
                      <w:rFonts w:ascii="Arial" w:hAnsi="Arial" w:cs="Arial"/>
                      <w:sz w:val="22"/>
                      <w:szCs w:val="22"/>
                      <w:lang w:val="en-GB"/>
                    </w:rPr>
                    <w:t>FIC</w:t>
                  </w:r>
                  <w:r w:rsidRPr="00C76650">
                    <w:rPr>
                      <w:rFonts w:ascii="Arial" w:hAnsi="Arial" w:cs="Arial"/>
                      <w:sz w:val="22"/>
                      <w:szCs w:val="22"/>
                      <w:lang w:val="en-GB"/>
                    </w:rPr>
                    <w:t xml:space="preserve">) regarding </w:t>
                  </w:r>
                  <w:r w:rsidR="00DB2E58">
                    <w:rPr>
                      <w:rFonts w:ascii="Arial" w:hAnsi="Arial" w:cs="Arial"/>
                      <w:sz w:val="22"/>
                      <w:szCs w:val="22"/>
                      <w:lang w:val="en-GB"/>
                    </w:rPr>
                    <w:t xml:space="preserve">products issued in relation to implementation of the new registration and reporting platform </w:t>
                  </w:r>
                  <w:r>
                    <w:rPr>
                      <w:rFonts w:ascii="Arial" w:hAnsi="Arial" w:cs="Arial"/>
                      <w:sz w:val="22"/>
                      <w:szCs w:val="22"/>
                      <w:lang w:val="en-GB"/>
                    </w:rPr>
                    <w:t>which</w:t>
                  </w:r>
                  <w:r w:rsidR="001C2DA8">
                    <w:rPr>
                      <w:rFonts w:ascii="Arial" w:hAnsi="Arial" w:cs="Arial"/>
                      <w:sz w:val="22"/>
                      <w:szCs w:val="22"/>
                      <w:lang w:val="en-GB"/>
                    </w:rPr>
                    <w:t xml:space="preserve"> can</w:t>
                  </w:r>
                  <w:r>
                    <w:rPr>
                      <w:rFonts w:ascii="Arial" w:hAnsi="Arial" w:cs="Arial"/>
                      <w:sz w:val="22"/>
                      <w:szCs w:val="22"/>
                      <w:lang w:val="en-GB"/>
                    </w:rPr>
                    <w:t xml:space="preserve"> </w:t>
                  </w:r>
                  <w:r w:rsidRPr="00C76650">
                    <w:rPr>
                      <w:rFonts w:ascii="Arial" w:hAnsi="Arial" w:cs="Arial"/>
                      <w:sz w:val="22"/>
                      <w:szCs w:val="22"/>
                      <w:lang w:val="en-GB"/>
                    </w:rPr>
                    <w:t xml:space="preserve">be downloaded on the IRBA website at </w:t>
                  </w:r>
                  <w:hyperlink r:id="rId5" w:history="1">
                    <w:r w:rsidR="0045450C" w:rsidRPr="00DB2E58">
                      <w:rPr>
                        <w:rStyle w:val="Hyperlink"/>
                        <w:rFonts w:ascii="Arial" w:hAnsi="Arial" w:cs="Arial"/>
                        <w:sz w:val="22"/>
                        <w:szCs w:val="22"/>
                        <w:lang w:val="en-GB"/>
                      </w:rPr>
                      <w:t>www.irba.co.za</w:t>
                    </w:r>
                  </w:hyperlink>
                  <w:r w:rsidR="00DB2E58">
                    <w:rPr>
                      <w:rFonts w:ascii="Arial" w:hAnsi="Arial" w:cs="Arial"/>
                      <w:sz w:val="22"/>
                      <w:szCs w:val="22"/>
                      <w:lang w:val="en-GB"/>
                    </w:rPr>
                    <w:t>.</w:t>
                  </w:r>
                </w:p>
                <w:p w:rsidR="0045450C" w:rsidRPr="00C76650" w:rsidRDefault="0045450C" w:rsidP="00596500">
                  <w:pPr>
                    <w:ind w:right="159"/>
                    <w:jc w:val="both"/>
                    <w:rPr>
                      <w:rFonts w:ascii="Arial" w:hAnsi="Arial" w:cs="Arial"/>
                      <w:sz w:val="22"/>
                      <w:szCs w:val="22"/>
                      <w:lang w:val="en-GB"/>
                    </w:rPr>
                  </w:pPr>
                </w:p>
                <w:p w:rsidR="00596500" w:rsidRPr="00470975" w:rsidRDefault="0045450C" w:rsidP="0045450C">
                  <w:pPr>
                    <w:jc w:val="both"/>
                    <w:rPr>
                      <w:rFonts w:ascii="Arial" w:hAnsi="Arial" w:cs="Arial"/>
                      <w:sz w:val="22"/>
                      <w:szCs w:val="22"/>
                      <w:lang w:val="en-GB"/>
                    </w:rPr>
                  </w:pPr>
                  <w:r>
                    <w:rPr>
                      <w:rFonts w:ascii="Arial" w:hAnsi="Arial" w:cs="Arial"/>
                      <w:sz w:val="22"/>
                      <w:szCs w:val="22"/>
                      <w:lang w:val="en-GB"/>
                    </w:rPr>
                    <w:t xml:space="preserve"> </w:t>
                  </w:r>
                </w:p>
                <w:p w:rsidR="00596500" w:rsidRDefault="00596500" w:rsidP="000F770F">
                  <w:pPr>
                    <w:rPr>
                      <w:rFonts w:ascii="Arial" w:hAnsi="Arial" w:cs="Arial"/>
                      <w:b/>
                      <w:sz w:val="20"/>
                      <w:szCs w:val="20"/>
                      <w:lang w:val="en-GB"/>
                    </w:rPr>
                  </w:pPr>
                  <w:r>
                    <w:rPr>
                      <w:rFonts w:ascii="Arial" w:hAnsi="Arial" w:cs="Arial"/>
                      <w:b/>
                      <w:sz w:val="20"/>
                      <w:szCs w:val="20"/>
                      <w:lang w:val="en-GB"/>
                    </w:rPr>
                    <w:t xml:space="preserve">Jane O’Connor </w:t>
                  </w:r>
                </w:p>
                <w:p w:rsidR="00596500" w:rsidRPr="004975BB" w:rsidRDefault="00596500" w:rsidP="000F770F">
                  <w:pPr>
                    <w:rPr>
                      <w:rFonts w:ascii="Arial" w:hAnsi="Arial" w:cs="Arial"/>
                      <w:b/>
                      <w:sz w:val="20"/>
                      <w:szCs w:val="20"/>
                      <w:lang w:val="en-GB"/>
                    </w:rPr>
                  </w:pPr>
                  <w:r>
                    <w:rPr>
                      <w:rFonts w:ascii="Arial" w:hAnsi="Arial" w:cs="Arial"/>
                      <w:b/>
                      <w:sz w:val="20"/>
                      <w:szCs w:val="20"/>
                      <w:lang w:val="en-GB"/>
                    </w:rPr>
                    <w:t xml:space="preserve">Director: Legal </w:t>
                  </w:r>
                </w:p>
                <w:p w:rsidR="00596500" w:rsidRPr="00BD58FB" w:rsidRDefault="00596500" w:rsidP="000F770F">
                  <w:pPr>
                    <w:ind w:right="235"/>
                    <w:jc w:val="both"/>
                    <w:rPr>
                      <w:rFonts w:ascii="Arial" w:hAnsi="Arial" w:cs="Arial"/>
                      <w:sz w:val="22"/>
                      <w:szCs w:val="22"/>
                      <w:lang w:val="en-GB"/>
                    </w:rPr>
                  </w:pPr>
                </w:p>
              </w:tc>
            </w:tr>
          </w:tbl>
          <w:p w:rsidR="00596500" w:rsidRDefault="00596500" w:rsidP="000F770F">
            <w:pPr>
              <w:ind w:left="112" w:right="230"/>
              <w:jc w:val="both"/>
              <w:rPr>
                <w:rFonts w:ascii="Arial" w:hAnsi="Arial" w:cs="Arial"/>
                <w:b/>
                <w:bCs/>
                <w:i/>
                <w:iCs/>
                <w:sz w:val="18"/>
                <w:szCs w:val="18"/>
                <w:lang w:val="en-GB"/>
              </w:rPr>
            </w:pPr>
          </w:p>
          <w:p w:rsidR="00596500" w:rsidRPr="00470975" w:rsidRDefault="00596500" w:rsidP="000F770F">
            <w:pPr>
              <w:ind w:left="112"/>
              <w:jc w:val="both"/>
              <w:rPr>
                <w:rFonts w:ascii="Arial" w:hAnsi="Arial" w:cs="Arial"/>
                <w:b/>
                <w:bCs/>
                <w:i/>
                <w:iCs/>
                <w:sz w:val="18"/>
                <w:szCs w:val="18"/>
                <w:lang w:val="en-GB"/>
              </w:rPr>
            </w:pPr>
            <w:r w:rsidRPr="00470975">
              <w:rPr>
                <w:rFonts w:ascii="Arial" w:hAnsi="Arial" w:cs="Arial"/>
                <w:b/>
                <w:bCs/>
                <w:i/>
                <w:iCs/>
                <w:sz w:val="18"/>
                <w:szCs w:val="18"/>
                <w:lang w:val="en-GB"/>
              </w:rPr>
              <w:t>About the IRBA</w:t>
            </w:r>
          </w:p>
          <w:p w:rsidR="00596500" w:rsidRPr="00CA3401" w:rsidRDefault="00596500" w:rsidP="000F770F">
            <w:pPr>
              <w:ind w:left="112" w:right="230"/>
              <w:jc w:val="both"/>
              <w:rPr>
                <w:sz w:val="18"/>
                <w:szCs w:val="18"/>
              </w:rPr>
            </w:pPr>
          </w:p>
          <w:p w:rsidR="00596500" w:rsidRPr="004F2841" w:rsidRDefault="00596500" w:rsidP="000F770F">
            <w:pPr>
              <w:ind w:left="112" w:right="230"/>
              <w:jc w:val="both"/>
              <w:rPr>
                <w:rFonts w:ascii="Arial" w:hAnsi="Arial" w:cs="Arial"/>
                <w:i/>
                <w:iCs/>
                <w:sz w:val="18"/>
                <w:szCs w:val="18"/>
                <w:lang w:val="en-GB"/>
              </w:rPr>
            </w:pPr>
            <w:r w:rsidRPr="00CA3401">
              <w:rPr>
                <w:rFonts w:ascii="Arial" w:hAnsi="Arial" w:cs="Arial"/>
                <w:i/>
                <w:iCs/>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tc>
      </w:tr>
    </w:tbl>
    <w:p w:rsidR="00596500" w:rsidRDefault="00596500" w:rsidP="00596500">
      <w:pPr>
        <w:jc w:val="both"/>
        <w:rPr>
          <w:rFonts w:ascii="Arial" w:hAnsi="Arial" w:cs="Arial"/>
        </w:rPr>
      </w:pPr>
    </w:p>
    <w:p w:rsidR="00097491" w:rsidRDefault="00097491"/>
    <w:sectPr w:rsidR="00097491"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00"/>
    <w:rsid w:val="00097491"/>
    <w:rsid w:val="00106835"/>
    <w:rsid w:val="001C2DA8"/>
    <w:rsid w:val="0045450C"/>
    <w:rsid w:val="00596500"/>
    <w:rsid w:val="007803EE"/>
    <w:rsid w:val="009750AD"/>
    <w:rsid w:val="009770C5"/>
    <w:rsid w:val="00A1638E"/>
    <w:rsid w:val="00DB2E58"/>
    <w:rsid w:val="00FD5F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6500"/>
    <w:rPr>
      <w:strike w:val="0"/>
      <w:dstrike w:val="0"/>
      <w:color w:val="BD392D"/>
      <w:u w:val="single"/>
      <w:effect w:val="none"/>
    </w:rPr>
  </w:style>
  <w:style w:type="character" w:styleId="FollowedHyperlink">
    <w:name w:val="FollowedHyperlink"/>
    <w:basedOn w:val="DefaultParagraphFont"/>
    <w:uiPriority w:val="99"/>
    <w:semiHidden/>
    <w:unhideWhenUsed/>
    <w:rsid w:val="00DB2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ba.co.za/index.php/legal-functions-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Lebogang Manganye</cp:lastModifiedBy>
  <cp:revision>2</cp:revision>
  <cp:lastPrinted>2016-04-26T08:04:00Z</cp:lastPrinted>
  <dcterms:created xsi:type="dcterms:W3CDTF">2016-05-10T14:45:00Z</dcterms:created>
  <dcterms:modified xsi:type="dcterms:W3CDTF">2016-05-10T14:45:00Z</dcterms:modified>
</cp:coreProperties>
</file>