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001DE8" w:rsidRPr="00AB430E" w:rsidTr="00106E52">
        <w:trPr>
          <w:trHeight w:val="1747"/>
          <w:tblCellSpacing w:w="15" w:type="dxa"/>
        </w:trPr>
        <w:tc>
          <w:tcPr>
            <w:tcW w:w="9580" w:type="dxa"/>
          </w:tcPr>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001DE8" w:rsidRPr="00BD58FB" w:rsidTr="00106E52">
              <w:trPr>
                <w:trHeight w:val="1747"/>
                <w:tblCellSpacing w:w="15" w:type="dxa"/>
              </w:trPr>
              <w:tc>
                <w:tcPr>
                  <w:tcW w:w="9579" w:type="dxa"/>
                </w:tcPr>
                <w:p w:rsidR="00001DE8" w:rsidRDefault="00001DE8" w:rsidP="00106E52">
                  <w:pPr>
                    <w:pBdr>
                      <w:top w:val="single" w:sz="4" w:space="1" w:color="auto"/>
                      <w:bottom w:val="single" w:sz="4" w:space="1" w:color="auto"/>
                    </w:pBdr>
                    <w:spacing w:before="120" w:after="120" w:line="312" w:lineRule="atLeast"/>
                    <w:jc w:val="center"/>
                    <w:rPr>
                      <w:rFonts w:ascii="Arial" w:hAnsi="Arial" w:cs="Arial"/>
                      <w:b/>
                      <w:bCs/>
                      <w:color w:val="CC0000"/>
                      <w:lang w:val="en-GB"/>
                    </w:rPr>
                  </w:pPr>
                  <w:bookmarkStart w:id="0" w:name="_GoBack"/>
                  <w:bookmarkEnd w:id="0"/>
                  <w:r w:rsidRPr="0096139B">
                    <w:rPr>
                      <w:rFonts w:ascii="Arial" w:hAnsi="Arial" w:cs="Arial"/>
                      <w:b/>
                      <w:bCs/>
                      <w:color w:val="CC0000"/>
                      <w:lang w:val="en-GB"/>
                    </w:rPr>
                    <w:t>INDEPENDENT REGULATORY BOARD FOR AUDITORS</w:t>
                  </w:r>
                </w:p>
                <w:p w:rsidR="00001DE8" w:rsidRPr="0096139B" w:rsidRDefault="00001DE8" w:rsidP="00106E52">
                  <w:pPr>
                    <w:pBdr>
                      <w:top w:val="single" w:sz="4" w:space="1" w:color="auto"/>
                      <w:bottom w:val="single" w:sz="4" w:space="1" w:color="auto"/>
                    </w:pBdr>
                    <w:spacing w:before="120" w:after="120" w:line="312" w:lineRule="atLeast"/>
                    <w:jc w:val="center"/>
                    <w:rPr>
                      <w:rFonts w:ascii="Arial" w:hAnsi="Arial" w:cs="Arial"/>
                      <w:b/>
                      <w:bCs/>
                      <w:color w:val="CC0000"/>
                      <w:lang w:val="en-GB"/>
                    </w:rPr>
                  </w:pPr>
                </w:p>
                <w:p w:rsidR="00001DE8" w:rsidRPr="0015143C" w:rsidRDefault="00001DE8" w:rsidP="00106E52">
                  <w:pPr>
                    <w:ind w:right="539"/>
                    <w:rPr>
                      <w:rFonts w:ascii="Arial" w:eastAsia="Calibri" w:hAnsi="Arial" w:cs="Arial"/>
                      <w:b/>
                      <w:bCs/>
                      <w:sz w:val="22"/>
                      <w:szCs w:val="22"/>
                    </w:rPr>
                  </w:pPr>
                  <w:bookmarkStart w:id="1" w:name="Text2"/>
                  <w:bookmarkEnd w:id="1"/>
                </w:p>
                <w:p w:rsidR="00575642" w:rsidRDefault="00001DE8" w:rsidP="00106E52">
                  <w:pPr>
                    <w:ind w:left="112" w:right="539"/>
                    <w:jc w:val="center"/>
                    <w:rPr>
                      <w:rFonts w:ascii="Arial" w:eastAsia="Calibri" w:hAnsi="Arial" w:cs="Arial"/>
                      <w:b/>
                      <w:bCs/>
                      <w:sz w:val="22"/>
                      <w:szCs w:val="22"/>
                      <w:lang w:val="en-ZA"/>
                    </w:rPr>
                  </w:pPr>
                  <w:r w:rsidRPr="0015143C">
                    <w:rPr>
                      <w:rFonts w:ascii="Arial" w:eastAsia="Calibri" w:hAnsi="Arial" w:cs="Arial"/>
                      <w:b/>
                      <w:bCs/>
                      <w:sz w:val="22"/>
                      <w:szCs w:val="22"/>
                    </w:rPr>
                    <w:t xml:space="preserve">Updated </w:t>
                  </w:r>
                  <w:r w:rsidRPr="0015143C">
                    <w:rPr>
                      <w:rFonts w:ascii="Arial" w:eastAsia="Calibri" w:hAnsi="Arial" w:cs="Arial"/>
                      <w:b/>
                      <w:bCs/>
                      <w:sz w:val="22"/>
                      <w:szCs w:val="22"/>
                      <w:lang w:val="en-ZA"/>
                    </w:rPr>
                    <w:t xml:space="preserve">Guidance on the </w:t>
                  </w:r>
                  <w:r w:rsidR="00575642">
                    <w:rPr>
                      <w:rFonts w:ascii="Arial" w:eastAsia="Calibri" w:hAnsi="Arial" w:cs="Arial"/>
                      <w:b/>
                      <w:bCs/>
                      <w:sz w:val="22"/>
                      <w:szCs w:val="22"/>
                      <w:lang w:val="en-ZA"/>
                    </w:rPr>
                    <w:t xml:space="preserve">provision of the non-audit services </w:t>
                  </w:r>
                </w:p>
                <w:p w:rsidR="00001DE8" w:rsidRPr="0015143C" w:rsidRDefault="00575642" w:rsidP="00106E52">
                  <w:pPr>
                    <w:ind w:left="112" w:right="539"/>
                    <w:jc w:val="center"/>
                    <w:rPr>
                      <w:rFonts w:ascii="Arial" w:eastAsia="Calibri" w:hAnsi="Arial" w:cs="Arial"/>
                      <w:b/>
                      <w:bCs/>
                      <w:sz w:val="22"/>
                      <w:szCs w:val="22"/>
                      <w:lang w:val="en-ZA"/>
                    </w:rPr>
                  </w:pPr>
                  <w:r>
                    <w:rPr>
                      <w:rFonts w:ascii="Arial" w:eastAsia="Calibri" w:hAnsi="Arial" w:cs="Arial"/>
                      <w:b/>
                      <w:bCs/>
                      <w:sz w:val="22"/>
                      <w:szCs w:val="22"/>
                      <w:lang w:val="en-ZA"/>
                    </w:rPr>
                    <w:t>by the auditor of a company</w:t>
                  </w:r>
                </w:p>
                <w:p w:rsidR="00001DE8" w:rsidRPr="0015143C" w:rsidRDefault="00001DE8" w:rsidP="00106E52">
                  <w:pPr>
                    <w:ind w:right="539"/>
                    <w:jc w:val="center"/>
                    <w:rPr>
                      <w:rFonts w:ascii="Arial" w:eastAsia="Calibri" w:hAnsi="Arial" w:cs="Arial"/>
                      <w:b/>
                      <w:bCs/>
                      <w:sz w:val="22"/>
                      <w:szCs w:val="22"/>
                    </w:rPr>
                  </w:pPr>
                  <w:r w:rsidRPr="0015143C">
                    <w:rPr>
                      <w:rFonts w:ascii="Arial" w:eastAsia="Calibri" w:hAnsi="Arial" w:cs="Arial"/>
                      <w:b/>
                      <w:bCs/>
                      <w:sz w:val="22"/>
                      <w:szCs w:val="22"/>
                      <w:lang w:val="en-ZA"/>
                    </w:rPr>
                    <w:t>(Section 90 of the Companies Act, 2008)</w:t>
                  </w:r>
                </w:p>
                <w:p w:rsidR="00001DE8" w:rsidRPr="0015143C" w:rsidRDefault="00001DE8" w:rsidP="00106E52">
                  <w:pPr>
                    <w:ind w:right="140"/>
                    <w:rPr>
                      <w:rFonts w:eastAsia="Calibri"/>
                    </w:rPr>
                  </w:pPr>
                </w:p>
                <w:p w:rsidR="00001DE8" w:rsidRPr="0015143C" w:rsidRDefault="00001DE8" w:rsidP="00106E52">
                  <w:pPr>
                    <w:ind w:left="142" w:right="140"/>
                    <w:jc w:val="center"/>
                    <w:rPr>
                      <w:rFonts w:eastAsia="Calibri"/>
                      <w:lang w:val="en-ZA"/>
                    </w:rPr>
                  </w:pPr>
                  <w:r w:rsidRPr="0015143C">
                    <w:rPr>
                      <w:rFonts w:ascii="Arial" w:eastAsia="Calibri" w:hAnsi="Arial" w:cs="Arial"/>
                      <w:color w:val="000000"/>
                      <w:sz w:val="22"/>
                      <w:szCs w:val="22"/>
                      <w:lang w:val="en-GB"/>
                    </w:rPr>
                    <w:t xml:space="preserve">Johannesburg / </w:t>
                  </w:r>
                  <w:r>
                    <w:rPr>
                      <w:rFonts w:ascii="Arial" w:eastAsia="Calibri" w:hAnsi="Arial" w:cs="Arial"/>
                      <w:color w:val="000000"/>
                      <w:sz w:val="22"/>
                      <w:szCs w:val="22"/>
                      <w:lang w:val="en-GB"/>
                    </w:rPr>
                    <w:t>17</w:t>
                  </w:r>
                  <w:r w:rsidRPr="0015143C">
                    <w:rPr>
                      <w:rFonts w:ascii="Arial" w:eastAsia="Calibri" w:hAnsi="Arial" w:cs="Arial"/>
                      <w:color w:val="000000"/>
                      <w:sz w:val="22"/>
                      <w:szCs w:val="22"/>
                      <w:lang w:val="en-GB"/>
                    </w:rPr>
                    <w:t xml:space="preserve"> March 2015</w:t>
                  </w:r>
                </w:p>
                <w:p w:rsidR="00001DE8" w:rsidRPr="0015143C" w:rsidRDefault="00001DE8" w:rsidP="00106E52">
                  <w:pPr>
                    <w:jc w:val="center"/>
                    <w:rPr>
                      <w:rFonts w:eastAsia="Calibri"/>
                      <w:lang w:val="en-ZA"/>
                    </w:rPr>
                  </w:pPr>
                </w:p>
                <w:p w:rsidR="00001DE8" w:rsidRPr="0015143C" w:rsidRDefault="00001DE8" w:rsidP="00106E52">
                  <w:pPr>
                    <w:ind w:right="537"/>
                    <w:jc w:val="both"/>
                    <w:rPr>
                      <w:rFonts w:ascii="Arial" w:eastAsia="Calibri" w:hAnsi="Arial" w:cs="Arial"/>
                      <w:color w:val="000000"/>
                      <w:sz w:val="20"/>
                      <w:szCs w:val="20"/>
                    </w:rPr>
                  </w:pPr>
                </w:p>
                <w:p w:rsidR="00001DE8" w:rsidRPr="0015143C" w:rsidRDefault="00001DE8" w:rsidP="00106E52">
                  <w:pPr>
                    <w:ind w:right="537"/>
                    <w:jc w:val="both"/>
                    <w:rPr>
                      <w:rFonts w:ascii="Arial" w:eastAsia="Calibri" w:hAnsi="Arial" w:cs="Arial"/>
                      <w:color w:val="000000"/>
                      <w:sz w:val="20"/>
                      <w:szCs w:val="20"/>
                    </w:rPr>
                  </w:pPr>
                  <w:r w:rsidRPr="0015143C">
                    <w:rPr>
                      <w:rFonts w:ascii="Arial" w:eastAsia="Calibri" w:hAnsi="Arial" w:cs="Arial"/>
                      <w:color w:val="000000"/>
                      <w:sz w:val="20"/>
                      <w:szCs w:val="20"/>
                    </w:rPr>
                    <w:t>The IRBA and SAICA developed and issued joint guidance on Section 90(2) during May 2013. To further supplement the guidance issued, the IRBA and SAICA subsequently made available frequently asked questions.</w:t>
                  </w:r>
                </w:p>
                <w:p w:rsidR="00001DE8" w:rsidRPr="0015143C" w:rsidRDefault="00001DE8" w:rsidP="00106E52">
                  <w:pPr>
                    <w:ind w:right="537"/>
                    <w:jc w:val="both"/>
                    <w:rPr>
                      <w:rFonts w:ascii="Arial" w:eastAsia="Calibri" w:hAnsi="Arial" w:cs="Arial"/>
                      <w:color w:val="000000"/>
                      <w:sz w:val="20"/>
                      <w:szCs w:val="20"/>
                    </w:rPr>
                  </w:pPr>
                </w:p>
                <w:p w:rsidR="00001DE8" w:rsidRPr="0015143C" w:rsidRDefault="00001DE8" w:rsidP="00106E52">
                  <w:pPr>
                    <w:ind w:right="537"/>
                    <w:jc w:val="both"/>
                    <w:rPr>
                      <w:rFonts w:ascii="Arial" w:eastAsia="Calibri" w:hAnsi="Arial" w:cs="Arial"/>
                      <w:color w:val="000000"/>
                      <w:sz w:val="20"/>
                      <w:szCs w:val="20"/>
                    </w:rPr>
                  </w:pPr>
                  <w:r w:rsidRPr="0015143C">
                    <w:rPr>
                      <w:rFonts w:ascii="Arial" w:eastAsia="Calibri" w:hAnsi="Arial" w:cs="Arial"/>
                      <w:color w:val="000000"/>
                      <w:sz w:val="20"/>
                      <w:szCs w:val="20"/>
                    </w:rPr>
                    <w:t xml:space="preserve">During July 2014 IRBA and SAICA requested </w:t>
                  </w:r>
                  <w:r>
                    <w:rPr>
                      <w:rFonts w:ascii="Arial" w:eastAsia="Calibri" w:hAnsi="Arial" w:cs="Arial"/>
                      <w:color w:val="000000"/>
                      <w:sz w:val="20"/>
                      <w:szCs w:val="20"/>
                    </w:rPr>
                    <w:t xml:space="preserve">Registered Auditors and SAICA </w:t>
                  </w:r>
                  <w:r w:rsidRPr="0015143C">
                    <w:rPr>
                      <w:rFonts w:ascii="Arial" w:eastAsia="Calibri" w:hAnsi="Arial" w:cs="Arial"/>
                      <w:color w:val="000000"/>
                      <w:sz w:val="20"/>
                      <w:szCs w:val="20"/>
                    </w:rPr>
                    <w:t xml:space="preserve">members to submit additional comments and requests based on the guide and frequently asked questions. Comments were received from members and the drafting team considered all comments and suggestions and has updated the documents. </w:t>
                  </w:r>
                </w:p>
                <w:p w:rsidR="00001DE8" w:rsidRPr="0015143C" w:rsidRDefault="00001DE8" w:rsidP="00106E52">
                  <w:pPr>
                    <w:ind w:left="112" w:right="537"/>
                    <w:jc w:val="both"/>
                    <w:rPr>
                      <w:rFonts w:ascii="Arial" w:eastAsia="Calibri" w:hAnsi="Arial" w:cs="Arial"/>
                      <w:color w:val="000000"/>
                      <w:sz w:val="20"/>
                      <w:szCs w:val="20"/>
                    </w:rPr>
                  </w:pPr>
                </w:p>
                <w:p w:rsidR="00001DE8" w:rsidRPr="0015143C" w:rsidRDefault="00001DE8" w:rsidP="00106E52">
                  <w:pPr>
                    <w:ind w:right="537"/>
                    <w:jc w:val="both"/>
                    <w:rPr>
                      <w:rFonts w:ascii="Arial" w:eastAsia="Calibri" w:hAnsi="Arial" w:cs="Arial"/>
                      <w:color w:val="000000"/>
                      <w:sz w:val="20"/>
                      <w:szCs w:val="20"/>
                    </w:rPr>
                  </w:pPr>
                  <w:r w:rsidRPr="0015143C">
                    <w:rPr>
                      <w:rFonts w:ascii="Arial" w:eastAsia="Calibri" w:hAnsi="Arial" w:cs="Arial"/>
                      <w:color w:val="000000"/>
                      <w:sz w:val="20"/>
                      <w:szCs w:val="20"/>
                    </w:rPr>
                    <w:t xml:space="preserve">The IRBA and SAICA have updated the guidance and frequently asked questions based on questions of additional guidance requested from auditors. The guidance and frequently asked questions have been combined into one document for ease of reference with an issue date of </w:t>
                  </w:r>
                  <w:r w:rsidR="00E53412">
                    <w:rPr>
                      <w:rFonts w:ascii="Arial" w:eastAsia="Calibri" w:hAnsi="Arial" w:cs="Arial"/>
                      <w:color w:val="000000"/>
                      <w:sz w:val="20"/>
                      <w:szCs w:val="20"/>
                    </w:rPr>
                    <w:t>17</w:t>
                  </w:r>
                  <w:r w:rsidRPr="0015143C">
                    <w:rPr>
                      <w:rFonts w:ascii="Arial" w:eastAsia="Calibri" w:hAnsi="Arial" w:cs="Arial"/>
                      <w:color w:val="000000"/>
                      <w:sz w:val="20"/>
                      <w:szCs w:val="20"/>
                    </w:rPr>
                    <w:t xml:space="preserve"> March 2015. </w:t>
                  </w:r>
                  <w:r w:rsidR="008F1EC1">
                    <w:rPr>
                      <w:rFonts w:ascii="Arial" w:eastAsia="Calibri" w:hAnsi="Arial" w:cs="Arial"/>
                      <w:color w:val="000000"/>
                      <w:sz w:val="20"/>
                      <w:szCs w:val="20"/>
                    </w:rPr>
                    <w:t xml:space="preserve">The Guide is available on the IRBA website at </w:t>
                  </w:r>
                  <w:hyperlink r:id="rId5" w:history="1">
                    <w:r w:rsidR="008F1EC1">
                      <w:rPr>
                        <w:rStyle w:val="Hyperlink"/>
                        <w:rFonts w:ascii="Arial" w:eastAsia="Calibri" w:hAnsi="Arial" w:cs="Arial"/>
                        <w:sz w:val="20"/>
                        <w:szCs w:val="20"/>
                      </w:rPr>
                      <w:t>www.irba.co.za</w:t>
                    </w:r>
                  </w:hyperlink>
                </w:p>
                <w:p w:rsidR="00001DE8" w:rsidRPr="0015143C" w:rsidRDefault="00001DE8" w:rsidP="00106E52">
                  <w:pPr>
                    <w:ind w:left="112" w:right="537"/>
                    <w:jc w:val="both"/>
                    <w:rPr>
                      <w:rFonts w:ascii="Arial" w:eastAsia="Calibri" w:hAnsi="Arial" w:cs="Arial"/>
                      <w:color w:val="000000"/>
                      <w:sz w:val="20"/>
                      <w:szCs w:val="20"/>
                    </w:rPr>
                  </w:pPr>
                </w:p>
                <w:p w:rsidR="00001DE8" w:rsidRPr="0015143C" w:rsidRDefault="00001DE8" w:rsidP="00106E52">
                  <w:pPr>
                    <w:ind w:right="537"/>
                    <w:jc w:val="both"/>
                    <w:rPr>
                      <w:rFonts w:ascii="Arial" w:eastAsia="Calibri" w:hAnsi="Arial" w:cs="Arial"/>
                      <w:color w:val="000000"/>
                      <w:sz w:val="20"/>
                      <w:szCs w:val="20"/>
                    </w:rPr>
                  </w:pPr>
                  <w:r w:rsidRPr="0015143C">
                    <w:rPr>
                      <w:rFonts w:ascii="Arial" w:eastAsia="Calibri" w:hAnsi="Arial" w:cs="Arial"/>
                      <w:color w:val="000000"/>
                      <w:sz w:val="20"/>
                      <w:szCs w:val="20"/>
                    </w:rPr>
                    <w:t xml:space="preserve">We encourage </w:t>
                  </w:r>
                  <w:r>
                    <w:rPr>
                      <w:rFonts w:ascii="Arial" w:eastAsia="Calibri" w:hAnsi="Arial" w:cs="Arial"/>
                      <w:color w:val="000000"/>
                      <w:sz w:val="20"/>
                      <w:szCs w:val="20"/>
                    </w:rPr>
                    <w:t xml:space="preserve">registered </w:t>
                  </w:r>
                  <w:r w:rsidRPr="0015143C">
                    <w:rPr>
                      <w:rFonts w:ascii="Arial" w:eastAsia="Calibri" w:hAnsi="Arial" w:cs="Arial"/>
                      <w:color w:val="000000"/>
                      <w:sz w:val="20"/>
                      <w:szCs w:val="20"/>
                    </w:rPr>
                    <w:t>auditors to</w:t>
                  </w:r>
                  <w:r w:rsidRPr="0015143C">
                    <w:rPr>
                      <w:rFonts w:ascii="Arial" w:eastAsia="Calibri" w:hAnsi="Arial" w:cs="Arial"/>
                      <w:color w:val="000000"/>
                      <w:sz w:val="20"/>
                      <w:szCs w:val="20"/>
                      <w:lang w:val="en-ZA"/>
                    </w:rPr>
                    <w:t xml:space="preserve"> familiarise</w:t>
                  </w:r>
                  <w:r w:rsidRPr="0015143C">
                    <w:rPr>
                      <w:rFonts w:ascii="Arial" w:eastAsia="Calibri" w:hAnsi="Arial" w:cs="Arial"/>
                      <w:color w:val="000000"/>
                      <w:sz w:val="20"/>
                      <w:szCs w:val="20"/>
                    </w:rPr>
                    <w:t xml:space="preserve"> themselves with the updated guidance and frequently asked questions.</w:t>
                  </w:r>
                </w:p>
                <w:p w:rsidR="00001DE8" w:rsidRPr="0015143C" w:rsidRDefault="00001DE8" w:rsidP="00106E52">
                  <w:pPr>
                    <w:ind w:left="112" w:right="537"/>
                    <w:jc w:val="both"/>
                    <w:rPr>
                      <w:rFonts w:ascii="Arial" w:eastAsia="Calibri" w:hAnsi="Arial" w:cs="Arial"/>
                      <w:color w:val="000000"/>
                      <w:sz w:val="20"/>
                      <w:szCs w:val="20"/>
                    </w:rPr>
                  </w:pPr>
                </w:p>
                <w:p w:rsidR="00001DE8" w:rsidRPr="0015143C" w:rsidRDefault="00001DE8" w:rsidP="00106E52">
                  <w:pPr>
                    <w:ind w:right="537"/>
                    <w:jc w:val="both"/>
                    <w:rPr>
                      <w:rFonts w:ascii="Arial" w:eastAsia="Calibri" w:hAnsi="Arial" w:cs="Arial"/>
                      <w:color w:val="000000"/>
                      <w:sz w:val="20"/>
                      <w:szCs w:val="20"/>
                    </w:rPr>
                  </w:pPr>
                  <w:r w:rsidRPr="0015143C">
                    <w:rPr>
                      <w:rFonts w:ascii="Arial" w:eastAsia="Calibri" w:hAnsi="Arial" w:cs="Arial"/>
                      <w:color w:val="000000"/>
                      <w:sz w:val="20"/>
                      <w:szCs w:val="20"/>
                    </w:rPr>
                    <w:t>We will also share this document with other stakeholders. We are of the opinion that this guidance will not only be useful to auditors, but also to accountants, directors of companies, financial managers, chief financial officers, and audit committee members, as the guidance deals with information which is relevant and will be useful to all the parties involved in the appointment of auditors.</w:t>
                  </w:r>
                </w:p>
                <w:p w:rsidR="00001DE8" w:rsidRPr="0015143C" w:rsidRDefault="00001DE8" w:rsidP="00106E52">
                  <w:pPr>
                    <w:ind w:left="112" w:right="537"/>
                    <w:jc w:val="both"/>
                    <w:rPr>
                      <w:rFonts w:ascii="Arial" w:eastAsia="Calibri" w:hAnsi="Arial" w:cs="Arial"/>
                      <w:color w:val="000000"/>
                      <w:sz w:val="20"/>
                      <w:szCs w:val="20"/>
                    </w:rPr>
                  </w:pPr>
                </w:p>
                <w:p w:rsidR="00001DE8" w:rsidRDefault="00001DE8" w:rsidP="00106E52">
                  <w:pPr>
                    <w:rPr>
                      <w:rFonts w:ascii="Arial" w:hAnsi="Arial" w:cs="Arial"/>
                      <w:b/>
                      <w:sz w:val="20"/>
                      <w:szCs w:val="20"/>
                      <w:lang w:val="en-GB"/>
                    </w:rPr>
                  </w:pPr>
                </w:p>
                <w:p w:rsidR="00001DE8" w:rsidRDefault="00001DE8" w:rsidP="00106E52">
                  <w:pPr>
                    <w:ind w:left="112"/>
                    <w:rPr>
                      <w:rFonts w:ascii="Arial" w:hAnsi="Arial" w:cs="Arial"/>
                      <w:b/>
                      <w:sz w:val="20"/>
                      <w:szCs w:val="20"/>
                      <w:lang w:val="en-GB"/>
                    </w:rPr>
                  </w:pPr>
                </w:p>
                <w:p w:rsidR="00001DE8" w:rsidRDefault="00001DE8" w:rsidP="00106E52">
                  <w:pPr>
                    <w:rPr>
                      <w:rFonts w:ascii="Arial" w:hAnsi="Arial" w:cs="Arial"/>
                      <w:b/>
                      <w:sz w:val="20"/>
                      <w:szCs w:val="20"/>
                      <w:lang w:val="en-GB"/>
                    </w:rPr>
                  </w:pPr>
                  <w:r>
                    <w:rPr>
                      <w:rFonts w:ascii="Arial" w:hAnsi="Arial" w:cs="Arial"/>
                      <w:b/>
                      <w:sz w:val="20"/>
                      <w:szCs w:val="20"/>
                      <w:lang w:val="en-GB"/>
                    </w:rPr>
                    <w:t>Bernard Peter Agulhas</w:t>
                  </w:r>
                </w:p>
                <w:p w:rsidR="00001DE8" w:rsidRPr="004975BB" w:rsidRDefault="00001DE8" w:rsidP="00106E52">
                  <w:pPr>
                    <w:rPr>
                      <w:rFonts w:ascii="Arial" w:hAnsi="Arial" w:cs="Arial"/>
                      <w:b/>
                      <w:sz w:val="20"/>
                      <w:szCs w:val="20"/>
                      <w:lang w:val="en-GB"/>
                    </w:rPr>
                  </w:pPr>
                  <w:r>
                    <w:rPr>
                      <w:rFonts w:ascii="Arial" w:hAnsi="Arial" w:cs="Arial"/>
                      <w:b/>
                      <w:sz w:val="20"/>
                      <w:szCs w:val="20"/>
                      <w:lang w:val="en-GB"/>
                    </w:rPr>
                    <w:t>Chief Executive Officer</w:t>
                  </w:r>
                </w:p>
                <w:p w:rsidR="00001DE8" w:rsidRPr="00BD58FB" w:rsidRDefault="00001DE8" w:rsidP="00106E52">
                  <w:pPr>
                    <w:ind w:right="235"/>
                    <w:jc w:val="both"/>
                    <w:rPr>
                      <w:rFonts w:ascii="Arial" w:hAnsi="Arial" w:cs="Arial"/>
                      <w:sz w:val="22"/>
                      <w:szCs w:val="22"/>
                      <w:lang w:val="en-GB"/>
                    </w:rPr>
                  </w:pPr>
                </w:p>
              </w:tc>
            </w:tr>
          </w:tbl>
          <w:p w:rsidR="00001DE8" w:rsidRDefault="00001DE8" w:rsidP="00106E52">
            <w:pPr>
              <w:ind w:left="112" w:right="230"/>
              <w:jc w:val="both"/>
              <w:rPr>
                <w:rFonts w:ascii="Arial" w:hAnsi="Arial" w:cs="Arial"/>
                <w:b/>
                <w:bCs/>
                <w:i/>
                <w:iCs/>
                <w:sz w:val="18"/>
                <w:szCs w:val="18"/>
                <w:lang w:val="en-GB"/>
              </w:rPr>
            </w:pPr>
          </w:p>
          <w:p w:rsidR="00001DE8" w:rsidRPr="00470975" w:rsidRDefault="00001DE8" w:rsidP="00106E52">
            <w:pPr>
              <w:ind w:left="112"/>
              <w:jc w:val="both"/>
              <w:rPr>
                <w:rFonts w:ascii="Arial" w:hAnsi="Arial" w:cs="Arial"/>
                <w:b/>
                <w:bCs/>
                <w:i/>
                <w:iCs/>
                <w:sz w:val="18"/>
                <w:szCs w:val="18"/>
                <w:lang w:val="en-GB"/>
              </w:rPr>
            </w:pPr>
            <w:r w:rsidRPr="00470975">
              <w:rPr>
                <w:rFonts w:ascii="Arial" w:hAnsi="Arial" w:cs="Arial"/>
                <w:b/>
                <w:bCs/>
                <w:i/>
                <w:iCs/>
                <w:sz w:val="18"/>
                <w:szCs w:val="18"/>
                <w:lang w:val="en-GB"/>
              </w:rPr>
              <w:t>About the IRBA</w:t>
            </w:r>
          </w:p>
          <w:p w:rsidR="00001DE8" w:rsidRPr="00CA3401" w:rsidRDefault="00001DE8" w:rsidP="00106E52">
            <w:pPr>
              <w:ind w:left="112" w:right="230"/>
              <w:jc w:val="both"/>
              <w:rPr>
                <w:sz w:val="18"/>
                <w:szCs w:val="18"/>
              </w:rPr>
            </w:pPr>
          </w:p>
          <w:p w:rsidR="00001DE8" w:rsidRPr="004F2841" w:rsidRDefault="00001DE8" w:rsidP="00106E52">
            <w:pPr>
              <w:ind w:left="112" w:right="230"/>
              <w:jc w:val="both"/>
              <w:rPr>
                <w:rFonts w:ascii="Arial" w:hAnsi="Arial" w:cs="Arial"/>
                <w:i/>
                <w:iCs/>
                <w:sz w:val="18"/>
                <w:szCs w:val="18"/>
                <w:lang w:val="en-GB"/>
              </w:rPr>
            </w:pPr>
            <w:r w:rsidRPr="00CA3401">
              <w:rPr>
                <w:rFonts w:ascii="Arial" w:hAnsi="Arial" w:cs="Arial"/>
                <w:i/>
                <w:iCs/>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tc>
      </w:tr>
    </w:tbl>
    <w:p w:rsidR="00001DE8" w:rsidRDefault="00001DE8" w:rsidP="00001DE8">
      <w:pPr>
        <w:jc w:val="both"/>
        <w:rPr>
          <w:rFonts w:ascii="Arial" w:hAnsi="Arial" w:cs="Arial"/>
        </w:rPr>
      </w:pPr>
    </w:p>
    <w:p w:rsidR="00024D37" w:rsidRDefault="00024D37"/>
    <w:sectPr w:rsidR="00024D37" w:rsidSect="00106E5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E8"/>
    <w:rsid w:val="00001DE8"/>
    <w:rsid w:val="00024D37"/>
    <w:rsid w:val="00106E52"/>
    <w:rsid w:val="002B6441"/>
    <w:rsid w:val="00575642"/>
    <w:rsid w:val="006F63D2"/>
    <w:rsid w:val="008F1EC1"/>
    <w:rsid w:val="00B2281D"/>
    <w:rsid w:val="00BB2775"/>
    <w:rsid w:val="00D01400"/>
    <w:rsid w:val="00DB5954"/>
    <w:rsid w:val="00E534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E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EC1"/>
    <w:rPr>
      <w:color w:val="0000FF" w:themeColor="hyperlink"/>
      <w:u w:val="single"/>
    </w:rPr>
  </w:style>
  <w:style w:type="character" w:styleId="FollowedHyperlink">
    <w:name w:val="FollowedHyperlink"/>
    <w:basedOn w:val="DefaultParagraphFont"/>
    <w:uiPriority w:val="99"/>
    <w:semiHidden/>
    <w:unhideWhenUsed/>
    <w:rsid w:val="008F1E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DE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EC1"/>
    <w:rPr>
      <w:color w:val="0000FF" w:themeColor="hyperlink"/>
      <w:u w:val="single"/>
    </w:rPr>
  </w:style>
  <w:style w:type="character" w:styleId="FollowedHyperlink">
    <w:name w:val="FollowedHyperlink"/>
    <w:basedOn w:val="DefaultParagraphFont"/>
    <w:uiPriority w:val="99"/>
    <w:semiHidden/>
    <w:unhideWhenUsed/>
    <w:rsid w:val="008F1E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ba.co.za/dmdocuments/Section%2090%20guidance%20updated%20final%2017%20March%20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Pamela De Klerk</cp:lastModifiedBy>
  <cp:revision>2</cp:revision>
  <dcterms:created xsi:type="dcterms:W3CDTF">2015-09-10T07:42:00Z</dcterms:created>
  <dcterms:modified xsi:type="dcterms:W3CDTF">2015-09-10T07:42:00Z</dcterms:modified>
</cp:coreProperties>
</file>