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6"/>
      </w:tblGrid>
      <w:tr w:rsidR="004E2CD7" w:rsidTr="004E2CD7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4E2CD7" w:rsidRDefault="004E2CD7" w:rsidP="004E2CD7">
            <w:pPr>
              <w:pBdr>
                <w:top w:val="single" w:sz="4" w:space="1" w:color="auto"/>
                <w:bottom w:val="single" w:sz="4" w:space="1" w:color="auto"/>
              </w:pBd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r w:rsidRPr="00F76271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</w:p>
          <w:p w:rsidR="004E2CD7" w:rsidRPr="003C77DE" w:rsidRDefault="004E2CD7" w:rsidP="004E2CD7">
            <w:pPr>
              <w:pBdr>
                <w:top w:val="single" w:sz="4" w:space="1" w:color="auto"/>
                <w:bottom w:val="single" w:sz="4" w:space="1" w:color="auto"/>
              </w:pBd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F76271">
              <w:rPr>
                <w:rFonts w:ascii="Arial" w:hAnsi="Arial" w:cs="Arial"/>
                <w:b/>
                <w:bCs/>
                <w:color w:val="000000"/>
                <w:lang w:val="en-GB"/>
              </w:rPr>
              <w:t>C</w:t>
            </w:r>
            <w:r w:rsidR="002D08EC">
              <w:rPr>
                <w:rFonts w:ascii="Arial" w:hAnsi="Arial" w:cs="Arial"/>
                <w:b/>
                <w:bCs/>
                <w:color w:val="000000"/>
                <w:lang w:val="en-GB"/>
              </w:rPr>
              <w:t>OMMITTEE FOR AUDITING STANDARDS</w:t>
            </w:r>
          </w:p>
          <w:p w:rsidR="004E2CD7" w:rsidRDefault="004E2CD7">
            <w:pPr>
              <w:rPr>
                <w:rFonts w:ascii="Arial" w:hAnsi="Arial" w:cs="Arial"/>
              </w:rPr>
            </w:pPr>
          </w:p>
        </w:tc>
      </w:tr>
      <w:tr w:rsidR="004E2CD7" w:rsidTr="004E2CD7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4E2CD7" w:rsidRPr="005954A2" w:rsidRDefault="004E2CD7" w:rsidP="004E2C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T</w:t>
            </w:r>
            <w:r w:rsidRPr="00CE5165"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he International Auditing and Assurance Standards Board</w:t>
            </w:r>
            <w:r w:rsidR="002D08EC">
              <w:rPr>
                <w:rFonts w:ascii="Calibri" w:hAnsi="Calibri" w:cs="Arial"/>
                <w:b/>
                <w:bCs/>
                <w:iCs/>
                <w:sz w:val="22"/>
                <w:szCs w:val="22"/>
                <w:lang w:val="en-ZA"/>
              </w:rPr>
              <w:t>'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s</w:t>
            </w:r>
            <w:r w:rsidRPr="00CE5165"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(</w:t>
            </w:r>
            <w:r w:rsidRPr="004553FA"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IAASB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)</w:t>
            </w:r>
            <w:r w:rsidRPr="004553FA"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 xml:space="preserve"> Revised International Standards on Auditing (ISAs) – </w:t>
            </w:r>
            <w:r w:rsidRPr="005954A2"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ISA 800 (Revised), Special Considerations – Audits of Financial Statements Prepared in Accordance with Special Purpose Frameworks; and</w:t>
            </w:r>
          </w:p>
          <w:p w:rsidR="004E2CD7" w:rsidRPr="00CE1435" w:rsidRDefault="004E2CD7" w:rsidP="004E2CD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</w:pPr>
            <w:r w:rsidRPr="005954A2">
              <w:rPr>
                <w:rFonts w:ascii="Arial" w:hAnsi="Arial" w:cs="Arial"/>
                <w:b/>
                <w:bCs/>
                <w:iCs/>
                <w:sz w:val="22"/>
                <w:szCs w:val="22"/>
                <w:lang w:val="en-ZA"/>
              </w:rPr>
              <w:t>ISA 805 (Revised), Special Considerations – Audits of Single Financial Statements and Specific Elements, Accounts or Items of a Financial Statement</w:t>
            </w:r>
          </w:p>
          <w:p w:rsidR="004E2CD7" w:rsidRPr="00F76271" w:rsidRDefault="004E2CD7" w:rsidP="004E2C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Johannesburg / 15 April 2016</w:t>
            </w:r>
          </w:p>
          <w:p w:rsidR="004E2CD7" w:rsidRPr="00F76271" w:rsidRDefault="004E2CD7" w:rsidP="004E2CD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E2CD7" w:rsidRPr="004553FA" w:rsidRDefault="004E2CD7" w:rsidP="004E2CD7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The </w:t>
            </w: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Board 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of t</w:t>
            </w:r>
            <w:r w:rsidRPr="00CE5165">
              <w:rPr>
                <w:rFonts w:ascii="Arial" w:hAnsi="Arial" w:cs="Arial"/>
                <w:bCs/>
                <w:sz w:val="22"/>
                <w:szCs w:val="22"/>
                <w:lang w:val="en-ZA"/>
              </w:rPr>
              <w:t>he Independen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t Regulatory Board for Auditors</w:t>
            </w:r>
            <w:r w:rsidRPr="00CE5165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(IRBA)</w:t>
            </w: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approved the following Revised IAASB pronouncements for adopt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ion, issue and prescription by registered a</w:t>
            </w:r>
            <w:r w:rsidR="002D08EC">
              <w:rPr>
                <w:rFonts w:ascii="Arial" w:hAnsi="Arial" w:cs="Arial"/>
                <w:bCs/>
                <w:sz w:val="22"/>
                <w:szCs w:val="22"/>
                <w:lang w:val="en-ZA"/>
              </w:rPr>
              <w:t>uditors in South Africa:</w:t>
            </w:r>
          </w:p>
          <w:p w:rsidR="004E2CD7" w:rsidRPr="005954A2" w:rsidRDefault="004E2CD7" w:rsidP="004E2CD7">
            <w:pPr>
              <w:pStyle w:val="NormalWeb"/>
              <w:numPr>
                <w:ilvl w:val="0"/>
                <w:numId w:val="3"/>
              </w:numPr>
              <w:spacing w:after="120" w:afterAutospacing="0"/>
              <w:ind w:left="53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54A2">
              <w:rPr>
                <w:rFonts w:ascii="Arial" w:hAnsi="Arial" w:cs="Arial"/>
                <w:bCs/>
                <w:sz w:val="22"/>
                <w:szCs w:val="22"/>
              </w:rPr>
              <w:t xml:space="preserve">ISA 800 </w:t>
            </w:r>
            <w:r w:rsidRPr="00CE143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CE1435">
              <w:rPr>
                <w:rFonts w:ascii="Arial" w:hAnsi="Arial" w:cs="Arial"/>
                <w:bCs/>
                <w:sz w:val="22"/>
                <w:szCs w:val="22"/>
                <w:lang w:val="en-ZA"/>
              </w:rPr>
              <w:t>Revised</w:t>
            </w:r>
            <w:r w:rsidRPr="00CE143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5954A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CE1435">
              <w:rPr>
                <w:rFonts w:ascii="Arial" w:hAnsi="Arial" w:cs="Arial"/>
                <w:bCs/>
                <w:i/>
                <w:sz w:val="22"/>
                <w:szCs w:val="22"/>
              </w:rPr>
              <w:t>Special Considerations – Audits of Financial Statements Prepared in Accordance with Special Purpose Frameworks</w:t>
            </w:r>
            <w:r w:rsidR="002D08E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:rsidR="004E2CD7" w:rsidRPr="005954A2" w:rsidRDefault="004E2CD7" w:rsidP="004E2CD7">
            <w:pPr>
              <w:pStyle w:val="NormalWeb"/>
              <w:numPr>
                <w:ilvl w:val="0"/>
                <w:numId w:val="3"/>
              </w:numPr>
              <w:spacing w:after="120" w:afterAutospacing="0"/>
              <w:ind w:left="53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54A2">
              <w:rPr>
                <w:rFonts w:ascii="Arial" w:hAnsi="Arial" w:cs="Arial"/>
                <w:bCs/>
                <w:sz w:val="22"/>
                <w:szCs w:val="22"/>
              </w:rPr>
              <w:t xml:space="preserve">ISA 805 </w:t>
            </w:r>
            <w:r w:rsidRPr="00CE143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CE1435">
              <w:rPr>
                <w:rFonts w:ascii="Arial" w:hAnsi="Arial" w:cs="Arial"/>
                <w:bCs/>
                <w:sz w:val="22"/>
                <w:szCs w:val="22"/>
                <w:lang w:val="en-ZA"/>
              </w:rPr>
              <w:t>Revised</w:t>
            </w:r>
            <w:r w:rsidRPr="00CE143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5954A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CE1435">
              <w:rPr>
                <w:rFonts w:ascii="Arial" w:hAnsi="Arial" w:cs="Arial"/>
                <w:bCs/>
                <w:i/>
                <w:sz w:val="22"/>
                <w:szCs w:val="22"/>
              </w:rPr>
              <w:t>Special Considerations – Audits of Single Financial Statements and Specific Elements, Accounts or Items of a Financial Statement</w:t>
            </w:r>
            <w:r w:rsidRPr="005954A2">
              <w:rPr>
                <w:rFonts w:ascii="Arial" w:hAnsi="Arial" w:cs="Arial"/>
                <w:bCs/>
                <w:sz w:val="22"/>
                <w:szCs w:val="22"/>
              </w:rPr>
              <w:t>; and</w:t>
            </w:r>
          </w:p>
          <w:p w:rsidR="004E2CD7" w:rsidRPr="004553FA" w:rsidRDefault="004E2CD7" w:rsidP="004E2CD7">
            <w:pPr>
              <w:pStyle w:val="NormalWeb"/>
              <w:numPr>
                <w:ilvl w:val="0"/>
                <w:numId w:val="3"/>
              </w:numPr>
              <w:spacing w:after="120" w:afterAutospacing="0"/>
              <w:ind w:left="530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CE1435">
              <w:rPr>
                <w:rFonts w:ascii="Arial" w:hAnsi="Arial" w:cs="Arial"/>
                <w:bCs/>
                <w:sz w:val="22"/>
                <w:szCs w:val="22"/>
              </w:rPr>
              <w:t xml:space="preserve">Related </w:t>
            </w:r>
            <w:r w:rsidRPr="00CE1435">
              <w:rPr>
                <w:rFonts w:ascii="Arial" w:hAnsi="Arial" w:cs="Arial"/>
                <w:bCs/>
                <w:sz w:val="22"/>
                <w:szCs w:val="22"/>
                <w:lang w:val="en-ZA"/>
              </w:rPr>
              <w:t>conforming</w:t>
            </w:r>
            <w:r w:rsidRPr="00CE1435">
              <w:rPr>
                <w:rFonts w:ascii="Arial" w:hAnsi="Arial" w:cs="Arial"/>
                <w:bCs/>
                <w:sz w:val="22"/>
                <w:szCs w:val="22"/>
              </w:rPr>
              <w:t xml:space="preserve"> amendments to ISA 700 (Revised), </w:t>
            </w:r>
            <w:proofErr w:type="gramStart"/>
            <w:r w:rsidRPr="00CE1435">
              <w:rPr>
                <w:rFonts w:ascii="Arial" w:hAnsi="Arial" w:cs="Arial"/>
                <w:bCs/>
                <w:i/>
                <w:sz w:val="22"/>
                <w:szCs w:val="22"/>
              </w:rPr>
              <w:t>Forming</w:t>
            </w:r>
            <w:proofErr w:type="gramEnd"/>
            <w:r w:rsidRPr="00CE1435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an Opinion and Reporting on Financial Statements</w:t>
            </w:r>
            <w:r w:rsidRPr="005954A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E2CD7" w:rsidRPr="004553FA" w:rsidRDefault="004E2CD7" w:rsidP="004E2CD7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>The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se r</w:t>
            </w: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>evised ISAs are effective for audits of financial statements for periods ending on or after 15 December 2016.</w:t>
            </w:r>
          </w:p>
          <w:p w:rsidR="004E2CD7" w:rsidRPr="005954A2" w:rsidRDefault="004E2CD7" w:rsidP="004E2CD7">
            <w:pPr>
              <w:pStyle w:val="NormalWeb"/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  <w:t>Nature of the c</w:t>
            </w:r>
            <w:r w:rsidR="002D08EC">
              <w:rPr>
                <w:rFonts w:ascii="Arial" w:hAnsi="Arial" w:cs="Arial"/>
                <w:b/>
                <w:bCs/>
                <w:sz w:val="22"/>
                <w:szCs w:val="22"/>
                <w:lang w:val="en-ZA"/>
              </w:rPr>
              <w:t>hanges in ISA 800 and ISA 805</w:t>
            </w:r>
          </w:p>
          <w:p w:rsidR="004E2CD7" w:rsidRPr="005954A2" w:rsidRDefault="004E2CD7" w:rsidP="004E2CD7">
            <w:pPr>
              <w:pStyle w:val="NormalWeb"/>
              <w:numPr>
                <w:ilvl w:val="0"/>
                <w:numId w:val="3"/>
              </w:numPr>
              <w:spacing w:after="120" w:afterAutospacing="0"/>
              <w:ind w:left="530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CE1435">
              <w:rPr>
                <w:rFonts w:ascii="Arial" w:hAnsi="Arial" w:cs="Arial"/>
                <w:bCs/>
                <w:sz w:val="22"/>
                <w:szCs w:val="22"/>
              </w:rPr>
              <w:t>Refinements</w:t>
            </w: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to the </w:t>
            </w:r>
            <w:r w:rsidRPr="005954A2">
              <w:rPr>
                <w:rFonts w:ascii="Arial" w:hAnsi="Arial" w:cs="Arial"/>
                <w:bCs/>
                <w:sz w:val="22"/>
                <w:szCs w:val="22"/>
              </w:rPr>
              <w:t>requirements</w:t>
            </w: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and corresponding application material, where applicable, to clarify auditor reporting responsibilities in light of new concepts established by the new and revised Auditor Reporting standards.</w:t>
            </w:r>
          </w:p>
          <w:p w:rsidR="004E2CD7" w:rsidRPr="005954A2" w:rsidRDefault="004E2CD7" w:rsidP="004E2CD7">
            <w:pPr>
              <w:pStyle w:val="NormalWeb"/>
              <w:numPr>
                <w:ilvl w:val="0"/>
                <w:numId w:val="3"/>
              </w:numPr>
              <w:spacing w:after="120" w:afterAutospacing="0"/>
              <w:ind w:left="530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New </w:t>
            </w:r>
            <w:r w:rsidRPr="00CE1435">
              <w:rPr>
                <w:rFonts w:ascii="Arial" w:hAnsi="Arial" w:cs="Arial"/>
                <w:bCs/>
                <w:sz w:val="22"/>
                <w:szCs w:val="22"/>
              </w:rPr>
              <w:t>application</w:t>
            </w: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</w:t>
            </w:r>
            <w:r w:rsidRPr="005954A2">
              <w:rPr>
                <w:rFonts w:ascii="Arial" w:hAnsi="Arial" w:cs="Arial"/>
                <w:bCs/>
                <w:sz w:val="22"/>
                <w:szCs w:val="22"/>
              </w:rPr>
              <w:t>material</w:t>
            </w: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relating to going concern, Key Audit Matters, other information and naming of the engagement partner.</w:t>
            </w:r>
          </w:p>
          <w:p w:rsidR="004E2CD7" w:rsidRPr="005954A2" w:rsidRDefault="004E2CD7" w:rsidP="004E2CD7">
            <w:pPr>
              <w:pStyle w:val="NormalWeb"/>
              <w:numPr>
                <w:ilvl w:val="0"/>
                <w:numId w:val="3"/>
              </w:numPr>
              <w:spacing w:after="120" w:afterAutospacing="0"/>
              <w:ind w:left="530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Updated </w:t>
            </w:r>
            <w:r w:rsidRPr="005954A2">
              <w:rPr>
                <w:rFonts w:ascii="Arial" w:hAnsi="Arial" w:cs="Arial"/>
                <w:bCs/>
                <w:sz w:val="22"/>
                <w:szCs w:val="22"/>
              </w:rPr>
              <w:t>illustrative</w:t>
            </w:r>
            <w:r w:rsidR="002D08EC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auditor</w:t>
            </w:r>
            <w:r w:rsidR="002D08EC">
              <w:rPr>
                <w:rFonts w:ascii="Calibri" w:hAnsi="Calibri" w:cs="Arial"/>
                <w:bCs/>
                <w:sz w:val="22"/>
                <w:szCs w:val="22"/>
                <w:lang w:val="en-ZA"/>
              </w:rPr>
              <w:t>'</w:t>
            </w: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>s reports that:</w:t>
            </w:r>
          </w:p>
          <w:p w:rsidR="004E2CD7" w:rsidRPr="005954A2" w:rsidRDefault="004E2CD7" w:rsidP="004E2CD7">
            <w:pPr>
              <w:pStyle w:val="NormalWeb"/>
              <w:numPr>
                <w:ilvl w:val="1"/>
                <w:numId w:val="3"/>
              </w:numPr>
              <w:spacing w:after="200" w:afterAutospacing="0"/>
              <w:ind w:left="851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>Align with the reporting requirements in ISA 700 (Revised) in terms of the layout and content, including the ordering of elements, use of headings and terminology; and</w:t>
            </w:r>
          </w:p>
          <w:p w:rsidR="004E2CD7" w:rsidRDefault="004E2CD7" w:rsidP="004E2CD7">
            <w:pPr>
              <w:pStyle w:val="NormalWeb"/>
              <w:numPr>
                <w:ilvl w:val="1"/>
                <w:numId w:val="3"/>
              </w:numPr>
              <w:spacing w:after="200" w:afterAutospacing="0"/>
              <w:ind w:left="851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>Include more fulsome descriptions of the circumstances that are assumed for e</w:t>
            </w:r>
            <w:r w:rsidR="002D08EC">
              <w:rPr>
                <w:rFonts w:ascii="Arial" w:hAnsi="Arial" w:cs="Arial"/>
                <w:bCs/>
                <w:sz w:val="22"/>
                <w:szCs w:val="22"/>
                <w:lang w:val="en-ZA"/>
              </w:rPr>
              <w:t>ach of the illustrative auditor</w:t>
            </w:r>
            <w:r w:rsidR="002D08EC">
              <w:rPr>
                <w:rFonts w:ascii="Calibri" w:hAnsi="Calibri" w:cs="Arial"/>
                <w:bCs/>
                <w:sz w:val="22"/>
                <w:szCs w:val="22"/>
                <w:lang w:val="en-ZA"/>
              </w:rPr>
              <w:t>'</w:t>
            </w:r>
            <w:r w:rsidRPr="005954A2">
              <w:rPr>
                <w:rFonts w:ascii="Arial" w:hAnsi="Arial" w:cs="Arial"/>
                <w:bCs/>
                <w:sz w:val="22"/>
                <w:szCs w:val="22"/>
                <w:lang w:val="en-ZA"/>
              </w:rPr>
              <w:t>s reports and indicate the applicability of the auditor reporting enhancements</w:t>
            </w:r>
          </w:p>
          <w:p w:rsidR="004E2CD7" w:rsidRDefault="004E2CD7" w:rsidP="004E2CD7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>The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se</w:t>
            </w: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revised ISAs may be downloaded from the </w:t>
            </w:r>
            <w:r w:rsidRPr="007C3A5F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IRBA </w:t>
            </w:r>
            <w:hyperlink r:id="rId6" w:history="1">
              <w:r w:rsidRPr="007C3A5F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ZA"/>
                </w:rPr>
                <w:t>we</w:t>
              </w:r>
              <w:bookmarkStart w:id="0" w:name="_GoBack"/>
              <w:bookmarkEnd w:id="0"/>
              <w:r w:rsidRPr="007C3A5F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ZA"/>
                </w:rPr>
                <w:t>b</w:t>
              </w:r>
              <w:r w:rsidRPr="007C3A5F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ZA"/>
                </w:rPr>
                <w:t>site</w:t>
              </w:r>
            </w:hyperlink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>.</w:t>
            </w:r>
          </w:p>
          <w:p w:rsidR="004E2CD7" w:rsidRPr="004553FA" w:rsidRDefault="004E2CD7" w:rsidP="004E2CD7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>Should you have any further queries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,</w:t>
            </w: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please contact the Standards Department at +27 (0)87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 </w:t>
            </w: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>940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-</w:t>
            </w:r>
            <w:r w:rsidRPr="004553FA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8800 or send an email to </w:t>
            </w:r>
            <w:hyperlink r:id="rId7" w:history="1">
              <w:r w:rsidRPr="004553FA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en-ZA"/>
                </w:rPr>
                <w:t>standards@irba.co.za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>.</w:t>
            </w:r>
          </w:p>
          <w:p w:rsidR="004E2CD7" w:rsidRDefault="004E2CD7" w:rsidP="004E2C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4E2CD7" w:rsidRPr="003F7732" w:rsidRDefault="004E2CD7" w:rsidP="004E2C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Imran Vanker</w:t>
            </w:r>
          </w:p>
          <w:p w:rsidR="004E2CD7" w:rsidRPr="003F7732" w:rsidRDefault="004E2CD7" w:rsidP="004E2CD7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Director: Standards</w:t>
            </w:r>
          </w:p>
          <w:p w:rsidR="004E2CD7" w:rsidRPr="00F76271" w:rsidRDefault="004E2CD7" w:rsidP="004E2CD7">
            <w:pPr>
              <w:spacing w:after="120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:rsidR="004E2CD7" w:rsidRPr="003F3563" w:rsidRDefault="004E2CD7" w:rsidP="004E2CD7">
            <w:pPr>
              <w:spacing w:after="120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3F356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About the IRBA</w:t>
            </w:r>
          </w:p>
          <w:p w:rsidR="004E2CD7" w:rsidRDefault="004E2CD7" w:rsidP="004E2CD7">
            <w:pPr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3F356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The objective of the IRBA is to endeavour to protect the financial interests of the South African public and international investors in South Africa through the effective and appropriate reg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ulation of audits conducted by registered a</w:t>
            </w:r>
            <w:r w:rsidRPr="003F356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uditors, in accordance with internationally recognised standards and processes.</w:t>
            </w:r>
          </w:p>
          <w:p w:rsidR="004E2CD7" w:rsidRPr="003F3563" w:rsidRDefault="004E2CD7" w:rsidP="004E2CD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F93">
              <w:rPr>
                <w:rFonts w:ascii="Arial" w:hAnsi="Arial" w:cs="Arial"/>
                <w:i/>
                <w:iCs/>
                <w:sz w:val="20"/>
                <w:szCs w:val="20"/>
              </w:rPr>
              <w:t>The statutory responsibilit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ies</w:t>
            </w:r>
            <w:r w:rsidRPr="00FC6F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CFAS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r w:rsidRPr="00FC6F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assist the IRBA to develop, maintain, adopt, issue or prescribe auditing pronouncements; consider relevant international changes by monitoring developments by other auditing standard-setting bodies and sharing information where requested; and promote and ensure the relevance of auditing pronouncements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4E2CD7" w:rsidRDefault="004E2CD7">
            <w:pPr>
              <w:rPr>
                <w:rFonts w:ascii="Arial" w:hAnsi="Arial" w:cs="Arial"/>
              </w:rPr>
            </w:pPr>
          </w:p>
        </w:tc>
      </w:tr>
    </w:tbl>
    <w:p w:rsidR="004E2CD7" w:rsidRPr="00F76271" w:rsidRDefault="004E2CD7">
      <w:pPr>
        <w:rPr>
          <w:rFonts w:ascii="Arial" w:hAnsi="Arial" w:cs="Arial"/>
        </w:rPr>
      </w:pPr>
    </w:p>
    <w:p w:rsidR="00F76271" w:rsidRDefault="00F76271">
      <w:pPr>
        <w:rPr>
          <w:rFonts w:ascii="Arial" w:hAnsi="Arial" w:cs="Arial"/>
        </w:rPr>
      </w:pPr>
    </w:p>
    <w:p w:rsidR="00A626DA" w:rsidRPr="00F76271" w:rsidRDefault="00A626DA">
      <w:pPr>
        <w:rPr>
          <w:rFonts w:ascii="Arial" w:hAnsi="Arial" w:cs="Arial"/>
        </w:rPr>
      </w:pPr>
    </w:p>
    <w:sectPr w:rsidR="00A626DA" w:rsidRPr="00F76271" w:rsidSect="00D972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F16"/>
    <w:multiLevelType w:val="hybridMultilevel"/>
    <w:tmpl w:val="DFC05532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A42F5C"/>
    <w:multiLevelType w:val="hybridMultilevel"/>
    <w:tmpl w:val="17A6A4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237F8"/>
    <w:multiLevelType w:val="hybridMultilevel"/>
    <w:tmpl w:val="BB58B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8A"/>
    <w:rsid w:val="00016AD2"/>
    <w:rsid w:val="000359DA"/>
    <w:rsid w:val="000C307C"/>
    <w:rsid w:val="00110619"/>
    <w:rsid w:val="00147D13"/>
    <w:rsid w:val="00155EC0"/>
    <w:rsid w:val="001C5539"/>
    <w:rsid w:val="001E3924"/>
    <w:rsid w:val="00287884"/>
    <w:rsid w:val="00293F92"/>
    <w:rsid w:val="002D08EC"/>
    <w:rsid w:val="002D5253"/>
    <w:rsid w:val="002E3B26"/>
    <w:rsid w:val="002F1413"/>
    <w:rsid w:val="002F341A"/>
    <w:rsid w:val="00320734"/>
    <w:rsid w:val="003A2F4D"/>
    <w:rsid w:val="003B5D48"/>
    <w:rsid w:val="003C77DE"/>
    <w:rsid w:val="003D3E83"/>
    <w:rsid w:val="003E15C6"/>
    <w:rsid w:val="003F3563"/>
    <w:rsid w:val="003F7732"/>
    <w:rsid w:val="00421B56"/>
    <w:rsid w:val="00441B92"/>
    <w:rsid w:val="00454A13"/>
    <w:rsid w:val="004553FA"/>
    <w:rsid w:val="00464CD9"/>
    <w:rsid w:val="004E2CD7"/>
    <w:rsid w:val="005045CC"/>
    <w:rsid w:val="00524F5C"/>
    <w:rsid w:val="005770D3"/>
    <w:rsid w:val="005954A2"/>
    <w:rsid w:val="005F599E"/>
    <w:rsid w:val="00603050"/>
    <w:rsid w:val="006A2A11"/>
    <w:rsid w:val="006A78E9"/>
    <w:rsid w:val="00700396"/>
    <w:rsid w:val="00712691"/>
    <w:rsid w:val="00746BA6"/>
    <w:rsid w:val="00780F14"/>
    <w:rsid w:val="00794A42"/>
    <w:rsid w:val="007C3A5F"/>
    <w:rsid w:val="007D21A6"/>
    <w:rsid w:val="00801417"/>
    <w:rsid w:val="00807419"/>
    <w:rsid w:val="00815470"/>
    <w:rsid w:val="008178F4"/>
    <w:rsid w:val="00866F17"/>
    <w:rsid w:val="008759FF"/>
    <w:rsid w:val="008C2354"/>
    <w:rsid w:val="008C3A32"/>
    <w:rsid w:val="008D297C"/>
    <w:rsid w:val="009413CF"/>
    <w:rsid w:val="009640B4"/>
    <w:rsid w:val="009754B7"/>
    <w:rsid w:val="00981C35"/>
    <w:rsid w:val="00986DCA"/>
    <w:rsid w:val="00A40451"/>
    <w:rsid w:val="00A626DA"/>
    <w:rsid w:val="00A8763C"/>
    <w:rsid w:val="00AB3FC3"/>
    <w:rsid w:val="00AD31AC"/>
    <w:rsid w:val="00AD7D1C"/>
    <w:rsid w:val="00AE0068"/>
    <w:rsid w:val="00B14E8E"/>
    <w:rsid w:val="00BB0EA7"/>
    <w:rsid w:val="00BD0746"/>
    <w:rsid w:val="00C302CD"/>
    <w:rsid w:val="00C31A50"/>
    <w:rsid w:val="00C472CC"/>
    <w:rsid w:val="00C919FF"/>
    <w:rsid w:val="00CB5991"/>
    <w:rsid w:val="00CE1435"/>
    <w:rsid w:val="00CE5165"/>
    <w:rsid w:val="00D308A9"/>
    <w:rsid w:val="00D35011"/>
    <w:rsid w:val="00D6700B"/>
    <w:rsid w:val="00D9728A"/>
    <w:rsid w:val="00E13751"/>
    <w:rsid w:val="00E30F37"/>
    <w:rsid w:val="00E44044"/>
    <w:rsid w:val="00E976D8"/>
    <w:rsid w:val="00F111F4"/>
    <w:rsid w:val="00F66B3C"/>
    <w:rsid w:val="00F76271"/>
    <w:rsid w:val="00FC42AC"/>
    <w:rsid w:val="00FC6F93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27C76-80D1-4A21-8733-C22D0CBD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4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6271"/>
    <w:rPr>
      <w:rFonts w:cs="Times New Roman"/>
      <w:color w:val="BD392D"/>
      <w:u w:val="single"/>
      <w:effect w:val="none"/>
    </w:rPr>
  </w:style>
  <w:style w:type="paragraph" w:styleId="NormalWeb">
    <w:name w:val="Normal (Web)"/>
    <w:basedOn w:val="Normal"/>
    <w:uiPriority w:val="99"/>
    <w:rsid w:val="00F7627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CD9"/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4F5C"/>
  </w:style>
  <w:style w:type="character" w:styleId="Strong">
    <w:name w:val="Strong"/>
    <w:basedOn w:val="DefaultParagraphFont"/>
    <w:uiPriority w:val="22"/>
    <w:qFormat/>
    <w:rsid w:val="00524F5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0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F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F1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4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54A2"/>
    <w:pPr>
      <w:spacing w:after="200" w:line="276" w:lineRule="auto"/>
      <w:ind w:left="720"/>
      <w:contextualSpacing/>
    </w:pPr>
    <w:rPr>
      <w:rFonts w:ascii="Arial" w:eastAsiaTheme="minorHAnsi" w:hAnsi="Arial" w:cs="Arial"/>
      <w:sz w:val="22"/>
      <w:szCs w:val="22"/>
      <w:lang w:val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4E2C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E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706">
              <w:marLeft w:val="0"/>
              <w:marRight w:val="-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654">
                  <w:marLeft w:val="3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ndards@irba.co.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ba.co.za/handbooks-of-international-standards/2015-handbo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72DD-D41C-4F03-B6E5-41D86BF8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Fortuin</dc:creator>
  <cp:lastModifiedBy>Henriette Fortuin</cp:lastModifiedBy>
  <cp:revision>4</cp:revision>
  <cp:lastPrinted>2016-04-15T13:05:00Z</cp:lastPrinted>
  <dcterms:created xsi:type="dcterms:W3CDTF">2016-04-15T14:08:00Z</dcterms:created>
  <dcterms:modified xsi:type="dcterms:W3CDTF">2016-06-22T15:26:00Z</dcterms:modified>
</cp:coreProperties>
</file>