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62"/>
      </w:tblGrid>
      <w:tr w:rsidR="0070483B" w:rsidTr="0070483B">
        <w:tc>
          <w:tcPr>
            <w:tcW w:w="9962" w:type="dxa"/>
            <w:tcBorders>
              <w:left w:val="nil"/>
              <w:right w:val="nil"/>
            </w:tcBorders>
          </w:tcPr>
          <w:p w:rsidR="0070483B" w:rsidRDefault="0070483B" w:rsidP="0070483B">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70483B" w:rsidRPr="0070483B" w:rsidRDefault="0070483B" w:rsidP="0070483B">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rsidR="00981C35" w:rsidRDefault="00981C35">
      <w:pPr>
        <w:rPr>
          <w:rFonts w:ascii="Arial" w:hAnsi="Arial" w:cs="Arial"/>
        </w:rPr>
      </w:pPr>
    </w:p>
    <w:tbl>
      <w:tblPr>
        <w:tblStyle w:val="TableGrid"/>
        <w:tblW w:w="0" w:type="auto"/>
        <w:tblLook w:val="04A0" w:firstRow="1" w:lastRow="0" w:firstColumn="1" w:lastColumn="0" w:noHBand="0" w:noVBand="1"/>
      </w:tblPr>
      <w:tblGrid>
        <w:gridCol w:w="9962"/>
      </w:tblGrid>
      <w:tr w:rsidR="00EA4600" w:rsidTr="0070483B">
        <w:tc>
          <w:tcPr>
            <w:tcW w:w="9962" w:type="dxa"/>
            <w:tcBorders>
              <w:top w:val="nil"/>
              <w:left w:val="nil"/>
              <w:bottom w:val="nil"/>
              <w:right w:val="nil"/>
            </w:tcBorders>
          </w:tcPr>
          <w:p w:rsidR="00EA4600" w:rsidRPr="000C307C" w:rsidRDefault="00EA4600" w:rsidP="00EA4600">
            <w:pPr>
              <w:spacing w:before="120" w:after="120"/>
              <w:jc w:val="center"/>
              <w:rPr>
                <w:rFonts w:ascii="Arial" w:hAnsi="Arial" w:cs="Arial"/>
                <w:b/>
                <w:bCs/>
                <w:iCs/>
                <w:sz w:val="22"/>
                <w:szCs w:val="22"/>
                <w:lang w:val="en-GB"/>
              </w:rPr>
            </w:pPr>
            <w:r w:rsidRPr="000C307C">
              <w:rPr>
                <w:rFonts w:ascii="Arial" w:hAnsi="Arial" w:cs="Arial"/>
                <w:b/>
                <w:bCs/>
                <w:iCs/>
                <w:sz w:val="22"/>
                <w:szCs w:val="22"/>
                <w:lang w:val="en-GB"/>
              </w:rPr>
              <w:t xml:space="preserve">Guide for Registered Auditors: </w:t>
            </w:r>
          </w:p>
          <w:p w:rsidR="00EA4600" w:rsidRDefault="00EA4600" w:rsidP="00EA4600">
            <w:pPr>
              <w:spacing w:before="120" w:after="120"/>
              <w:jc w:val="center"/>
              <w:rPr>
                <w:rFonts w:ascii="Arial" w:hAnsi="Arial" w:cs="Arial"/>
                <w:b/>
                <w:i/>
                <w:sz w:val="22"/>
                <w:szCs w:val="22"/>
                <w:lang w:val="en-GB"/>
              </w:rPr>
            </w:pPr>
            <w:r>
              <w:rPr>
                <w:rFonts w:ascii="Arial" w:hAnsi="Arial" w:cs="Arial"/>
                <w:b/>
                <w:i/>
                <w:sz w:val="22"/>
                <w:szCs w:val="22"/>
                <w:lang w:val="en-ZA"/>
              </w:rPr>
              <w:t>Guidance on performing a</w:t>
            </w:r>
            <w:r w:rsidRPr="001E3924">
              <w:rPr>
                <w:rFonts w:ascii="Arial" w:hAnsi="Arial" w:cs="Arial"/>
                <w:b/>
                <w:i/>
                <w:sz w:val="22"/>
                <w:szCs w:val="22"/>
                <w:lang w:val="en-ZA"/>
              </w:rPr>
              <w:t>udits on behalf of the AGSA</w:t>
            </w:r>
            <w:r w:rsidRPr="001E3924">
              <w:rPr>
                <w:rFonts w:ascii="Arial" w:hAnsi="Arial" w:cs="Arial"/>
                <w:b/>
                <w:i/>
                <w:sz w:val="22"/>
                <w:szCs w:val="22"/>
                <w:lang w:val="en-GB"/>
              </w:rPr>
              <w:t xml:space="preserve"> </w:t>
            </w:r>
          </w:p>
          <w:p w:rsidR="00EA4600" w:rsidRPr="00F76271" w:rsidRDefault="00EA4600" w:rsidP="00EA4600">
            <w:pPr>
              <w:spacing w:before="120" w:after="120"/>
              <w:jc w:val="center"/>
              <w:rPr>
                <w:rFonts w:ascii="Arial" w:hAnsi="Arial" w:cs="Arial"/>
                <w:sz w:val="22"/>
                <w:szCs w:val="22"/>
                <w:lang w:val="en-GB"/>
              </w:rPr>
            </w:pPr>
            <w:r>
              <w:rPr>
                <w:rFonts w:ascii="Arial" w:hAnsi="Arial" w:cs="Arial"/>
                <w:sz w:val="22"/>
                <w:szCs w:val="22"/>
                <w:lang w:val="en-GB"/>
              </w:rPr>
              <w:t>Johannesburg / 21 August 2015</w:t>
            </w:r>
          </w:p>
          <w:p w:rsidR="00EA4600" w:rsidRDefault="00EA4600" w:rsidP="00EA4600">
            <w:pPr>
              <w:pStyle w:val="NormalWeb"/>
              <w:jc w:val="both"/>
              <w:rPr>
                <w:rFonts w:ascii="Arial" w:hAnsi="Arial" w:cs="Arial"/>
                <w:bCs/>
                <w:sz w:val="22"/>
                <w:szCs w:val="22"/>
                <w:lang w:val="en-ZA"/>
              </w:rPr>
            </w:pPr>
            <w:r>
              <w:rPr>
                <w:rFonts w:ascii="Arial" w:hAnsi="Arial" w:cs="Arial"/>
                <w:bCs/>
                <w:sz w:val="22"/>
                <w:szCs w:val="22"/>
                <w:lang w:val="en-ZA"/>
              </w:rPr>
              <w:t>The</w:t>
            </w:r>
            <w:r w:rsidRPr="003D3E83">
              <w:rPr>
                <w:rFonts w:ascii="Arial" w:hAnsi="Arial" w:cs="Arial"/>
                <w:bCs/>
                <w:sz w:val="22"/>
                <w:szCs w:val="22"/>
                <w:lang w:val="en-ZA"/>
              </w:rPr>
              <w:t xml:space="preserve"> Guide for Registered Auditors: </w:t>
            </w:r>
            <w:r w:rsidRPr="008C2354">
              <w:rPr>
                <w:rFonts w:ascii="Arial" w:hAnsi="Arial" w:cs="Arial"/>
                <w:bCs/>
                <w:i/>
                <w:sz w:val="22"/>
                <w:szCs w:val="22"/>
                <w:lang w:val="en-ZA"/>
              </w:rPr>
              <w:t xml:space="preserve">Guidance on Performing Audits on behalf of the AGSA </w:t>
            </w:r>
            <w:r w:rsidRPr="008C2354">
              <w:rPr>
                <w:rFonts w:ascii="Arial" w:hAnsi="Arial" w:cs="Arial"/>
                <w:bCs/>
                <w:sz w:val="22"/>
                <w:szCs w:val="22"/>
                <w:lang w:val="en-ZA"/>
              </w:rPr>
              <w:t>(the Guide)</w:t>
            </w:r>
            <w:r>
              <w:rPr>
                <w:rFonts w:ascii="Arial" w:hAnsi="Arial" w:cs="Arial"/>
                <w:bCs/>
                <w:sz w:val="22"/>
                <w:szCs w:val="22"/>
                <w:lang w:val="en-ZA"/>
              </w:rPr>
              <w:t xml:space="preserve"> in now available. The Guide </w:t>
            </w:r>
            <w:r w:rsidRPr="001E3924">
              <w:rPr>
                <w:rFonts w:ascii="Arial" w:hAnsi="Arial" w:cs="Arial"/>
                <w:bCs/>
                <w:sz w:val="22"/>
                <w:szCs w:val="22"/>
                <w:lang w:val="en-ZA"/>
              </w:rPr>
              <w:t xml:space="preserve">was prepared by the Public Sector Standing Committee of the Committee for Auditing Standards (CFAS) comprising representatives of large, medium and small audit firms and the Auditor-General of South Africa (AGSA). </w:t>
            </w:r>
          </w:p>
          <w:p w:rsidR="00EA4600" w:rsidRPr="003D3E83" w:rsidRDefault="00EA4600" w:rsidP="00EA4600">
            <w:pPr>
              <w:pStyle w:val="NormalWeb"/>
              <w:jc w:val="both"/>
              <w:rPr>
                <w:rFonts w:ascii="Arial" w:hAnsi="Arial" w:cs="Arial"/>
                <w:bCs/>
                <w:sz w:val="22"/>
                <w:szCs w:val="22"/>
                <w:lang w:val="en-ZA"/>
              </w:rPr>
            </w:pPr>
            <w:r>
              <w:rPr>
                <w:rFonts w:ascii="Arial" w:hAnsi="Arial" w:cs="Arial"/>
                <w:bCs/>
                <w:sz w:val="22"/>
                <w:szCs w:val="22"/>
                <w:lang w:val="en-ZA"/>
              </w:rPr>
              <w:t>T</w:t>
            </w:r>
            <w:r w:rsidRPr="001E3924">
              <w:rPr>
                <w:rFonts w:ascii="Arial" w:hAnsi="Arial" w:cs="Arial"/>
                <w:bCs/>
                <w:sz w:val="22"/>
                <w:szCs w:val="22"/>
                <w:lang w:val="en-ZA"/>
              </w:rPr>
              <w:t xml:space="preserve">he Independent Regulatory Board for Auditors (IRBA) </w:t>
            </w:r>
            <w:r>
              <w:rPr>
                <w:rFonts w:ascii="Arial" w:hAnsi="Arial" w:cs="Arial"/>
                <w:bCs/>
                <w:sz w:val="22"/>
                <w:szCs w:val="22"/>
                <w:lang w:val="en-ZA"/>
              </w:rPr>
              <w:t xml:space="preserve">approved this Guide </w:t>
            </w:r>
            <w:r w:rsidRPr="001E3924">
              <w:rPr>
                <w:rFonts w:ascii="Arial" w:hAnsi="Arial" w:cs="Arial"/>
                <w:bCs/>
                <w:sz w:val="22"/>
                <w:szCs w:val="22"/>
                <w:lang w:val="en-ZA"/>
              </w:rPr>
              <w:t>in June 2015 for issue by way of joint publication with the AGSA for the purpose of improving the understanding of and enhancing the qual</w:t>
            </w:r>
            <w:r>
              <w:rPr>
                <w:rFonts w:ascii="Arial" w:hAnsi="Arial" w:cs="Arial"/>
                <w:bCs/>
                <w:sz w:val="22"/>
                <w:szCs w:val="22"/>
                <w:lang w:val="en-ZA"/>
              </w:rPr>
              <w:t>ity of public sector audits by Registered A</w:t>
            </w:r>
            <w:r w:rsidRPr="001E3924">
              <w:rPr>
                <w:rFonts w:ascii="Arial" w:hAnsi="Arial" w:cs="Arial"/>
                <w:bCs/>
                <w:sz w:val="22"/>
                <w:szCs w:val="22"/>
                <w:lang w:val="en-ZA"/>
              </w:rPr>
              <w:t>uditors in public practice (registered with the IRBA) who are contracted by the AGSA.</w:t>
            </w:r>
          </w:p>
          <w:p w:rsidR="00EA4600" w:rsidRDefault="00EA4600" w:rsidP="00EA4600">
            <w:pPr>
              <w:pStyle w:val="NormalWeb"/>
              <w:jc w:val="both"/>
              <w:rPr>
                <w:rFonts w:ascii="Arial" w:hAnsi="Arial" w:cs="Arial"/>
                <w:sz w:val="22"/>
                <w:szCs w:val="22"/>
                <w:lang w:val="en-ZA"/>
              </w:rPr>
            </w:pPr>
            <w:r>
              <w:rPr>
                <w:rFonts w:ascii="Arial" w:hAnsi="Arial" w:cs="Arial"/>
                <w:bCs/>
                <w:sz w:val="22"/>
                <w:szCs w:val="22"/>
                <w:lang w:val="en-GB"/>
              </w:rPr>
              <w:t>Registered A</w:t>
            </w:r>
            <w:r w:rsidRPr="00F66B3C">
              <w:rPr>
                <w:rFonts w:ascii="Arial" w:hAnsi="Arial" w:cs="Arial"/>
                <w:bCs/>
                <w:sz w:val="22"/>
                <w:szCs w:val="22"/>
                <w:lang w:val="en-GB"/>
              </w:rPr>
              <w:t xml:space="preserve">uditors </w:t>
            </w:r>
            <w:r>
              <w:rPr>
                <w:rFonts w:ascii="Arial" w:hAnsi="Arial" w:cs="Arial"/>
                <w:bCs/>
                <w:sz w:val="22"/>
                <w:szCs w:val="22"/>
                <w:lang w:val="en-GB"/>
              </w:rPr>
              <w:t xml:space="preserve">will find information in the Guide that will assist them to perform regularity audit engagements, </w:t>
            </w:r>
            <w:r w:rsidRPr="001E3924">
              <w:rPr>
                <w:rFonts w:ascii="Arial" w:hAnsi="Arial" w:cs="Arial"/>
                <w:bCs/>
                <w:sz w:val="22"/>
                <w:szCs w:val="22"/>
                <w:lang w:val="en-ZA"/>
              </w:rPr>
              <w:t>including the audit of financial statements, predetermined objectives and compliance with legislation, on behalf of the AGSA, in conformance with the AGSA’s specific requirements and the requirements of the Public Audit Act, 2004 (Act No. 25 of 2004) (PAA).</w:t>
            </w:r>
            <w:r>
              <w:rPr>
                <w:rFonts w:ascii="Arial" w:hAnsi="Arial" w:cs="Arial"/>
                <w:sz w:val="22"/>
                <w:szCs w:val="22"/>
                <w:lang w:val="en-ZA"/>
              </w:rPr>
              <w:t xml:space="preserve"> </w:t>
            </w:r>
          </w:p>
          <w:p w:rsidR="00EA4600" w:rsidRDefault="00EA4600" w:rsidP="00EA4600">
            <w:pPr>
              <w:pStyle w:val="NormalWeb"/>
              <w:jc w:val="both"/>
              <w:rPr>
                <w:rFonts w:ascii="Arial" w:hAnsi="Arial" w:cs="Arial"/>
                <w:sz w:val="22"/>
                <w:szCs w:val="22"/>
                <w:lang w:val="en-ZA"/>
              </w:rPr>
            </w:pPr>
            <w:r>
              <w:rPr>
                <w:rFonts w:ascii="Arial" w:hAnsi="Arial" w:cs="Arial"/>
                <w:sz w:val="22"/>
                <w:szCs w:val="22"/>
                <w:lang w:val="en-ZA"/>
              </w:rPr>
              <w:t>This Guide will also be useful and relevant to the Board, those charged with governance and the audit committees of those entities and we encourage Registered Auditors to create awareness of the Guide.</w:t>
            </w:r>
          </w:p>
          <w:p w:rsidR="00EA4600" w:rsidRPr="001E3924" w:rsidRDefault="00EA4600" w:rsidP="00EA4600">
            <w:pPr>
              <w:spacing w:after="120" w:line="271" w:lineRule="auto"/>
              <w:jc w:val="both"/>
              <w:rPr>
                <w:rFonts w:ascii="Arial" w:eastAsia="Calibri" w:hAnsi="Arial" w:cs="Arial"/>
                <w:sz w:val="22"/>
                <w:szCs w:val="22"/>
                <w:lang w:val="en-ZA"/>
              </w:rPr>
            </w:pPr>
            <w:r>
              <w:rPr>
                <w:rFonts w:ascii="Arial" w:eastAsia="Calibri" w:hAnsi="Arial" w:cs="Arial"/>
                <w:sz w:val="22"/>
                <w:szCs w:val="22"/>
                <w:lang w:val="en-ZA"/>
              </w:rPr>
              <w:t>T</w:t>
            </w:r>
            <w:r w:rsidRPr="001E3924">
              <w:rPr>
                <w:rFonts w:ascii="Arial" w:eastAsia="Calibri" w:hAnsi="Arial" w:cs="Arial"/>
                <w:sz w:val="22"/>
                <w:szCs w:val="22"/>
                <w:lang w:val="en-ZA"/>
              </w:rPr>
              <w:t>he followin</w:t>
            </w:r>
            <w:r>
              <w:rPr>
                <w:rFonts w:ascii="Arial" w:eastAsia="Calibri" w:hAnsi="Arial" w:cs="Arial"/>
                <w:sz w:val="22"/>
                <w:szCs w:val="22"/>
                <w:lang w:val="en-ZA"/>
              </w:rPr>
              <w:t>g matters are addressed in the Guide</w:t>
            </w:r>
            <w:r w:rsidRPr="001E3924">
              <w:rPr>
                <w:rFonts w:ascii="Arial" w:eastAsia="Calibri" w:hAnsi="Arial" w:cs="Arial"/>
                <w:sz w:val="22"/>
                <w:szCs w:val="22"/>
                <w:lang w:val="en-ZA"/>
              </w:rPr>
              <w:t>:</w:t>
            </w:r>
          </w:p>
          <w:p w:rsidR="00EA4600" w:rsidRPr="001E3924" w:rsidRDefault="00EA4600" w:rsidP="00EA4600">
            <w:pPr>
              <w:numPr>
                <w:ilvl w:val="0"/>
                <w:numId w:val="2"/>
              </w:numPr>
              <w:spacing w:after="120" w:line="271" w:lineRule="auto"/>
              <w:ind w:left="425" w:hanging="357"/>
              <w:jc w:val="both"/>
              <w:rPr>
                <w:rFonts w:ascii="Arial" w:eastAsia="Calibri" w:hAnsi="Arial" w:cs="Arial"/>
                <w:sz w:val="22"/>
                <w:szCs w:val="22"/>
                <w:lang w:val="en-ZA"/>
              </w:rPr>
            </w:pPr>
            <w:r w:rsidRPr="001E3924">
              <w:rPr>
                <w:rFonts w:ascii="Arial" w:eastAsia="Calibri" w:hAnsi="Arial" w:cs="Arial"/>
                <w:sz w:val="22"/>
                <w:szCs w:val="22"/>
                <w:lang w:val="en-ZA"/>
              </w:rPr>
              <w:t>The roles and responsibilities of the audit firm and the AGSA;</w:t>
            </w:r>
          </w:p>
          <w:p w:rsidR="00EA4600" w:rsidRPr="001E3924" w:rsidRDefault="00EA4600" w:rsidP="00EA4600">
            <w:pPr>
              <w:numPr>
                <w:ilvl w:val="0"/>
                <w:numId w:val="2"/>
              </w:numPr>
              <w:spacing w:after="120" w:line="271" w:lineRule="auto"/>
              <w:ind w:left="425" w:hanging="357"/>
              <w:jc w:val="both"/>
              <w:rPr>
                <w:rFonts w:ascii="Arial" w:eastAsia="Calibri" w:hAnsi="Arial" w:cs="Arial"/>
                <w:sz w:val="22"/>
                <w:szCs w:val="22"/>
                <w:lang w:val="en-ZA"/>
              </w:rPr>
            </w:pPr>
            <w:r w:rsidRPr="001E3924">
              <w:rPr>
                <w:rFonts w:ascii="Arial" w:eastAsia="Calibri" w:hAnsi="Arial" w:cs="Arial"/>
                <w:sz w:val="22"/>
                <w:szCs w:val="22"/>
                <w:lang w:val="en-ZA"/>
              </w:rPr>
              <w:t>The auditing standards and ethical requirements to be complied with;</w:t>
            </w:r>
          </w:p>
          <w:p w:rsidR="00EA4600" w:rsidRPr="001E3924" w:rsidRDefault="00EA4600" w:rsidP="00EA4600">
            <w:pPr>
              <w:numPr>
                <w:ilvl w:val="0"/>
                <w:numId w:val="2"/>
              </w:numPr>
              <w:spacing w:after="120" w:line="271" w:lineRule="auto"/>
              <w:ind w:left="425" w:hanging="357"/>
              <w:jc w:val="both"/>
              <w:rPr>
                <w:rFonts w:ascii="Arial" w:eastAsia="Calibri" w:hAnsi="Arial" w:cs="Arial"/>
                <w:sz w:val="22"/>
                <w:szCs w:val="22"/>
                <w:lang w:val="en-ZA"/>
              </w:rPr>
            </w:pPr>
            <w:r w:rsidRPr="001E3924">
              <w:rPr>
                <w:rFonts w:ascii="Arial" w:eastAsia="Calibri" w:hAnsi="Arial" w:cs="Arial"/>
                <w:sz w:val="22"/>
                <w:szCs w:val="22"/>
                <w:lang w:val="en-ZA"/>
              </w:rPr>
              <w:t>Communication between the auditor, the AGSA, the auditee, the executive authority and oversight bodies;</w:t>
            </w:r>
          </w:p>
          <w:p w:rsidR="00EA4600" w:rsidRPr="001E3924" w:rsidRDefault="00EA4600" w:rsidP="00EA4600">
            <w:pPr>
              <w:numPr>
                <w:ilvl w:val="0"/>
                <w:numId w:val="2"/>
              </w:numPr>
              <w:spacing w:after="120" w:line="271" w:lineRule="auto"/>
              <w:ind w:left="425" w:hanging="357"/>
              <w:jc w:val="both"/>
              <w:rPr>
                <w:rFonts w:ascii="Arial" w:eastAsia="Calibri" w:hAnsi="Arial" w:cs="Arial"/>
                <w:sz w:val="22"/>
                <w:szCs w:val="22"/>
                <w:lang w:val="en-ZA"/>
              </w:rPr>
            </w:pPr>
            <w:r w:rsidRPr="001E3924">
              <w:rPr>
                <w:rFonts w:ascii="Arial" w:eastAsia="Calibri" w:hAnsi="Arial" w:cs="Arial"/>
                <w:sz w:val="22"/>
                <w:szCs w:val="22"/>
                <w:lang w:val="en-ZA"/>
              </w:rPr>
              <w:t>Supervision and review responsibilities;</w:t>
            </w:r>
          </w:p>
          <w:p w:rsidR="00EA4600" w:rsidRPr="001E3924" w:rsidRDefault="00EA4600" w:rsidP="00EA4600">
            <w:pPr>
              <w:numPr>
                <w:ilvl w:val="0"/>
                <w:numId w:val="2"/>
              </w:numPr>
              <w:spacing w:after="120" w:line="271" w:lineRule="auto"/>
              <w:ind w:left="425" w:hanging="357"/>
              <w:jc w:val="both"/>
              <w:rPr>
                <w:rFonts w:ascii="Arial" w:eastAsia="Calibri" w:hAnsi="Arial" w:cs="Arial"/>
                <w:sz w:val="22"/>
                <w:szCs w:val="22"/>
                <w:lang w:val="en-ZA"/>
              </w:rPr>
            </w:pPr>
            <w:r w:rsidRPr="001E3924">
              <w:rPr>
                <w:rFonts w:ascii="Arial" w:eastAsia="Calibri" w:hAnsi="Arial" w:cs="Arial"/>
                <w:sz w:val="22"/>
                <w:szCs w:val="22"/>
                <w:lang w:val="en-ZA"/>
              </w:rPr>
              <w:t>Pre-issuance reviews;</w:t>
            </w:r>
          </w:p>
          <w:p w:rsidR="00EA4600" w:rsidRPr="001E3924" w:rsidRDefault="00EA4600" w:rsidP="00EA4600">
            <w:pPr>
              <w:numPr>
                <w:ilvl w:val="0"/>
                <w:numId w:val="2"/>
              </w:numPr>
              <w:spacing w:after="120" w:line="271" w:lineRule="auto"/>
              <w:ind w:left="425" w:hanging="357"/>
              <w:jc w:val="both"/>
              <w:rPr>
                <w:rFonts w:ascii="Arial" w:eastAsia="Calibri" w:hAnsi="Arial" w:cs="Arial"/>
                <w:sz w:val="22"/>
                <w:szCs w:val="22"/>
                <w:lang w:val="en-ZA"/>
              </w:rPr>
            </w:pPr>
            <w:r w:rsidRPr="001E3924">
              <w:rPr>
                <w:rFonts w:ascii="Arial" w:eastAsia="Calibri" w:hAnsi="Arial" w:cs="Arial"/>
                <w:sz w:val="22"/>
                <w:szCs w:val="22"/>
                <w:lang w:val="en-ZA"/>
              </w:rPr>
              <w:t>Technical consultations and difference-of-opinion processes; and</w:t>
            </w:r>
          </w:p>
          <w:p w:rsidR="00EA4600" w:rsidRPr="001E3924" w:rsidRDefault="00EA4600" w:rsidP="00EA4600">
            <w:pPr>
              <w:numPr>
                <w:ilvl w:val="0"/>
                <w:numId w:val="2"/>
              </w:numPr>
              <w:spacing w:after="120" w:line="271" w:lineRule="auto"/>
              <w:ind w:left="426"/>
              <w:jc w:val="both"/>
              <w:rPr>
                <w:rFonts w:ascii="Arial" w:eastAsia="Calibri" w:hAnsi="Arial" w:cs="Arial"/>
                <w:sz w:val="22"/>
                <w:szCs w:val="22"/>
                <w:lang w:val="en-ZA"/>
              </w:rPr>
            </w:pPr>
            <w:r w:rsidRPr="001E3924">
              <w:rPr>
                <w:rFonts w:ascii="Arial" w:eastAsia="Calibri" w:hAnsi="Arial" w:cs="Arial"/>
                <w:sz w:val="22"/>
                <w:szCs w:val="22"/>
                <w:lang w:val="en-ZA"/>
              </w:rPr>
              <w:t>Reporting.</w:t>
            </w:r>
          </w:p>
          <w:p w:rsidR="00EA4600" w:rsidRPr="003D3E83" w:rsidRDefault="00EA4600" w:rsidP="00EA4600">
            <w:pPr>
              <w:pStyle w:val="NormalWeb"/>
              <w:spacing w:after="120"/>
              <w:jc w:val="both"/>
              <w:rPr>
                <w:rFonts w:ascii="Arial" w:hAnsi="Arial" w:cs="Arial"/>
                <w:b/>
                <w:sz w:val="22"/>
                <w:szCs w:val="22"/>
                <w:lang w:val="en-ZA"/>
              </w:rPr>
            </w:pPr>
            <w:r w:rsidRPr="003D3E83">
              <w:rPr>
                <w:rFonts w:ascii="Arial" w:hAnsi="Arial" w:cs="Arial"/>
                <w:b/>
                <w:sz w:val="22"/>
                <w:szCs w:val="22"/>
                <w:lang w:val="en-ZA"/>
              </w:rPr>
              <w:t>Effective date</w:t>
            </w:r>
          </w:p>
          <w:p w:rsidR="00BE3BD4" w:rsidRDefault="00BE3BD4" w:rsidP="00BE3BD4">
            <w:pPr>
              <w:pStyle w:val="NormalWeb"/>
              <w:spacing w:after="120"/>
              <w:jc w:val="both"/>
              <w:rPr>
                <w:rFonts w:ascii="Arial" w:hAnsi="Arial" w:cs="Arial"/>
                <w:sz w:val="22"/>
                <w:szCs w:val="22"/>
                <w:lang w:val="en-ZA"/>
              </w:rPr>
            </w:pPr>
            <w:r>
              <w:rPr>
                <w:rFonts w:ascii="Arial" w:hAnsi="Arial" w:cs="Arial"/>
                <w:sz w:val="22"/>
                <w:szCs w:val="22"/>
                <w:lang w:val="en-ZA"/>
              </w:rPr>
              <w:t xml:space="preserve">The </w:t>
            </w:r>
            <w:r w:rsidRPr="003D3E83">
              <w:rPr>
                <w:rFonts w:ascii="Arial" w:hAnsi="Arial" w:cs="Arial"/>
                <w:sz w:val="22"/>
                <w:szCs w:val="22"/>
                <w:lang w:val="en-ZA"/>
              </w:rPr>
              <w:t>Guide is effect</w:t>
            </w:r>
            <w:r>
              <w:rPr>
                <w:rFonts w:ascii="Arial" w:hAnsi="Arial" w:cs="Arial"/>
                <w:sz w:val="22"/>
                <w:szCs w:val="22"/>
                <w:lang w:val="en-ZA"/>
              </w:rPr>
              <w:t>ive for engagements commencing on or after 1 September 2015.</w:t>
            </w:r>
            <w:r w:rsidRPr="003D3E83">
              <w:rPr>
                <w:rFonts w:ascii="Arial" w:hAnsi="Arial" w:cs="Arial"/>
                <w:sz w:val="22"/>
                <w:szCs w:val="22"/>
                <w:lang w:val="en-ZA"/>
              </w:rPr>
              <w:t xml:space="preserve"> </w:t>
            </w:r>
          </w:p>
          <w:p w:rsidR="00EA4600" w:rsidRDefault="00EA4600" w:rsidP="00EA4600">
            <w:pPr>
              <w:pStyle w:val="NormalWeb"/>
              <w:spacing w:after="120"/>
              <w:jc w:val="both"/>
              <w:rPr>
                <w:rStyle w:val="Hyperlink"/>
                <w:rFonts w:ascii="Arial" w:hAnsi="Arial" w:cs="Arial"/>
                <w:sz w:val="22"/>
                <w:szCs w:val="22"/>
                <w:u w:val="none"/>
              </w:rPr>
            </w:pPr>
            <w:r>
              <w:rPr>
                <w:rFonts w:ascii="Arial" w:hAnsi="Arial" w:cs="Arial"/>
                <w:sz w:val="22"/>
                <w:szCs w:val="22"/>
                <w:lang w:val="en-ZA"/>
              </w:rPr>
              <w:t>The</w:t>
            </w:r>
            <w:r w:rsidRPr="00464CD9">
              <w:rPr>
                <w:rFonts w:ascii="Arial" w:hAnsi="Arial" w:cs="Arial"/>
                <w:sz w:val="22"/>
                <w:szCs w:val="22"/>
                <w:lang w:val="en-ZA"/>
              </w:rPr>
              <w:t xml:space="preserve"> </w:t>
            </w:r>
            <w:r>
              <w:rPr>
                <w:rFonts w:ascii="Arial" w:hAnsi="Arial" w:cs="Arial"/>
                <w:sz w:val="22"/>
                <w:szCs w:val="22"/>
                <w:lang w:val="en-ZA"/>
              </w:rPr>
              <w:t>Guide</w:t>
            </w:r>
            <w:r w:rsidRPr="00F76271">
              <w:rPr>
                <w:rFonts w:ascii="Arial" w:hAnsi="Arial" w:cs="Arial"/>
                <w:sz w:val="22"/>
                <w:szCs w:val="22"/>
              </w:rPr>
              <w:t xml:space="preserve"> may be down</w:t>
            </w:r>
            <w:r>
              <w:rPr>
                <w:rFonts w:ascii="Arial" w:hAnsi="Arial" w:cs="Arial"/>
                <w:sz w:val="22"/>
                <w:szCs w:val="22"/>
              </w:rPr>
              <w:t xml:space="preserve">loaded from the </w:t>
            </w:r>
            <w:hyperlink r:id="rId6" w:history="1">
              <w:r w:rsidRPr="00F24B7E">
                <w:rPr>
                  <w:rStyle w:val="Hyperlink"/>
                  <w:rFonts w:ascii="Arial" w:hAnsi="Arial" w:cs="Arial"/>
                  <w:sz w:val="22"/>
                  <w:szCs w:val="22"/>
                </w:rPr>
                <w:t>IR</w:t>
              </w:r>
              <w:r w:rsidRPr="00F24B7E">
                <w:rPr>
                  <w:rStyle w:val="Hyperlink"/>
                  <w:rFonts w:ascii="Arial" w:hAnsi="Arial" w:cs="Arial"/>
                  <w:sz w:val="22"/>
                  <w:szCs w:val="22"/>
                </w:rPr>
                <w:t>B</w:t>
              </w:r>
              <w:r w:rsidRPr="00F24B7E">
                <w:rPr>
                  <w:rStyle w:val="Hyperlink"/>
                  <w:rFonts w:ascii="Arial" w:hAnsi="Arial" w:cs="Arial"/>
                  <w:sz w:val="22"/>
                  <w:szCs w:val="22"/>
                </w:rPr>
                <w:t>A website</w:t>
              </w:r>
            </w:hyperlink>
            <w:r w:rsidR="00F24B7E">
              <w:rPr>
                <w:rFonts w:ascii="Arial" w:hAnsi="Arial" w:cs="Arial"/>
                <w:sz w:val="22"/>
                <w:szCs w:val="22"/>
              </w:rPr>
              <w:t>.</w:t>
            </w:r>
          </w:p>
          <w:p w:rsidR="00EA4600" w:rsidRPr="003D3E83" w:rsidRDefault="00EA4600" w:rsidP="00EA4600">
            <w:pPr>
              <w:pStyle w:val="NormalWeb"/>
              <w:spacing w:after="120"/>
              <w:jc w:val="both"/>
              <w:rPr>
                <w:rFonts w:ascii="Arial" w:hAnsi="Arial" w:cs="Arial"/>
                <w:sz w:val="22"/>
                <w:szCs w:val="22"/>
                <w:lang w:val="en-ZA"/>
              </w:rPr>
            </w:pPr>
            <w:r w:rsidRPr="00F76271">
              <w:rPr>
                <w:rFonts w:ascii="Arial" w:hAnsi="Arial" w:cs="Arial"/>
                <w:sz w:val="22"/>
                <w:szCs w:val="22"/>
              </w:rPr>
              <w:t xml:space="preserve">Should you have any further queries please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hyperlink r:id="rId7" w:history="1">
              <w:r w:rsidRPr="00F76271">
                <w:rPr>
                  <w:rFonts w:ascii="Arial" w:hAnsi="Arial" w:cs="Arial"/>
                  <w:color w:val="3300CC"/>
                  <w:sz w:val="22"/>
                  <w:szCs w:val="22"/>
                  <w:u w:val="single"/>
                </w:rPr>
                <w:t>standards@irba.co.za</w:t>
              </w:r>
            </w:hyperlink>
            <w:r w:rsidRPr="00F76271">
              <w:rPr>
                <w:rFonts w:ascii="Arial" w:hAnsi="Arial" w:cs="Arial"/>
                <w:sz w:val="22"/>
                <w:szCs w:val="22"/>
              </w:rPr>
              <w:t>.</w:t>
            </w:r>
            <w:bookmarkStart w:id="0" w:name="_GoBack"/>
            <w:bookmarkEnd w:id="0"/>
          </w:p>
          <w:p w:rsidR="00EA4600" w:rsidRDefault="00EA4600" w:rsidP="00EA4600">
            <w:pPr>
              <w:jc w:val="both"/>
              <w:rPr>
                <w:rFonts w:ascii="Arial" w:hAnsi="Arial" w:cs="Arial"/>
                <w:b/>
                <w:sz w:val="22"/>
                <w:szCs w:val="22"/>
                <w:lang w:val="en-GB"/>
              </w:rPr>
            </w:pPr>
          </w:p>
          <w:p w:rsidR="00EA4600" w:rsidRDefault="00EA4600" w:rsidP="00EA4600">
            <w:pPr>
              <w:jc w:val="both"/>
              <w:rPr>
                <w:rFonts w:ascii="Arial" w:hAnsi="Arial" w:cs="Arial"/>
                <w:b/>
                <w:sz w:val="22"/>
                <w:szCs w:val="22"/>
                <w:lang w:val="en-GB"/>
              </w:rPr>
            </w:pPr>
          </w:p>
          <w:p w:rsidR="00EA4600" w:rsidRDefault="00EA4600" w:rsidP="00EA4600">
            <w:pPr>
              <w:jc w:val="both"/>
              <w:rPr>
                <w:rFonts w:ascii="Arial" w:hAnsi="Arial" w:cs="Arial"/>
                <w:b/>
                <w:sz w:val="22"/>
                <w:szCs w:val="22"/>
                <w:lang w:val="en-GB"/>
              </w:rPr>
            </w:pPr>
          </w:p>
          <w:p w:rsidR="00EA4600" w:rsidRPr="003F7732" w:rsidRDefault="00EA4600" w:rsidP="00EA4600">
            <w:pPr>
              <w:jc w:val="both"/>
              <w:rPr>
                <w:rFonts w:ascii="Arial" w:hAnsi="Arial" w:cs="Arial"/>
                <w:b/>
                <w:sz w:val="22"/>
                <w:szCs w:val="22"/>
                <w:lang w:val="en-GB"/>
              </w:rPr>
            </w:pPr>
            <w:r>
              <w:rPr>
                <w:rFonts w:ascii="Arial" w:hAnsi="Arial" w:cs="Arial"/>
                <w:b/>
                <w:sz w:val="22"/>
                <w:szCs w:val="22"/>
                <w:lang w:val="en-GB"/>
              </w:rPr>
              <w:t>Imran Vanker</w:t>
            </w:r>
          </w:p>
          <w:p w:rsidR="00EA4600" w:rsidRPr="003F7732" w:rsidRDefault="00EA4600" w:rsidP="00EA4600">
            <w:pPr>
              <w:spacing w:after="120"/>
              <w:jc w:val="both"/>
              <w:rPr>
                <w:rFonts w:ascii="Arial" w:hAnsi="Arial" w:cs="Arial"/>
                <w:b/>
                <w:sz w:val="22"/>
                <w:szCs w:val="22"/>
                <w:lang w:val="en-GB"/>
              </w:rPr>
            </w:pPr>
            <w:r>
              <w:rPr>
                <w:rFonts w:ascii="Arial" w:hAnsi="Arial" w:cs="Arial"/>
                <w:b/>
                <w:sz w:val="22"/>
                <w:szCs w:val="22"/>
                <w:lang w:val="en-GB"/>
              </w:rPr>
              <w:t>Director: Standards</w:t>
            </w:r>
          </w:p>
          <w:p w:rsidR="00EA4600" w:rsidRPr="00F76271" w:rsidRDefault="00EA4600" w:rsidP="00EA4600">
            <w:pPr>
              <w:spacing w:after="120"/>
              <w:jc w:val="both"/>
              <w:rPr>
                <w:rFonts w:ascii="Arial" w:hAnsi="Arial" w:cs="Arial"/>
                <w:b/>
                <w:i/>
                <w:noProof/>
                <w:sz w:val="20"/>
                <w:szCs w:val="20"/>
                <w:lang w:val="en-GB"/>
              </w:rPr>
            </w:pPr>
          </w:p>
          <w:p w:rsidR="00EA4600" w:rsidRPr="003F3563" w:rsidRDefault="00EA4600" w:rsidP="00EA4600">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EA4600" w:rsidRDefault="00EA4600" w:rsidP="00EA4600">
            <w:pPr>
              <w:spacing w:after="120"/>
              <w:jc w:val="both"/>
              <w:rPr>
                <w:rFonts w:ascii="Arial" w:hAnsi="Arial" w:cs="Arial"/>
                <w:i/>
                <w:iCs/>
                <w:sz w:val="20"/>
                <w:szCs w:val="20"/>
                <w:lang w:val="en-GB"/>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w:t>
            </w:r>
            <w:r>
              <w:rPr>
                <w:rFonts w:ascii="Arial" w:hAnsi="Arial" w:cs="Arial"/>
                <w:i/>
                <w:iCs/>
                <w:sz w:val="20"/>
                <w:szCs w:val="20"/>
                <w:lang w:val="en-GB"/>
              </w:rPr>
              <w:t>ulation of audits conducted by Registered A</w:t>
            </w:r>
            <w:r w:rsidRPr="003F3563">
              <w:rPr>
                <w:rFonts w:ascii="Arial" w:hAnsi="Arial" w:cs="Arial"/>
                <w:i/>
                <w:iCs/>
                <w:sz w:val="20"/>
                <w:szCs w:val="20"/>
                <w:lang w:val="en-GB"/>
              </w:rPr>
              <w:t>uditors, in accordance with internationally recognised standards and processes.</w:t>
            </w:r>
          </w:p>
          <w:p w:rsidR="00EA4600" w:rsidRPr="00EA4600" w:rsidRDefault="00EA4600" w:rsidP="00EA4600">
            <w:pPr>
              <w:spacing w:after="120"/>
              <w:jc w:val="both"/>
              <w:rPr>
                <w:rFonts w:ascii="Arial" w:hAnsi="Arial" w:cs="Arial"/>
                <w:sz w:val="20"/>
                <w:szCs w:val="20"/>
              </w:rPr>
            </w:pPr>
            <w:r w:rsidRPr="00FC6F93">
              <w:rPr>
                <w:rFonts w:ascii="Arial" w:hAnsi="Arial" w:cs="Arial"/>
                <w:i/>
                <w:iCs/>
                <w:sz w:val="20"/>
                <w:szCs w:val="20"/>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r>
              <w:rPr>
                <w:rFonts w:ascii="Arial" w:hAnsi="Arial" w:cs="Arial"/>
                <w:sz w:val="20"/>
                <w:szCs w:val="20"/>
              </w:rPr>
              <w:t>.</w:t>
            </w:r>
          </w:p>
        </w:tc>
      </w:tr>
    </w:tbl>
    <w:p w:rsidR="00F76271" w:rsidRDefault="00F76271">
      <w:pPr>
        <w:rPr>
          <w:rFonts w:ascii="Arial" w:hAnsi="Arial" w:cs="Arial"/>
        </w:rPr>
      </w:pPr>
    </w:p>
    <w:p w:rsidR="00F76271" w:rsidRPr="00F76271" w:rsidRDefault="00F76271" w:rsidP="006A2A11">
      <w:pPr>
        <w:jc w:val="both"/>
        <w:textAlignment w:val="top"/>
        <w:rPr>
          <w:rFonts w:ascii="Arial" w:hAnsi="Arial" w:cs="Arial"/>
          <w:b/>
          <w:sz w:val="22"/>
          <w:szCs w:val="22"/>
          <w:lang w:val="en-GB"/>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6F16"/>
    <w:multiLevelType w:val="hybridMultilevel"/>
    <w:tmpl w:val="DFC05532"/>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15:restartNumberingAfterBreak="0">
    <w:nsid w:val="4AA42F5C"/>
    <w:multiLevelType w:val="hybridMultilevel"/>
    <w:tmpl w:val="17A6A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16AD2"/>
    <w:rsid w:val="000C307C"/>
    <w:rsid w:val="00110619"/>
    <w:rsid w:val="00147D13"/>
    <w:rsid w:val="001C5539"/>
    <w:rsid w:val="001E3924"/>
    <w:rsid w:val="00287884"/>
    <w:rsid w:val="00293F92"/>
    <w:rsid w:val="002F1413"/>
    <w:rsid w:val="002F341A"/>
    <w:rsid w:val="00320734"/>
    <w:rsid w:val="003A2F4D"/>
    <w:rsid w:val="003C77DE"/>
    <w:rsid w:val="003D3E83"/>
    <w:rsid w:val="003E15C6"/>
    <w:rsid w:val="003F3563"/>
    <w:rsid w:val="003F7732"/>
    <w:rsid w:val="00421B56"/>
    <w:rsid w:val="00441B92"/>
    <w:rsid w:val="00464CD9"/>
    <w:rsid w:val="005045CC"/>
    <w:rsid w:val="00524F5C"/>
    <w:rsid w:val="005770D3"/>
    <w:rsid w:val="005E62B1"/>
    <w:rsid w:val="006A2A11"/>
    <w:rsid w:val="006A78E9"/>
    <w:rsid w:val="00700396"/>
    <w:rsid w:val="0070201D"/>
    <w:rsid w:val="0070483B"/>
    <w:rsid w:val="00712691"/>
    <w:rsid w:val="00746BA6"/>
    <w:rsid w:val="00780F14"/>
    <w:rsid w:val="00794A42"/>
    <w:rsid w:val="00807419"/>
    <w:rsid w:val="00815470"/>
    <w:rsid w:val="008178F4"/>
    <w:rsid w:val="008759FF"/>
    <w:rsid w:val="008C2354"/>
    <w:rsid w:val="008C3A32"/>
    <w:rsid w:val="008D297C"/>
    <w:rsid w:val="009413CF"/>
    <w:rsid w:val="009640B4"/>
    <w:rsid w:val="00981C35"/>
    <w:rsid w:val="00A14E9B"/>
    <w:rsid w:val="00A40451"/>
    <w:rsid w:val="00A53FCA"/>
    <w:rsid w:val="00A626DA"/>
    <w:rsid w:val="00AD31AC"/>
    <w:rsid w:val="00AD7D1C"/>
    <w:rsid w:val="00B14E8E"/>
    <w:rsid w:val="00BD0746"/>
    <w:rsid w:val="00BE3BD4"/>
    <w:rsid w:val="00C919FF"/>
    <w:rsid w:val="00CB5991"/>
    <w:rsid w:val="00D308A9"/>
    <w:rsid w:val="00D6700B"/>
    <w:rsid w:val="00D9728A"/>
    <w:rsid w:val="00E13751"/>
    <w:rsid w:val="00E44044"/>
    <w:rsid w:val="00E976D8"/>
    <w:rsid w:val="00EA2F91"/>
    <w:rsid w:val="00EA4600"/>
    <w:rsid w:val="00F111F4"/>
    <w:rsid w:val="00F24B7E"/>
    <w:rsid w:val="00F66B3C"/>
    <w:rsid w:val="00F76271"/>
    <w:rsid w:val="00FC42AC"/>
    <w:rsid w:val="00FC6F93"/>
    <w:rsid w:val="00FD22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5E3EF-E678-43AB-AB24-F9574491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464CD9"/>
    <w:rPr>
      <w:rFonts w:ascii="Tahoma" w:eastAsiaTheme="minorHAnsi" w:hAnsi="Tahoma" w:cs="Tahoma"/>
      <w:sz w:val="16"/>
      <w:szCs w:val="16"/>
      <w:lang w:val="en-ZA"/>
    </w:rPr>
  </w:style>
  <w:style w:type="character" w:customStyle="1" w:styleId="BalloonTextChar">
    <w:name w:val="Balloon Text Char"/>
    <w:basedOn w:val="DefaultParagraphFont"/>
    <w:link w:val="BalloonText"/>
    <w:uiPriority w:val="99"/>
    <w:semiHidden/>
    <w:rsid w:val="00464CD9"/>
    <w:rPr>
      <w:rFonts w:ascii="Tahoma" w:hAnsi="Tahoma" w:cs="Tahoma"/>
      <w:sz w:val="16"/>
      <w:szCs w:val="16"/>
    </w:rPr>
  </w:style>
  <w:style w:type="character" w:customStyle="1" w:styleId="apple-converted-space">
    <w:name w:val="apple-converted-space"/>
    <w:basedOn w:val="DefaultParagraphFont"/>
    <w:rsid w:val="00524F5C"/>
  </w:style>
  <w:style w:type="character" w:styleId="Strong">
    <w:name w:val="Strong"/>
    <w:basedOn w:val="DefaultParagraphFont"/>
    <w:uiPriority w:val="22"/>
    <w:qFormat/>
    <w:rsid w:val="00524F5C"/>
    <w:rPr>
      <w:b/>
      <w:bCs/>
    </w:rPr>
  </w:style>
  <w:style w:type="character" w:styleId="CommentReference">
    <w:name w:val="annotation reference"/>
    <w:basedOn w:val="DefaultParagraphFont"/>
    <w:uiPriority w:val="99"/>
    <w:semiHidden/>
    <w:unhideWhenUsed/>
    <w:rsid w:val="00780F14"/>
    <w:rPr>
      <w:sz w:val="16"/>
      <w:szCs w:val="16"/>
    </w:rPr>
  </w:style>
  <w:style w:type="paragraph" w:styleId="CommentText">
    <w:name w:val="annotation text"/>
    <w:basedOn w:val="Normal"/>
    <w:link w:val="CommentTextChar"/>
    <w:uiPriority w:val="99"/>
    <w:semiHidden/>
    <w:unhideWhenUsed/>
    <w:rsid w:val="00780F14"/>
    <w:rPr>
      <w:sz w:val="20"/>
      <w:szCs w:val="20"/>
    </w:rPr>
  </w:style>
  <w:style w:type="character" w:customStyle="1" w:styleId="CommentTextChar">
    <w:name w:val="Comment Text Char"/>
    <w:basedOn w:val="DefaultParagraphFont"/>
    <w:link w:val="CommentText"/>
    <w:uiPriority w:val="99"/>
    <w:semiHidden/>
    <w:rsid w:val="00780F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0F14"/>
    <w:rPr>
      <w:b/>
      <w:bCs/>
    </w:rPr>
  </w:style>
  <w:style w:type="character" w:customStyle="1" w:styleId="CommentSubjectChar">
    <w:name w:val="Comment Subject Char"/>
    <w:basedOn w:val="CommentTextChar"/>
    <w:link w:val="CommentSubject"/>
    <w:uiPriority w:val="99"/>
    <w:semiHidden/>
    <w:rsid w:val="00780F14"/>
    <w:rPr>
      <w:rFonts w:ascii="Times New Roman" w:eastAsia="Times New Roman" w:hAnsi="Times New Roman" w:cs="Times New Roman"/>
      <w:b/>
      <w:bCs/>
      <w:sz w:val="20"/>
      <w:szCs w:val="20"/>
      <w:lang w:val="en-US"/>
    </w:rPr>
  </w:style>
  <w:style w:type="paragraph" w:styleId="Revision">
    <w:name w:val="Revision"/>
    <w:hidden/>
    <w:uiPriority w:val="99"/>
    <w:semiHidden/>
    <w:rsid w:val="00E44044"/>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A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4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9806989">
      <w:bodyDiv w:val="1"/>
      <w:marLeft w:val="0"/>
      <w:marRight w:val="0"/>
      <w:marTop w:val="0"/>
      <w:marBottom w:val="0"/>
      <w:divBdr>
        <w:top w:val="none" w:sz="0" w:space="0" w:color="auto"/>
        <w:left w:val="none" w:sz="0" w:space="0" w:color="auto"/>
        <w:bottom w:val="none" w:sz="0" w:space="0" w:color="auto"/>
        <w:right w:val="none" w:sz="0" w:space="0" w:color="auto"/>
      </w:divBdr>
    </w:div>
    <w:div w:id="1630352588">
      <w:bodyDiv w:val="1"/>
      <w:marLeft w:val="0"/>
      <w:marRight w:val="0"/>
      <w:marTop w:val="0"/>
      <w:marBottom w:val="0"/>
      <w:divBdr>
        <w:top w:val="none" w:sz="0" w:space="0" w:color="auto"/>
        <w:left w:val="none" w:sz="0" w:space="0" w:color="auto"/>
        <w:bottom w:val="none" w:sz="0" w:space="0" w:color="auto"/>
        <w:right w:val="none" w:sz="0" w:space="0" w:color="auto"/>
      </w:divBdr>
      <w:divsChild>
        <w:div w:id="1168256422">
          <w:marLeft w:val="0"/>
          <w:marRight w:val="0"/>
          <w:marTop w:val="0"/>
          <w:marBottom w:val="0"/>
          <w:divBdr>
            <w:top w:val="none" w:sz="0" w:space="0" w:color="auto"/>
            <w:left w:val="none" w:sz="0" w:space="0" w:color="auto"/>
            <w:bottom w:val="none" w:sz="0" w:space="0" w:color="auto"/>
            <w:right w:val="none" w:sz="0" w:space="0" w:color="auto"/>
          </w:divBdr>
          <w:divsChild>
            <w:div w:id="1693263706">
              <w:marLeft w:val="0"/>
              <w:marRight w:val="-95"/>
              <w:marTop w:val="0"/>
              <w:marBottom w:val="0"/>
              <w:divBdr>
                <w:top w:val="none" w:sz="0" w:space="0" w:color="auto"/>
                <w:left w:val="none" w:sz="0" w:space="0" w:color="auto"/>
                <w:bottom w:val="none" w:sz="0" w:space="0" w:color="auto"/>
                <w:right w:val="none" w:sz="0" w:space="0" w:color="auto"/>
              </w:divBdr>
              <w:divsChild>
                <w:div w:id="905148654">
                  <w:marLeft w:val="3270"/>
                  <w:marRight w:val="270"/>
                  <w:marTop w:val="0"/>
                  <w:marBottom w:val="0"/>
                  <w:divBdr>
                    <w:top w:val="none" w:sz="0" w:space="0" w:color="auto"/>
                    <w:left w:val="none" w:sz="0" w:space="0" w:color="auto"/>
                    <w:bottom w:val="none" w:sz="0" w:space="0" w:color="auto"/>
                    <w:right w:val="none" w:sz="0" w:space="0" w:color="auto"/>
                  </w:divBdr>
                  <w:divsChild>
                    <w:div w:id="18470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guidance-to-ras/technical-guidance-for-auditors/public-sec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3220-4694-4B91-AB9A-DC7D0B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17</cp:revision>
  <cp:lastPrinted>2015-08-20T13:42:00Z</cp:lastPrinted>
  <dcterms:created xsi:type="dcterms:W3CDTF">2015-07-28T09:00:00Z</dcterms:created>
  <dcterms:modified xsi:type="dcterms:W3CDTF">2016-06-23T09:33:00Z</dcterms:modified>
</cp:coreProperties>
</file>