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1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1"/>
      </w:tblGrid>
      <w:tr w:rsidR="001D09E4" w:rsidRPr="007279B3" w:rsidTr="006A71D7">
        <w:trPr>
          <w:trHeight w:val="1747"/>
          <w:tblCellSpacing w:w="15" w:type="dxa"/>
        </w:trPr>
        <w:tc>
          <w:tcPr>
            <w:tcW w:w="8751" w:type="dxa"/>
          </w:tcPr>
          <w:p w:rsidR="008E1FA4" w:rsidRDefault="001D09E4" w:rsidP="005D7CC4">
            <w:pPr>
              <w:pBdr>
                <w:top w:val="single" w:sz="4" w:space="1" w:color="auto"/>
                <w:bottom w:val="single" w:sz="4" w:space="1" w:color="auto"/>
              </w:pBd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CC0000"/>
                <w:lang w:val="en-GB"/>
              </w:rPr>
            </w:pPr>
            <w:r w:rsidRPr="006372C2">
              <w:rPr>
                <w:rFonts w:ascii="Arial" w:hAnsi="Arial" w:cs="Arial"/>
                <w:b/>
                <w:bCs/>
                <w:color w:val="CC0000"/>
                <w:lang w:val="en-GB"/>
              </w:rPr>
              <w:t>INDEPENDENT REGULATORY BOARD FOR AUDITORS</w:t>
            </w:r>
          </w:p>
          <w:p w:rsidR="005A0191" w:rsidRPr="006372C2" w:rsidRDefault="005A0191" w:rsidP="005D7CC4">
            <w:pPr>
              <w:pBdr>
                <w:top w:val="single" w:sz="4" w:space="1" w:color="auto"/>
                <w:bottom w:val="single" w:sz="4" w:space="1" w:color="auto"/>
              </w:pBd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CC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CC0000"/>
                <w:lang w:val="en-GB"/>
              </w:rPr>
              <w:t>COMMITTEE FOR AUDITING STANDARDS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</w:pPr>
            <w:bookmarkStart w:id="0" w:name="Text2"/>
            <w:bookmarkEnd w:id="0"/>
            <w:r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>Estate Agency Affairs Board Audit Requirements</w:t>
            </w:r>
          </w:p>
          <w:p w:rsidR="005A0191" w:rsidRDefault="005A0191" w:rsidP="005A0191">
            <w:pPr>
              <w:spacing w:before="120" w:after="12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>Extension for submission of auditors’ report on estate agents’ trust accounts</w:t>
            </w:r>
          </w:p>
          <w:p w:rsidR="00734BE1" w:rsidRDefault="00C54FEE" w:rsidP="005A019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372C2">
              <w:rPr>
                <w:rFonts w:ascii="Arial" w:hAnsi="Arial" w:cs="Arial"/>
                <w:sz w:val="22"/>
                <w:szCs w:val="22"/>
                <w:lang w:val="en-GB"/>
              </w:rPr>
              <w:t xml:space="preserve">Johannesburg / </w:t>
            </w:r>
            <w:r w:rsidR="005A0191">
              <w:rPr>
                <w:rFonts w:ascii="Arial" w:hAnsi="Arial" w:cs="Arial"/>
                <w:sz w:val="22"/>
                <w:szCs w:val="22"/>
                <w:lang w:val="en-GB"/>
              </w:rPr>
              <w:t xml:space="preserve">5 July </w:t>
            </w:r>
            <w:r w:rsidR="00BA7706" w:rsidRPr="006372C2">
              <w:rPr>
                <w:rFonts w:ascii="Arial" w:hAnsi="Arial" w:cs="Arial"/>
                <w:sz w:val="22"/>
                <w:szCs w:val="22"/>
                <w:lang w:val="en-GB"/>
              </w:rPr>
              <w:t>201</w:t>
            </w:r>
            <w:r w:rsidR="005A0191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  <w:p w:rsidR="005A0191" w:rsidRDefault="005A0191" w:rsidP="005A019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The IRBA Communiqué issued on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9"/>
                <w:szCs w:val="19"/>
                <w:lang w:val="en-ZA" w:eastAsia="en-ZA"/>
              </w:rPr>
              <w:t xml:space="preserve">08 September 2011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advised that a new </w:t>
            </w:r>
            <w:r>
              <w:rPr>
                <w:rFonts w:ascii="Helvetica-Oblique" w:hAnsi="Helvetica-Oblique" w:cs="Helvetica-Oblique"/>
                <w:i/>
                <w:iCs/>
                <w:color w:val="000000"/>
                <w:sz w:val="19"/>
                <w:szCs w:val="19"/>
                <w:lang w:val="en-ZA" w:eastAsia="en-ZA"/>
              </w:rPr>
              <w:t>auditor’s report on estate</w:t>
            </w:r>
            <w:r>
              <w:rPr>
                <w:rFonts w:ascii="Helvetica-Oblique" w:hAnsi="Helvetica-Oblique" w:cs="Helvetica-Oblique"/>
                <w:i/>
                <w:iCs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-Oblique" w:hAnsi="Helvetica-Oblique" w:cs="Helvetica-Oblique"/>
                <w:i/>
                <w:iCs/>
                <w:color w:val="000000"/>
                <w:sz w:val="19"/>
                <w:szCs w:val="19"/>
                <w:lang w:val="en-ZA" w:eastAsia="en-ZA"/>
              </w:rPr>
              <w:t xml:space="preserve">agents’ trust accounts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had been issued, effective from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9"/>
                <w:szCs w:val="19"/>
                <w:lang w:val="en-ZA" w:eastAsia="en-ZA"/>
              </w:rPr>
              <w:t>1 September 2011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. The new report replaced the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existing auditor’s report on the estate agents’ trust accounts and is to be submitted annually to the Estate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Agency Affairs Board (EAAB) by all estate agents within four months of an estate agent’s financial year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end.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Auditors were alerted to the requirements of sections 29 and 32 of the Estate Agency Affairs Act (the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Act), applicable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9"/>
                <w:szCs w:val="19"/>
                <w:lang w:val="en-ZA" w:eastAsia="en-ZA"/>
              </w:rPr>
              <w:t xml:space="preserve">to all estate agents,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requiring their business financial statements and their trust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accounts to be audited, irrespective of whether the estate agent operates as a sole trader, a partnership,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a close corporation or a company. We understand that some estate agents may not previously have had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their business financial statements audited, and this has created difficulties affecting the timeous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completion and submission of the new auditor’s report on estate agents’ trust accounts within the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specified four months of the estate agent’s financial year end.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  <w:bookmarkStart w:id="1" w:name="_GoBack"/>
            <w:bookmarkEnd w:id="1"/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Consequently, the Executive Committee of the EAAB issued a Notice on 20 June 2012 drawing attention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to the above and granting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9"/>
                <w:szCs w:val="19"/>
                <w:lang w:val="en-ZA" w:eastAsia="en-ZA"/>
              </w:rPr>
              <w:t xml:space="preserve">a non-recurring extension of three months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for the submission of the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auditor’s report on all estate agents’ trust accounts for the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9"/>
                <w:szCs w:val="19"/>
                <w:lang w:val="en-ZA" w:eastAsia="en-ZA"/>
              </w:rPr>
              <w:t>2012 financial year-end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.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In addition, minor changes have since been made to the auditor’s report on the trust accounts to facilitate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the provision of information identifying the estate agent registered with the EAAB. Auditors are advised to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complete this latest version of the report for submission.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The latest updated version of the auditor’s report may be downloaded from the IRBA </w:t>
            </w:r>
            <w:r>
              <w:rPr>
                <w:rFonts w:ascii="Helvetica" w:hAnsi="Helvetica" w:cs="Helvetica"/>
                <w:color w:val="BE392D"/>
                <w:sz w:val="19"/>
                <w:szCs w:val="19"/>
                <w:lang w:val="en-ZA" w:eastAsia="en-ZA"/>
              </w:rPr>
              <w:t xml:space="preserve">website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and the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EAAB’s Notification dated 20 June 2012 may be downloaded from its </w:t>
            </w:r>
            <w:r>
              <w:rPr>
                <w:rFonts w:ascii="Helvetica" w:hAnsi="Helvetica" w:cs="Helvetica"/>
                <w:color w:val="BE392D"/>
                <w:sz w:val="19"/>
                <w:szCs w:val="19"/>
                <w:lang w:val="en-ZA" w:eastAsia="en-ZA"/>
              </w:rPr>
              <w:t>website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.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</w:pP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/>
                <w:sz w:val="19"/>
                <w:szCs w:val="19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Should you have any further queries or experience any technical difficulties in downloading the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>documents please do not hesitate to contact the Standards Department at +27 (0)87 940 8800 or send an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19"/>
                <w:szCs w:val="19"/>
                <w:lang w:val="en-ZA" w:eastAsia="en-ZA"/>
              </w:rPr>
              <w:t xml:space="preserve">email to </w:t>
            </w:r>
            <w:hyperlink r:id="rId7" w:history="1">
              <w:r w:rsidRPr="005E35B9">
                <w:rPr>
                  <w:rStyle w:val="Hyperlink"/>
                  <w:rFonts w:ascii="Helvetica" w:hAnsi="Helvetica" w:cs="Helvetica"/>
                  <w:sz w:val="19"/>
                  <w:szCs w:val="19"/>
                  <w:lang w:val="en-ZA" w:eastAsia="en-ZA"/>
                </w:rPr>
                <w:t>standards@irba.co.za</w:t>
              </w:r>
            </w:hyperlink>
            <w:r>
              <w:rPr>
                <w:rFonts w:ascii="Times-Roman" w:hAnsi="Times-Roman" w:cs="Times-Roman"/>
                <w:color w:val="000000"/>
                <w:sz w:val="19"/>
                <w:szCs w:val="19"/>
                <w:lang w:val="en-ZA" w:eastAsia="en-ZA"/>
              </w:rPr>
              <w:t>.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/>
                <w:sz w:val="19"/>
                <w:szCs w:val="19"/>
                <w:lang w:val="en-ZA" w:eastAsia="en-ZA"/>
              </w:rPr>
            </w:pP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/>
                <w:sz w:val="19"/>
                <w:szCs w:val="19"/>
                <w:lang w:val="en-ZA" w:eastAsia="en-ZA"/>
              </w:rPr>
            </w:pPr>
          </w:p>
          <w:p w:rsidR="005A0191" w:rsidRDefault="005A0191" w:rsidP="005A0191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/>
                <w:sz w:val="19"/>
                <w:szCs w:val="19"/>
                <w:lang w:val="en-ZA" w:eastAsia="en-ZA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9"/>
                <w:szCs w:val="19"/>
                <w:lang w:val="en-ZA" w:eastAsia="en-ZA"/>
              </w:rPr>
              <w:t>Sandy van Esch</w:t>
            </w:r>
          </w:p>
          <w:p w:rsidR="005A0191" w:rsidRPr="006372C2" w:rsidRDefault="005A0191" w:rsidP="005A019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9"/>
                <w:szCs w:val="19"/>
                <w:lang w:val="en-ZA" w:eastAsia="en-ZA"/>
              </w:rPr>
              <w:t>Director: Standards</w:t>
            </w:r>
          </w:p>
          <w:p w:rsidR="00F464AB" w:rsidRPr="006372C2" w:rsidRDefault="00F464AB" w:rsidP="00F464AB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D09E4" w:rsidRPr="005A0655" w:rsidRDefault="001D09E4" w:rsidP="00B12E5A">
            <w:pPr>
              <w:spacing w:after="120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5A0655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About the IRBA</w:t>
            </w:r>
          </w:p>
          <w:p w:rsidR="005A0191" w:rsidRDefault="005A0191" w:rsidP="005A019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 w:val="17"/>
                <w:szCs w:val="17"/>
                <w:lang w:val="en-ZA" w:eastAsia="en-ZA"/>
              </w:rPr>
            </w:pPr>
            <w:r>
              <w:rPr>
                <w:rFonts w:ascii="Helvetica-Oblique" w:hAnsi="Helvetica-Oblique" w:cs="Helvetica-Oblique"/>
                <w:i/>
                <w:iCs/>
                <w:sz w:val="17"/>
                <w:szCs w:val="17"/>
                <w:lang w:val="en-ZA" w:eastAsia="en-ZA"/>
              </w:rPr>
              <w:t>The objective of the IRBA is to endeavour to protect the financial interests of the South African public and</w:t>
            </w:r>
            <w:r>
              <w:rPr>
                <w:rFonts w:ascii="Helvetica-Oblique" w:hAnsi="Helvetica-Oblique" w:cs="Helvetica-Oblique"/>
                <w:i/>
                <w:iCs/>
                <w:sz w:val="17"/>
                <w:szCs w:val="17"/>
                <w:lang w:val="en-ZA" w:eastAsia="en-ZA"/>
              </w:rPr>
              <w:t xml:space="preserve"> </w:t>
            </w:r>
            <w:r>
              <w:rPr>
                <w:rFonts w:ascii="Helvetica-Oblique" w:hAnsi="Helvetica-Oblique" w:cs="Helvetica-Oblique"/>
                <w:i/>
                <w:iCs/>
                <w:sz w:val="17"/>
                <w:szCs w:val="17"/>
                <w:lang w:val="en-ZA" w:eastAsia="en-ZA"/>
              </w:rPr>
              <w:t>international investors in South Africa through the effective and appropriate regulation of audits conducted by</w:t>
            </w:r>
            <w:r>
              <w:rPr>
                <w:rFonts w:ascii="Helvetica-Oblique" w:hAnsi="Helvetica-Oblique" w:cs="Helvetica-Oblique"/>
                <w:i/>
                <w:iCs/>
                <w:sz w:val="17"/>
                <w:szCs w:val="17"/>
                <w:lang w:val="en-ZA" w:eastAsia="en-ZA"/>
              </w:rPr>
              <w:t xml:space="preserve"> </w:t>
            </w:r>
            <w:r>
              <w:rPr>
                <w:rFonts w:ascii="Helvetica-Oblique" w:hAnsi="Helvetica-Oblique" w:cs="Helvetica-Oblique"/>
                <w:i/>
                <w:iCs/>
                <w:sz w:val="17"/>
                <w:szCs w:val="17"/>
                <w:lang w:val="en-ZA" w:eastAsia="en-ZA"/>
              </w:rPr>
              <w:t>registered auditors, in accordance with internationally recognised standards and processes.</w:t>
            </w:r>
          </w:p>
          <w:p w:rsidR="00490511" w:rsidRPr="00873E5B" w:rsidRDefault="005A0191" w:rsidP="005A01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A0191">
              <w:rPr>
                <w:rFonts w:ascii="Helvetica-Oblique" w:hAnsi="Helvetica-Oblique" w:cs="Helvetica-Oblique"/>
                <w:i/>
                <w:iCs/>
                <w:sz w:val="17"/>
                <w:szCs w:val="17"/>
                <w:lang w:val="en-ZA" w:eastAsia="en-ZA"/>
              </w:rPr>
              <w:t>The CFAS assists the IRBA to develop and maintain auditing pronouncements which are internationally</w:t>
            </w:r>
            <w:r>
              <w:rPr>
                <w:rFonts w:ascii="Helvetica-Oblique" w:hAnsi="Helvetica-Oblique" w:cs="Helvetica-Oblique"/>
                <w:i/>
                <w:iCs/>
                <w:sz w:val="17"/>
                <w:szCs w:val="17"/>
                <w:lang w:val="en-ZA" w:eastAsia="en-ZA"/>
              </w:rPr>
              <w:t xml:space="preserve"> </w:t>
            </w:r>
            <w:r w:rsidRPr="005A0191">
              <w:rPr>
                <w:rFonts w:ascii="Helvetica-Oblique" w:hAnsi="Helvetica-Oblique" w:cs="Helvetica-Oblique"/>
                <w:i/>
                <w:iCs/>
                <w:sz w:val="17"/>
                <w:szCs w:val="17"/>
                <w:lang w:val="en-ZA" w:eastAsia="en-ZA"/>
              </w:rPr>
              <w:t>comparable.</w:t>
            </w:r>
          </w:p>
        </w:tc>
      </w:tr>
    </w:tbl>
    <w:p w:rsidR="00FB743B" w:rsidRPr="00FB743B" w:rsidRDefault="00FB743B" w:rsidP="006372C2">
      <w:pPr>
        <w:jc w:val="both"/>
      </w:pPr>
    </w:p>
    <w:sectPr w:rsidR="00FB743B" w:rsidRPr="00FB743B" w:rsidSect="00CF46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94" w:rsidRDefault="00F73B94">
      <w:r>
        <w:separator/>
      </w:r>
    </w:p>
  </w:endnote>
  <w:endnote w:type="continuationSeparator" w:id="0">
    <w:p w:rsidR="00F73B94" w:rsidRDefault="00F7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94" w:rsidRDefault="00F73B94">
      <w:r>
        <w:separator/>
      </w:r>
    </w:p>
  </w:footnote>
  <w:footnote w:type="continuationSeparator" w:id="0">
    <w:p w:rsidR="00F73B94" w:rsidRDefault="00F7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E17"/>
    <w:multiLevelType w:val="hybridMultilevel"/>
    <w:tmpl w:val="B85E8442"/>
    <w:lvl w:ilvl="0" w:tplc="5456FF38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B6372"/>
    <w:multiLevelType w:val="hybridMultilevel"/>
    <w:tmpl w:val="8BB420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B5AE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A2521DA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1E67169"/>
    <w:multiLevelType w:val="multilevel"/>
    <w:tmpl w:val="19F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772B8D"/>
    <w:multiLevelType w:val="hybridMultilevel"/>
    <w:tmpl w:val="E38ACB3E"/>
    <w:lvl w:ilvl="0" w:tplc="EE06F2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F0D0E"/>
    <w:multiLevelType w:val="hybridMultilevel"/>
    <w:tmpl w:val="0742C8AE"/>
    <w:lvl w:ilvl="0" w:tplc="1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29C190B"/>
    <w:multiLevelType w:val="hybridMultilevel"/>
    <w:tmpl w:val="E5662CB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0843AE"/>
    <w:multiLevelType w:val="hybridMultilevel"/>
    <w:tmpl w:val="57C82310"/>
    <w:lvl w:ilvl="0" w:tplc="1C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4D6033CC"/>
    <w:multiLevelType w:val="hybridMultilevel"/>
    <w:tmpl w:val="A254FC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722A1"/>
    <w:multiLevelType w:val="hybridMultilevel"/>
    <w:tmpl w:val="52D674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C457A"/>
    <w:multiLevelType w:val="hybridMultilevel"/>
    <w:tmpl w:val="987EB72A"/>
    <w:lvl w:ilvl="0" w:tplc="503EBE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4A84E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4F946A00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  <w:sz w:val="18"/>
      </w:rPr>
    </w:lvl>
    <w:lvl w:ilvl="3" w:tplc="04090001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9FC0F842">
      <w:start w:val="1"/>
      <w:numFmt w:val="lowerLetter"/>
      <w:lvlText w:val="(%5)"/>
      <w:lvlJc w:val="left"/>
      <w:pPr>
        <w:ind w:left="3420" w:hanging="5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B922CB"/>
    <w:multiLevelType w:val="hybridMultilevel"/>
    <w:tmpl w:val="0E485AF2"/>
    <w:lvl w:ilvl="0" w:tplc="10F4BA4E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81D1BC2"/>
    <w:multiLevelType w:val="hybridMultilevel"/>
    <w:tmpl w:val="2E2468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2BC5"/>
    <w:multiLevelType w:val="hybridMultilevel"/>
    <w:tmpl w:val="9D1E0960"/>
    <w:lvl w:ilvl="0" w:tplc="10F4BA4E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83205F4"/>
    <w:multiLevelType w:val="multilevel"/>
    <w:tmpl w:val="7CAE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472A9"/>
    <w:multiLevelType w:val="hybridMultilevel"/>
    <w:tmpl w:val="04AA54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A6D40"/>
    <w:multiLevelType w:val="hybridMultilevel"/>
    <w:tmpl w:val="E1A288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A15F6"/>
    <w:multiLevelType w:val="hybridMultilevel"/>
    <w:tmpl w:val="655E30AA"/>
    <w:lvl w:ilvl="0" w:tplc="1C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 w15:restartNumberingAfterBreak="0">
    <w:nsid w:val="7D4F1383"/>
    <w:multiLevelType w:val="multilevel"/>
    <w:tmpl w:val="927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DC2185"/>
    <w:multiLevelType w:val="hybridMultilevel"/>
    <w:tmpl w:val="69EC1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7FC32C10"/>
    <w:multiLevelType w:val="hybridMultilevel"/>
    <w:tmpl w:val="5C5EF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1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14"/>
  </w:num>
  <w:num w:numId="12">
    <w:abstractNumId w:val="9"/>
  </w:num>
  <w:num w:numId="13">
    <w:abstractNumId w:val="17"/>
  </w:num>
  <w:num w:numId="14">
    <w:abstractNumId w:val="11"/>
  </w:num>
  <w:num w:numId="15">
    <w:abstractNumId w:val="19"/>
  </w:num>
  <w:num w:numId="16">
    <w:abstractNumId w:val="16"/>
  </w:num>
  <w:num w:numId="17">
    <w:abstractNumId w:val="7"/>
  </w:num>
  <w:num w:numId="18">
    <w:abstractNumId w:val="10"/>
  </w:num>
  <w:num w:numId="19">
    <w:abstractNumId w:val="13"/>
  </w:num>
  <w:num w:numId="20">
    <w:abstractNumId w:val="8"/>
  </w:num>
  <w:num w:numId="21">
    <w:abstractNumId w:val="0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62"/>
    <w:rsid w:val="00003D96"/>
    <w:rsid w:val="00010C67"/>
    <w:rsid w:val="000136EF"/>
    <w:rsid w:val="0002385D"/>
    <w:rsid w:val="00032EC5"/>
    <w:rsid w:val="00040123"/>
    <w:rsid w:val="00044382"/>
    <w:rsid w:val="000450CD"/>
    <w:rsid w:val="0005147F"/>
    <w:rsid w:val="00064EB5"/>
    <w:rsid w:val="0006670E"/>
    <w:rsid w:val="000859A2"/>
    <w:rsid w:val="000878CF"/>
    <w:rsid w:val="00092D8D"/>
    <w:rsid w:val="00097D2D"/>
    <w:rsid w:val="000A09BD"/>
    <w:rsid w:val="000B3AC9"/>
    <w:rsid w:val="000B4148"/>
    <w:rsid w:val="000B4EE8"/>
    <w:rsid w:val="000B52F6"/>
    <w:rsid w:val="000C6DE2"/>
    <w:rsid w:val="000E3393"/>
    <w:rsid w:val="000E650C"/>
    <w:rsid w:val="000E6557"/>
    <w:rsid w:val="00101136"/>
    <w:rsid w:val="00113BFF"/>
    <w:rsid w:val="00113E44"/>
    <w:rsid w:val="00114451"/>
    <w:rsid w:val="00116085"/>
    <w:rsid w:val="00122722"/>
    <w:rsid w:val="00126186"/>
    <w:rsid w:val="00134F54"/>
    <w:rsid w:val="00137A03"/>
    <w:rsid w:val="00140754"/>
    <w:rsid w:val="001540D8"/>
    <w:rsid w:val="001552E2"/>
    <w:rsid w:val="0017104C"/>
    <w:rsid w:val="0017487B"/>
    <w:rsid w:val="0018695A"/>
    <w:rsid w:val="001A1432"/>
    <w:rsid w:val="001A7934"/>
    <w:rsid w:val="001C25A5"/>
    <w:rsid w:val="001C4B9C"/>
    <w:rsid w:val="001C523A"/>
    <w:rsid w:val="001D09E4"/>
    <w:rsid w:val="001D523A"/>
    <w:rsid w:val="001F4B6D"/>
    <w:rsid w:val="00200976"/>
    <w:rsid w:val="002012B2"/>
    <w:rsid w:val="0020189B"/>
    <w:rsid w:val="00203D03"/>
    <w:rsid w:val="002109B1"/>
    <w:rsid w:val="00214ACB"/>
    <w:rsid w:val="00216C17"/>
    <w:rsid w:val="00216F8A"/>
    <w:rsid w:val="00227905"/>
    <w:rsid w:val="00232478"/>
    <w:rsid w:val="0024081E"/>
    <w:rsid w:val="00245BF9"/>
    <w:rsid w:val="00253927"/>
    <w:rsid w:val="00272EAF"/>
    <w:rsid w:val="002844DA"/>
    <w:rsid w:val="00295291"/>
    <w:rsid w:val="002A60B6"/>
    <w:rsid w:val="002A74E0"/>
    <w:rsid w:val="002B73E0"/>
    <w:rsid w:val="002C45B6"/>
    <w:rsid w:val="002D39B8"/>
    <w:rsid w:val="002D43B1"/>
    <w:rsid w:val="002D5ADC"/>
    <w:rsid w:val="002D6054"/>
    <w:rsid w:val="002D7307"/>
    <w:rsid w:val="002E40D3"/>
    <w:rsid w:val="002F1772"/>
    <w:rsid w:val="002F7B31"/>
    <w:rsid w:val="00313118"/>
    <w:rsid w:val="00314C4A"/>
    <w:rsid w:val="00315776"/>
    <w:rsid w:val="00325494"/>
    <w:rsid w:val="003356FE"/>
    <w:rsid w:val="00340339"/>
    <w:rsid w:val="00342BA3"/>
    <w:rsid w:val="00356960"/>
    <w:rsid w:val="0037190D"/>
    <w:rsid w:val="00372124"/>
    <w:rsid w:val="00376C05"/>
    <w:rsid w:val="0039194F"/>
    <w:rsid w:val="00394559"/>
    <w:rsid w:val="003947F4"/>
    <w:rsid w:val="003A01AD"/>
    <w:rsid w:val="003A1121"/>
    <w:rsid w:val="003A201F"/>
    <w:rsid w:val="003B67FC"/>
    <w:rsid w:val="003B7B30"/>
    <w:rsid w:val="003D32C8"/>
    <w:rsid w:val="003D3CF2"/>
    <w:rsid w:val="003E23B2"/>
    <w:rsid w:val="003E2B95"/>
    <w:rsid w:val="003E66B0"/>
    <w:rsid w:val="003F6A77"/>
    <w:rsid w:val="00400C1E"/>
    <w:rsid w:val="0040189D"/>
    <w:rsid w:val="004170DD"/>
    <w:rsid w:val="004228B0"/>
    <w:rsid w:val="00430ADA"/>
    <w:rsid w:val="00431DBA"/>
    <w:rsid w:val="00435B84"/>
    <w:rsid w:val="00445301"/>
    <w:rsid w:val="0045777B"/>
    <w:rsid w:val="00465756"/>
    <w:rsid w:val="00476A19"/>
    <w:rsid w:val="00476E88"/>
    <w:rsid w:val="004801B6"/>
    <w:rsid w:val="00481202"/>
    <w:rsid w:val="0048394C"/>
    <w:rsid w:val="00485F72"/>
    <w:rsid w:val="00490511"/>
    <w:rsid w:val="0049789D"/>
    <w:rsid w:val="004A08F3"/>
    <w:rsid w:val="004A29F3"/>
    <w:rsid w:val="004B0A62"/>
    <w:rsid w:val="004B190D"/>
    <w:rsid w:val="004B4407"/>
    <w:rsid w:val="004C62D9"/>
    <w:rsid w:val="004D11BE"/>
    <w:rsid w:val="004D4668"/>
    <w:rsid w:val="004D5AED"/>
    <w:rsid w:val="004E5DAD"/>
    <w:rsid w:val="004E7CED"/>
    <w:rsid w:val="004F1712"/>
    <w:rsid w:val="004F3075"/>
    <w:rsid w:val="004F63B7"/>
    <w:rsid w:val="00501D83"/>
    <w:rsid w:val="00502FE5"/>
    <w:rsid w:val="005105C4"/>
    <w:rsid w:val="00520C08"/>
    <w:rsid w:val="00520DCC"/>
    <w:rsid w:val="005230B0"/>
    <w:rsid w:val="00525D32"/>
    <w:rsid w:val="00530BE5"/>
    <w:rsid w:val="00546E1C"/>
    <w:rsid w:val="00553819"/>
    <w:rsid w:val="00562ACE"/>
    <w:rsid w:val="0057353C"/>
    <w:rsid w:val="005811FF"/>
    <w:rsid w:val="00581AFC"/>
    <w:rsid w:val="00591298"/>
    <w:rsid w:val="0059783A"/>
    <w:rsid w:val="005A0191"/>
    <w:rsid w:val="005A0655"/>
    <w:rsid w:val="005B4925"/>
    <w:rsid w:val="005C5483"/>
    <w:rsid w:val="005D3E51"/>
    <w:rsid w:val="005D7CC4"/>
    <w:rsid w:val="005F04BF"/>
    <w:rsid w:val="005F16E7"/>
    <w:rsid w:val="00601BA3"/>
    <w:rsid w:val="0060435D"/>
    <w:rsid w:val="00620907"/>
    <w:rsid w:val="00626C7F"/>
    <w:rsid w:val="00633E48"/>
    <w:rsid w:val="006372C2"/>
    <w:rsid w:val="00637821"/>
    <w:rsid w:val="006448AD"/>
    <w:rsid w:val="00652E9F"/>
    <w:rsid w:val="00654E42"/>
    <w:rsid w:val="00657150"/>
    <w:rsid w:val="00657AC1"/>
    <w:rsid w:val="00665BA3"/>
    <w:rsid w:val="00667C74"/>
    <w:rsid w:val="006817C0"/>
    <w:rsid w:val="0068669D"/>
    <w:rsid w:val="006964CA"/>
    <w:rsid w:val="006A71D7"/>
    <w:rsid w:val="006B6619"/>
    <w:rsid w:val="006B7A0B"/>
    <w:rsid w:val="006C3680"/>
    <w:rsid w:val="006C4CD0"/>
    <w:rsid w:val="006E3E2B"/>
    <w:rsid w:val="006F44C4"/>
    <w:rsid w:val="006F73BE"/>
    <w:rsid w:val="0070324F"/>
    <w:rsid w:val="00711F93"/>
    <w:rsid w:val="00715EC2"/>
    <w:rsid w:val="0071605F"/>
    <w:rsid w:val="007172DD"/>
    <w:rsid w:val="007173E2"/>
    <w:rsid w:val="00720CBE"/>
    <w:rsid w:val="00725952"/>
    <w:rsid w:val="007279B3"/>
    <w:rsid w:val="00731067"/>
    <w:rsid w:val="007338EB"/>
    <w:rsid w:val="00734BE1"/>
    <w:rsid w:val="00736DEE"/>
    <w:rsid w:val="007410C7"/>
    <w:rsid w:val="0074494B"/>
    <w:rsid w:val="007450F7"/>
    <w:rsid w:val="00754EAC"/>
    <w:rsid w:val="00762565"/>
    <w:rsid w:val="00766238"/>
    <w:rsid w:val="007665E9"/>
    <w:rsid w:val="007709AC"/>
    <w:rsid w:val="00771AA5"/>
    <w:rsid w:val="00776C30"/>
    <w:rsid w:val="0078740D"/>
    <w:rsid w:val="00795C80"/>
    <w:rsid w:val="007B381D"/>
    <w:rsid w:val="007C13D2"/>
    <w:rsid w:val="007C1625"/>
    <w:rsid w:val="007D5559"/>
    <w:rsid w:val="007E2CDE"/>
    <w:rsid w:val="00803A0E"/>
    <w:rsid w:val="008044A3"/>
    <w:rsid w:val="00817D8E"/>
    <w:rsid w:val="00823D20"/>
    <w:rsid w:val="00834A2F"/>
    <w:rsid w:val="008437AD"/>
    <w:rsid w:val="00843BF0"/>
    <w:rsid w:val="00847575"/>
    <w:rsid w:val="00853A64"/>
    <w:rsid w:val="0086276B"/>
    <w:rsid w:val="00862F7E"/>
    <w:rsid w:val="0086785E"/>
    <w:rsid w:val="00873664"/>
    <w:rsid w:val="00873E5B"/>
    <w:rsid w:val="0089033B"/>
    <w:rsid w:val="008942A8"/>
    <w:rsid w:val="0089542C"/>
    <w:rsid w:val="008B4BC2"/>
    <w:rsid w:val="008C0F0D"/>
    <w:rsid w:val="008C24D6"/>
    <w:rsid w:val="008D0691"/>
    <w:rsid w:val="008D7ADA"/>
    <w:rsid w:val="008E09EC"/>
    <w:rsid w:val="008E1FA4"/>
    <w:rsid w:val="008E2763"/>
    <w:rsid w:val="008F6B79"/>
    <w:rsid w:val="009141DD"/>
    <w:rsid w:val="00922D6E"/>
    <w:rsid w:val="00930E32"/>
    <w:rsid w:val="009352CB"/>
    <w:rsid w:val="0094029D"/>
    <w:rsid w:val="0096265A"/>
    <w:rsid w:val="00981863"/>
    <w:rsid w:val="00982179"/>
    <w:rsid w:val="00982D4C"/>
    <w:rsid w:val="00991C85"/>
    <w:rsid w:val="009E5345"/>
    <w:rsid w:val="009E7287"/>
    <w:rsid w:val="009E784B"/>
    <w:rsid w:val="00A1003B"/>
    <w:rsid w:val="00A10918"/>
    <w:rsid w:val="00A11FDB"/>
    <w:rsid w:val="00A16147"/>
    <w:rsid w:val="00A2377E"/>
    <w:rsid w:val="00A25906"/>
    <w:rsid w:val="00A30594"/>
    <w:rsid w:val="00A320E2"/>
    <w:rsid w:val="00A338B0"/>
    <w:rsid w:val="00A53E61"/>
    <w:rsid w:val="00A719B1"/>
    <w:rsid w:val="00AA450F"/>
    <w:rsid w:val="00AA715B"/>
    <w:rsid w:val="00AB779F"/>
    <w:rsid w:val="00AC0C4E"/>
    <w:rsid w:val="00AC62A0"/>
    <w:rsid w:val="00AC74DF"/>
    <w:rsid w:val="00AD0FAA"/>
    <w:rsid w:val="00AD7D5A"/>
    <w:rsid w:val="00AF3F0B"/>
    <w:rsid w:val="00AF4C82"/>
    <w:rsid w:val="00B075B7"/>
    <w:rsid w:val="00B11F48"/>
    <w:rsid w:val="00B12E5A"/>
    <w:rsid w:val="00B16992"/>
    <w:rsid w:val="00B17169"/>
    <w:rsid w:val="00B2199A"/>
    <w:rsid w:val="00B23D2A"/>
    <w:rsid w:val="00B244D5"/>
    <w:rsid w:val="00B3448B"/>
    <w:rsid w:val="00B3696C"/>
    <w:rsid w:val="00B37676"/>
    <w:rsid w:val="00B44226"/>
    <w:rsid w:val="00B52FBE"/>
    <w:rsid w:val="00B53800"/>
    <w:rsid w:val="00B56DC1"/>
    <w:rsid w:val="00B56E71"/>
    <w:rsid w:val="00B61638"/>
    <w:rsid w:val="00B65630"/>
    <w:rsid w:val="00B659C3"/>
    <w:rsid w:val="00B837E8"/>
    <w:rsid w:val="00B92E25"/>
    <w:rsid w:val="00BA5313"/>
    <w:rsid w:val="00BA7706"/>
    <w:rsid w:val="00BC3DCC"/>
    <w:rsid w:val="00BE3A04"/>
    <w:rsid w:val="00BF23CF"/>
    <w:rsid w:val="00C042C2"/>
    <w:rsid w:val="00C06C45"/>
    <w:rsid w:val="00C075A2"/>
    <w:rsid w:val="00C23AA8"/>
    <w:rsid w:val="00C252E3"/>
    <w:rsid w:val="00C26742"/>
    <w:rsid w:val="00C40FBA"/>
    <w:rsid w:val="00C451BF"/>
    <w:rsid w:val="00C54FEE"/>
    <w:rsid w:val="00C71091"/>
    <w:rsid w:val="00C728DC"/>
    <w:rsid w:val="00C7409F"/>
    <w:rsid w:val="00C81770"/>
    <w:rsid w:val="00C83BDB"/>
    <w:rsid w:val="00CA3A48"/>
    <w:rsid w:val="00CA491C"/>
    <w:rsid w:val="00CB4B32"/>
    <w:rsid w:val="00CB6B61"/>
    <w:rsid w:val="00CC4DBE"/>
    <w:rsid w:val="00CD7B0B"/>
    <w:rsid w:val="00CE05FC"/>
    <w:rsid w:val="00CE5699"/>
    <w:rsid w:val="00CF4646"/>
    <w:rsid w:val="00D00FBD"/>
    <w:rsid w:val="00D01EA1"/>
    <w:rsid w:val="00D03C05"/>
    <w:rsid w:val="00D1346E"/>
    <w:rsid w:val="00D20F98"/>
    <w:rsid w:val="00D2206D"/>
    <w:rsid w:val="00D248FA"/>
    <w:rsid w:val="00D35969"/>
    <w:rsid w:val="00D40F54"/>
    <w:rsid w:val="00D4672E"/>
    <w:rsid w:val="00D47988"/>
    <w:rsid w:val="00D56247"/>
    <w:rsid w:val="00D65986"/>
    <w:rsid w:val="00D668E5"/>
    <w:rsid w:val="00D7008D"/>
    <w:rsid w:val="00D753EF"/>
    <w:rsid w:val="00D768AE"/>
    <w:rsid w:val="00D84E6D"/>
    <w:rsid w:val="00D87912"/>
    <w:rsid w:val="00D9298B"/>
    <w:rsid w:val="00DA5AED"/>
    <w:rsid w:val="00DA7BFB"/>
    <w:rsid w:val="00DC0067"/>
    <w:rsid w:val="00DC113B"/>
    <w:rsid w:val="00DC2ED2"/>
    <w:rsid w:val="00DC5C0F"/>
    <w:rsid w:val="00DD1120"/>
    <w:rsid w:val="00DE6BF7"/>
    <w:rsid w:val="00DF707A"/>
    <w:rsid w:val="00E01488"/>
    <w:rsid w:val="00E02E39"/>
    <w:rsid w:val="00E047CD"/>
    <w:rsid w:val="00E07370"/>
    <w:rsid w:val="00E13438"/>
    <w:rsid w:val="00E17D9D"/>
    <w:rsid w:val="00E31ACF"/>
    <w:rsid w:val="00E55984"/>
    <w:rsid w:val="00E55E2F"/>
    <w:rsid w:val="00E5656B"/>
    <w:rsid w:val="00E57669"/>
    <w:rsid w:val="00E621B7"/>
    <w:rsid w:val="00E705F2"/>
    <w:rsid w:val="00E725B7"/>
    <w:rsid w:val="00E73F81"/>
    <w:rsid w:val="00E76A46"/>
    <w:rsid w:val="00E85336"/>
    <w:rsid w:val="00E860E3"/>
    <w:rsid w:val="00E94A78"/>
    <w:rsid w:val="00E9626D"/>
    <w:rsid w:val="00EA39E9"/>
    <w:rsid w:val="00EB277F"/>
    <w:rsid w:val="00EB3DD8"/>
    <w:rsid w:val="00EB6057"/>
    <w:rsid w:val="00EC28EB"/>
    <w:rsid w:val="00EC6ACB"/>
    <w:rsid w:val="00ED685F"/>
    <w:rsid w:val="00EF0CEC"/>
    <w:rsid w:val="00EF234F"/>
    <w:rsid w:val="00EF4769"/>
    <w:rsid w:val="00EF7CAF"/>
    <w:rsid w:val="00F0083E"/>
    <w:rsid w:val="00F06026"/>
    <w:rsid w:val="00F1120B"/>
    <w:rsid w:val="00F22110"/>
    <w:rsid w:val="00F22686"/>
    <w:rsid w:val="00F2762C"/>
    <w:rsid w:val="00F344DE"/>
    <w:rsid w:val="00F464AB"/>
    <w:rsid w:val="00F511BB"/>
    <w:rsid w:val="00F56582"/>
    <w:rsid w:val="00F663CB"/>
    <w:rsid w:val="00F6677D"/>
    <w:rsid w:val="00F72ADB"/>
    <w:rsid w:val="00F73B94"/>
    <w:rsid w:val="00F87562"/>
    <w:rsid w:val="00F92DF3"/>
    <w:rsid w:val="00FA39F2"/>
    <w:rsid w:val="00FB743B"/>
    <w:rsid w:val="00FC2D0C"/>
    <w:rsid w:val="00FC4FFC"/>
    <w:rsid w:val="00FD2177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9FD2B2D-F270-4A00-88B3-C55E7EA2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4C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locked/>
    <w:rsid w:val="004E5DAD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bCs/>
      <w:szCs w:val="26"/>
      <w:lang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B74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orDepartment">
    <w:name w:val="Title or Department"/>
    <w:rsid w:val="004B0A62"/>
    <w:rPr>
      <w:rFonts w:ascii="Calibri" w:hAnsi="Calibri" w:cs="Times New Roman"/>
      <w:b/>
      <w:bCs/>
      <w:color w:val="C00000"/>
    </w:rPr>
  </w:style>
  <w:style w:type="character" w:customStyle="1" w:styleId="Subject">
    <w:name w:val="Subject:"/>
    <w:rsid w:val="004B0A62"/>
    <w:rPr>
      <w:rFonts w:ascii="Calibri" w:hAnsi="Calibri" w:cs="Times New Roman"/>
      <w:b/>
      <w:bCs/>
      <w:color w:val="7C6440"/>
    </w:rPr>
  </w:style>
  <w:style w:type="character" w:customStyle="1" w:styleId="PlaceDate">
    <w:name w:val="Place &amp; Date"/>
    <w:rsid w:val="004B0A62"/>
    <w:rPr>
      <w:rFonts w:ascii="Calibri" w:hAnsi="Calibri" w:cs="Times New Roman"/>
      <w:color w:val="7C7C7C"/>
    </w:rPr>
  </w:style>
  <w:style w:type="character" w:styleId="Hyperlink">
    <w:name w:val="Hyperlink"/>
    <w:rsid w:val="000878CF"/>
    <w:rPr>
      <w:rFonts w:cs="Times New Roman"/>
      <w:color w:val="BD392D"/>
      <w:u w:val="single"/>
      <w:effect w:val="none"/>
    </w:rPr>
  </w:style>
  <w:style w:type="paragraph" w:styleId="BalloonText">
    <w:name w:val="Balloon Text"/>
    <w:basedOn w:val="Normal"/>
    <w:link w:val="BalloonTextChar"/>
    <w:semiHidden/>
    <w:rsid w:val="0069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C24D6"/>
    <w:rPr>
      <w:rFonts w:cs="Times New Roman"/>
      <w:sz w:val="2"/>
    </w:rPr>
  </w:style>
  <w:style w:type="character" w:styleId="CommentReference">
    <w:name w:val="annotation reference"/>
    <w:semiHidden/>
    <w:rsid w:val="005D3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3E51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C24D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D3E5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C24D6"/>
    <w:rPr>
      <w:rFonts w:cs="Times New Roman"/>
      <w:b/>
      <w:bCs/>
      <w:sz w:val="20"/>
      <w:szCs w:val="20"/>
    </w:rPr>
  </w:style>
  <w:style w:type="character" w:styleId="Emphasis">
    <w:name w:val="Emphasis"/>
    <w:uiPriority w:val="20"/>
    <w:qFormat/>
    <w:rsid w:val="00AC0C4E"/>
    <w:rPr>
      <w:rFonts w:cs="Times New Roman"/>
      <w:i/>
      <w:iCs/>
    </w:rPr>
  </w:style>
  <w:style w:type="paragraph" w:customStyle="1" w:styleId="mainhead">
    <w:name w:val="mainhead"/>
    <w:basedOn w:val="Normal"/>
    <w:rsid w:val="0086276B"/>
    <w:pPr>
      <w:spacing w:before="240" w:line="360" w:lineRule="exact"/>
    </w:pPr>
    <w:rPr>
      <w:b/>
      <w:sz w:val="36"/>
      <w:szCs w:val="20"/>
      <w:lang w:val="en-GB"/>
    </w:rPr>
  </w:style>
  <w:style w:type="character" w:styleId="FollowedHyperlink">
    <w:name w:val="FollowedHyperlink"/>
    <w:rsid w:val="00C23AA8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D753E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753EF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276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C24D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F2762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C24D6"/>
    <w:rPr>
      <w:rFonts w:cs="Times New Roman"/>
      <w:sz w:val="24"/>
      <w:szCs w:val="24"/>
    </w:rPr>
  </w:style>
  <w:style w:type="character" w:customStyle="1" w:styleId="PlainTextChar">
    <w:name w:val="Plain Text Char"/>
    <w:locked/>
    <w:rsid w:val="002A60B6"/>
    <w:rPr>
      <w:rFonts w:ascii="Consolas" w:hAnsi="Consolas"/>
    </w:rPr>
  </w:style>
  <w:style w:type="paragraph" w:styleId="PlainText">
    <w:name w:val="Plain Text"/>
    <w:basedOn w:val="Normal"/>
    <w:link w:val="PlainTextChar1"/>
    <w:rsid w:val="002A60B6"/>
    <w:rPr>
      <w:rFonts w:ascii="Consolas" w:hAnsi="Consolas"/>
      <w:sz w:val="20"/>
      <w:szCs w:val="20"/>
    </w:rPr>
  </w:style>
  <w:style w:type="character" w:customStyle="1" w:styleId="PlainTextChar1">
    <w:name w:val="Plain Text Char1"/>
    <w:link w:val="PlainText"/>
    <w:semiHidden/>
    <w:locked/>
    <w:rsid w:val="008C24D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CC4DB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GB" w:eastAsia="ja-JP"/>
    </w:rPr>
  </w:style>
  <w:style w:type="paragraph" w:customStyle="1" w:styleId="ac-01">
    <w:name w:val="ac-01"/>
    <w:basedOn w:val="Default"/>
    <w:next w:val="Default"/>
    <w:rsid w:val="00CC4DBE"/>
    <w:rPr>
      <w:color w:val="auto"/>
    </w:rPr>
  </w:style>
  <w:style w:type="paragraph" w:styleId="Title">
    <w:name w:val="Title"/>
    <w:basedOn w:val="Normal"/>
    <w:link w:val="TitleChar"/>
    <w:uiPriority w:val="10"/>
    <w:qFormat/>
    <w:locked/>
    <w:rsid w:val="00CC4DBE"/>
    <w:pPr>
      <w:jc w:val="center"/>
    </w:pPr>
    <w:rPr>
      <w:b/>
      <w:szCs w:val="20"/>
      <w:lang w:eastAsia="en-GB"/>
    </w:rPr>
  </w:style>
  <w:style w:type="character" w:customStyle="1" w:styleId="TitleChar">
    <w:name w:val="Title Char"/>
    <w:link w:val="Title"/>
    <w:uiPriority w:val="10"/>
    <w:locked/>
    <w:rsid w:val="008C24D6"/>
    <w:rPr>
      <w:rFonts w:ascii="Cambria" w:hAnsi="Cambria" w:cs="Times New Roman"/>
      <w:b/>
      <w:bCs/>
      <w:kern w:val="28"/>
      <w:sz w:val="32"/>
      <w:szCs w:val="32"/>
    </w:rPr>
  </w:style>
  <w:style w:type="numbering" w:customStyle="1" w:styleId="Style1">
    <w:name w:val="Style1"/>
    <w:rsid w:val="00273B7C"/>
    <w:pPr>
      <w:numPr>
        <w:numId w:val="1"/>
      </w:numPr>
    </w:pPr>
  </w:style>
  <w:style w:type="numbering" w:customStyle="1" w:styleId="Style2">
    <w:name w:val="Style2"/>
    <w:rsid w:val="00273B7C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C728DC"/>
    <w:pPr>
      <w:ind w:left="720"/>
      <w:contextualSpacing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E5DAD"/>
    <w:rPr>
      <w:rFonts w:ascii="Arial" w:eastAsiaTheme="majorEastAsia" w:hAnsi="Arial" w:cstheme="majorBidi"/>
      <w:b/>
      <w:bCs/>
      <w:sz w:val="24"/>
      <w:szCs w:val="26"/>
      <w:lang w:val="en-US" w:eastAsia="ja-JP"/>
    </w:rPr>
  </w:style>
  <w:style w:type="character" w:customStyle="1" w:styleId="apple-converted-space">
    <w:name w:val="apple-converted-space"/>
    <w:basedOn w:val="DefaultParagraphFont"/>
    <w:rsid w:val="00834A2F"/>
  </w:style>
  <w:style w:type="character" w:customStyle="1" w:styleId="FootnoteTextChar">
    <w:name w:val="Footnote Text Char"/>
    <w:aliases w:val="Footnote Text Char2 Char,Footnote Text Char11 Char,Footnote Text Char3 Char,Footnote Text Char4 Char,Footnote Text Char5 Char,Footnote Text Char6 Char,Footnote Text Char12 Char,Footnote Text Char21 Char,Footnote Text Char31 Char"/>
    <w:basedOn w:val="DefaultParagraphFont"/>
    <w:link w:val="FootnoteText"/>
    <w:uiPriority w:val="99"/>
    <w:locked/>
    <w:rsid w:val="00490511"/>
    <w:rPr>
      <w:lang w:val="en-GB" w:eastAsia="en-GB"/>
    </w:rPr>
  </w:style>
  <w:style w:type="paragraph" w:styleId="FootnoteText">
    <w:name w:val="footnote text"/>
    <w:aliases w:val="Footnote Text Char2,Footnote Text Char11,Footnote Text Char3,Footnote Text Char4,Footnote Text Char5,Footnote Text Char6,Footnote Text Char12,Footnote Text Char21,Footnote Text Char31,Footnote New,Ch"/>
    <w:basedOn w:val="Normal"/>
    <w:link w:val="FootnoteTextChar"/>
    <w:uiPriority w:val="99"/>
    <w:unhideWhenUsed/>
    <w:rsid w:val="00490511"/>
    <w:rPr>
      <w:sz w:val="20"/>
      <w:szCs w:val="20"/>
      <w:lang w:val="en-GB" w:eastAsia="en-GB"/>
    </w:rPr>
  </w:style>
  <w:style w:type="character" w:customStyle="1" w:styleId="FootnoteTextChar1">
    <w:name w:val="Footnote Text Char1"/>
    <w:basedOn w:val="DefaultParagraphFont"/>
    <w:rsid w:val="00490511"/>
    <w:rPr>
      <w:lang w:val="en-US" w:eastAsia="en-US"/>
    </w:rPr>
  </w:style>
  <w:style w:type="table" w:styleId="TableGrid">
    <w:name w:val="Table Grid"/>
    <w:basedOn w:val="TableNormal"/>
    <w:uiPriority w:val="99"/>
    <w:locked/>
    <w:rsid w:val="00FB743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FB74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dards@irb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for Auditing Standards</vt:lpstr>
    </vt:vector>
  </TitlesOfParts>
  <Company>IRBA</Company>
  <LinksUpToDate>false</LinksUpToDate>
  <CharactersWithSpaces>2798</CharactersWithSpaces>
  <SharedDoc>false</SharedDoc>
  <HLinks>
    <vt:vector size="18" baseType="variant">
      <vt:variant>
        <vt:i4>2424907</vt:i4>
      </vt:variant>
      <vt:variant>
        <vt:i4>3</vt:i4>
      </vt:variant>
      <vt:variant>
        <vt:i4>0</vt:i4>
      </vt:variant>
      <vt:variant>
        <vt:i4>5</vt:i4>
      </vt:variant>
      <vt:variant>
        <vt:lpwstr>mailto:standards@irba.co.za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http://www.irba.co.za/</vt:lpwstr>
      </vt:variant>
      <vt:variant>
        <vt:lpwstr/>
      </vt:variant>
      <vt:variant>
        <vt:i4>6029324</vt:i4>
      </vt:variant>
      <vt:variant>
        <vt:i4>0</vt:i4>
      </vt:variant>
      <vt:variant>
        <vt:i4>0</vt:i4>
      </vt:variant>
      <vt:variant>
        <vt:i4>5</vt:i4>
      </vt:variant>
      <vt:variant>
        <vt:lpwstr>http://www.irba.co.za/index.php/auditing-standards-functions-55/91?task=view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Auditing Standards</dc:title>
  <dc:creator>tpeyper</dc:creator>
  <cp:lastModifiedBy>Henriette Fortuin</cp:lastModifiedBy>
  <cp:revision>3</cp:revision>
  <cp:lastPrinted>2016-01-25T09:38:00Z</cp:lastPrinted>
  <dcterms:created xsi:type="dcterms:W3CDTF">2016-07-26T13:42:00Z</dcterms:created>
  <dcterms:modified xsi:type="dcterms:W3CDTF">2016-07-26T13:51:00Z</dcterms:modified>
</cp:coreProperties>
</file>