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962"/>
      </w:tblGrid>
      <w:tr w:rsidR="000C4A97" w14:paraId="3A139993" w14:textId="77777777" w:rsidTr="000C4A97">
        <w:tc>
          <w:tcPr>
            <w:tcW w:w="9962" w:type="dxa"/>
            <w:tcBorders>
              <w:top w:val="single" w:sz="4" w:space="0" w:color="auto"/>
              <w:left w:val="nil"/>
              <w:bottom w:val="single" w:sz="4" w:space="0" w:color="auto"/>
              <w:right w:val="nil"/>
            </w:tcBorders>
            <w:vAlign w:val="center"/>
          </w:tcPr>
          <w:p w14:paraId="2FB25279" w14:textId="77777777" w:rsidR="000C4A97" w:rsidRPr="00F76271" w:rsidRDefault="000C4A97" w:rsidP="000C4A97">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669D42AB" w14:textId="6712A86C" w:rsidR="000C4A97" w:rsidRDefault="000C4A97" w:rsidP="000C4A97">
            <w:pPr>
              <w:jc w:val="center"/>
              <w:rPr>
                <w:rFonts w:ascii="Arial" w:hAnsi="Arial" w:cs="Arial"/>
              </w:rPr>
            </w:pPr>
            <w:r w:rsidRPr="00F76271">
              <w:rPr>
                <w:rFonts w:ascii="Arial" w:hAnsi="Arial" w:cs="Arial"/>
                <w:b/>
                <w:bCs/>
                <w:color w:val="000000"/>
                <w:lang w:val="en-GB"/>
              </w:rPr>
              <w:t>COMMITTEE FOR AUDITING STANDARDS</w:t>
            </w:r>
          </w:p>
        </w:tc>
      </w:tr>
    </w:tbl>
    <w:p w14:paraId="5E6BBD83" w14:textId="3E8DF532" w:rsidR="00981C35" w:rsidRDefault="00981C35">
      <w:pPr>
        <w:rPr>
          <w:rFonts w:ascii="Arial" w:hAnsi="Arial" w:cs="Arial"/>
        </w:rPr>
      </w:pPr>
    </w:p>
    <w:tbl>
      <w:tblPr>
        <w:tblStyle w:val="TableGrid"/>
        <w:tblW w:w="0" w:type="auto"/>
        <w:tblLook w:val="04A0" w:firstRow="1" w:lastRow="0" w:firstColumn="1" w:lastColumn="0" w:noHBand="0" w:noVBand="1"/>
      </w:tblPr>
      <w:tblGrid>
        <w:gridCol w:w="9962"/>
      </w:tblGrid>
      <w:tr w:rsidR="000C4A97" w14:paraId="5E2D6D2C" w14:textId="77777777" w:rsidTr="000C4A97">
        <w:tc>
          <w:tcPr>
            <w:tcW w:w="9962" w:type="dxa"/>
            <w:tcBorders>
              <w:top w:val="nil"/>
              <w:left w:val="nil"/>
              <w:bottom w:val="nil"/>
              <w:right w:val="nil"/>
            </w:tcBorders>
          </w:tcPr>
          <w:p w14:paraId="67F58157" w14:textId="7803B8C2" w:rsidR="000C4A97" w:rsidRDefault="000C4A97" w:rsidP="000C4A97">
            <w:pPr>
              <w:spacing w:after="120"/>
              <w:jc w:val="center"/>
              <w:rPr>
                <w:rFonts w:ascii="Arial" w:hAnsi="Arial" w:cs="Arial"/>
                <w:b/>
                <w:sz w:val="22"/>
                <w:szCs w:val="22"/>
              </w:rPr>
            </w:pPr>
            <w:r>
              <w:rPr>
                <w:rFonts w:ascii="Arial" w:hAnsi="Arial" w:cs="Arial"/>
                <w:b/>
                <w:sz w:val="22"/>
                <w:szCs w:val="22"/>
              </w:rPr>
              <w:t>Illustrative engagement letters, assurance reports and related guidance notes</w:t>
            </w:r>
            <w:r>
              <w:rPr>
                <w:rFonts w:ascii="Arial" w:hAnsi="Arial" w:cs="Arial"/>
                <w:b/>
                <w:sz w:val="22"/>
                <w:szCs w:val="22"/>
              </w:rPr>
              <w:t xml:space="preserve"> - </w:t>
            </w:r>
            <w:r>
              <w:rPr>
                <w:rFonts w:ascii="Arial" w:hAnsi="Arial" w:cs="Arial"/>
                <w:b/>
                <w:sz w:val="22"/>
                <w:szCs w:val="22"/>
              </w:rPr>
              <w:t>sustainability engagements</w:t>
            </w:r>
          </w:p>
          <w:p w14:paraId="4A556F05" w14:textId="77777777" w:rsidR="000C4A97" w:rsidRPr="00F76271" w:rsidRDefault="000C4A97" w:rsidP="000C4A97">
            <w:pPr>
              <w:spacing w:after="120"/>
              <w:jc w:val="center"/>
              <w:rPr>
                <w:rFonts w:ascii="Arial" w:hAnsi="Arial" w:cs="Arial"/>
                <w:b/>
                <w:bCs/>
                <w:color w:val="000000"/>
                <w:sz w:val="22"/>
                <w:szCs w:val="22"/>
              </w:rPr>
            </w:pPr>
          </w:p>
          <w:p w14:paraId="506FE010" w14:textId="77777777" w:rsidR="000C4A97" w:rsidRPr="00F76271" w:rsidRDefault="000C4A97" w:rsidP="000C4A97">
            <w:pPr>
              <w:spacing w:before="120" w:after="120"/>
              <w:jc w:val="center"/>
              <w:rPr>
                <w:rFonts w:ascii="Arial" w:hAnsi="Arial" w:cs="Arial"/>
                <w:sz w:val="22"/>
                <w:szCs w:val="22"/>
                <w:lang w:val="en-GB"/>
              </w:rPr>
            </w:pPr>
            <w:r w:rsidRPr="00F76271">
              <w:rPr>
                <w:rFonts w:ascii="Arial" w:hAnsi="Arial" w:cs="Arial"/>
                <w:sz w:val="22"/>
                <w:szCs w:val="22"/>
                <w:lang w:val="en-GB"/>
              </w:rPr>
              <w:t xml:space="preserve">Johannesburg / </w:t>
            </w:r>
            <w:r>
              <w:rPr>
                <w:rFonts w:ascii="Arial" w:hAnsi="Arial" w:cs="Arial"/>
                <w:sz w:val="22"/>
                <w:szCs w:val="22"/>
                <w:lang w:val="en-GB"/>
              </w:rPr>
              <w:t>15 June 2018</w:t>
            </w:r>
          </w:p>
          <w:p w14:paraId="6EF3B082" w14:textId="77777777" w:rsidR="000C4A97" w:rsidRPr="00F76271" w:rsidRDefault="000C4A97" w:rsidP="000C4A97">
            <w:pPr>
              <w:spacing w:before="120" w:after="120"/>
              <w:jc w:val="center"/>
              <w:rPr>
                <w:rFonts w:ascii="Arial" w:hAnsi="Arial" w:cs="Arial"/>
                <w:sz w:val="22"/>
                <w:szCs w:val="22"/>
                <w:lang w:val="en-GB"/>
              </w:rPr>
            </w:pPr>
          </w:p>
          <w:p w14:paraId="15C75E3F" w14:textId="77777777" w:rsidR="000C4A97" w:rsidRDefault="000C4A97" w:rsidP="000C4A97">
            <w:pPr>
              <w:pStyle w:val="ListParagraph"/>
              <w:numPr>
                <w:ilvl w:val="0"/>
                <w:numId w:val="0"/>
              </w:numPr>
              <w:ind w:right="532"/>
              <w:rPr>
                <w:rFonts w:cs="Arial"/>
                <w:color w:val="000000"/>
                <w:szCs w:val="22"/>
                <w:lang w:val="en-US"/>
              </w:rPr>
            </w:pPr>
            <w:r>
              <w:rPr>
                <w:rFonts w:cs="Arial"/>
                <w:color w:val="000000"/>
                <w:szCs w:val="22"/>
                <w:lang w:val="en-US" w:eastAsia="en-US"/>
              </w:rPr>
              <w:t>The Committee for Auditing Standards (CFAS) of the Independent Regulatory Board for Auditors (IRBA) has approved the release</w:t>
            </w:r>
            <w:r>
              <w:rPr>
                <w:rFonts w:cs="Arial"/>
                <w:color w:val="000000"/>
                <w:szCs w:val="22"/>
                <w:lang w:val="en-US"/>
              </w:rPr>
              <w:t xml:space="preserve"> of the following, for use by practitioners on sustainability engagements in South Africa:</w:t>
            </w:r>
          </w:p>
          <w:p w14:paraId="1C774379" w14:textId="77777777" w:rsidR="000C4A97" w:rsidRDefault="000C4A97" w:rsidP="000C4A97">
            <w:pPr>
              <w:pStyle w:val="ListParagraph"/>
              <w:numPr>
                <w:ilvl w:val="0"/>
                <w:numId w:val="4"/>
              </w:numPr>
              <w:ind w:right="532"/>
              <w:rPr>
                <w:rFonts w:cs="Arial"/>
                <w:color w:val="000000"/>
                <w:szCs w:val="22"/>
                <w:lang w:val="en-US"/>
              </w:rPr>
            </w:pPr>
            <w:r>
              <w:rPr>
                <w:rFonts w:cs="Arial"/>
                <w:color w:val="000000"/>
                <w:szCs w:val="22"/>
                <w:lang w:val="en-US"/>
              </w:rPr>
              <w:t>A revised limited assurance illustrative engagement letter and a revised limited assurance illustrative assurance report, with the related guidance notes;</w:t>
            </w:r>
          </w:p>
          <w:p w14:paraId="26642F5B" w14:textId="77777777" w:rsidR="000C4A97" w:rsidRDefault="000C4A97" w:rsidP="000C4A97">
            <w:pPr>
              <w:pStyle w:val="ListParagraph"/>
              <w:numPr>
                <w:ilvl w:val="0"/>
                <w:numId w:val="4"/>
              </w:numPr>
              <w:ind w:right="532"/>
              <w:rPr>
                <w:rFonts w:cs="Arial"/>
                <w:color w:val="000000"/>
                <w:szCs w:val="22"/>
                <w:lang w:val="en-US"/>
              </w:rPr>
            </w:pPr>
            <w:r>
              <w:rPr>
                <w:rFonts w:cs="Arial"/>
                <w:color w:val="000000"/>
                <w:szCs w:val="22"/>
                <w:lang w:val="en-US"/>
              </w:rPr>
              <w:t>A reasonable assurance illustrative engagement letter and a reasonable assurance illustrative assurance report, with the related guidance notes; and</w:t>
            </w:r>
          </w:p>
          <w:p w14:paraId="6C798AF3" w14:textId="7943ADF0" w:rsidR="000C4A97" w:rsidRPr="005E7C99" w:rsidRDefault="000C4A97" w:rsidP="000C4A97">
            <w:pPr>
              <w:pStyle w:val="ListParagraph"/>
              <w:numPr>
                <w:ilvl w:val="0"/>
                <w:numId w:val="4"/>
              </w:numPr>
              <w:ind w:right="532"/>
              <w:rPr>
                <w:rFonts w:cs="Arial"/>
                <w:color w:val="000000"/>
                <w:szCs w:val="22"/>
                <w:lang w:val="en-US"/>
              </w:rPr>
            </w:pPr>
            <w:r>
              <w:rPr>
                <w:rFonts w:cs="Arial"/>
                <w:color w:val="000000"/>
                <w:szCs w:val="22"/>
                <w:lang w:val="en-US"/>
              </w:rPr>
              <w:t>A combined reasonable and limited assurance illustrative engagement letter as well as a combined reasonable and limited assurance illustrative assurance report, with the related guidance notes.</w:t>
            </w:r>
          </w:p>
          <w:p w14:paraId="0DD484C4" w14:textId="77777777" w:rsidR="000C4A97" w:rsidRDefault="000C4A97" w:rsidP="000C4A97">
            <w:pPr>
              <w:pStyle w:val="ListParagraph"/>
              <w:numPr>
                <w:ilvl w:val="0"/>
                <w:numId w:val="0"/>
              </w:numPr>
              <w:ind w:right="532"/>
              <w:rPr>
                <w:rFonts w:cs="Arial"/>
                <w:color w:val="000000"/>
                <w:szCs w:val="22"/>
                <w:lang w:val="en-US"/>
              </w:rPr>
            </w:pPr>
            <w:r>
              <w:rPr>
                <w:rFonts w:cs="Arial"/>
                <w:color w:val="000000"/>
                <w:szCs w:val="22"/>
                <w:lang w:val="en-US"/>
              </w:rPr>
              <w:t>The illustrative engagement letters, illustrative assurance reports and related guidance notes will continue to promote consistency in the layout and wording of the engagement letters and assurance reports when providing assurance services on selected key performance indicators disclosed in a sustainability report.</w:t>
            </w:r>
          </w:p>
          <w:p w14:paraId="2CF609AD" w14:textId="77777777" w:rsidR="000C4A97" w:rsidRDefault="000C4A97" w:rsidP="000C4A97">
            <w:pPr>
              <w:pStyle w:val="ListParagraph"/>
              <w:numPr>
                <w:ilvl w:val="0"/>
                <w:numId w:val="0"/>
              </w:numPr>
              <w:ind w:right="532"/>
              <w:rPr>
                <w:rFonts w:cs="Arial"/>
                <w:color w:val="000000"/>
                <w:szCs w:val="22"/>
                <w:lang w:val="en-US"/>
              </w:rPr>
            </w:pPr>
            <w:r>
              <w:rPr>
                <w:rFonts w:cs="Arial"/>
                <w:color w:val="000000"/>
                <w:szCs w:val="22"/>
              </w:rPr>
              <w:t xml:space="preserve">The </w:t>
            </w:r>
            <w:r>
              <w:rPr>
                <w:rFonts w:cs="Arial"/>
                <w:color w:val="000000"/>
                <w:szCs w:val="22"/>
                <w:lang w:val="en-US"/>
              </w:rPr>
              <w:t>illustrative engagement letters and illustrative assurance reports have been prepared on the following bases:</w:t>
            </w:r>
          </w:p>
          <w:p w14:paraId="75DE0DB5" w14:textId="00403FF2" w:rsidR="000C4A97" w:rsidRDefault="000C4A97" w:rsidP="000C4A97">
            <w:pPr>
              <w:pStyle w:val="ListParagraph"/>
              <w:numPr>
                <w:ilvl w:val="0"/>
                <w:numId w:val="4"/>
              </w:numPr>
              <w:ind w:right="532"/>
              <w:rPr>
                <w:rFonts w:cs="Arial"/>
                <w:color w:val="000000"/>
                <w:szCs w:val="22"/>
              </w:rPr>
            </w:pPr>
            <w:r>
              <w:rPr>
                <w:rFonts w:cs="Arial"/>
                <w:color w:val="000000"/>
                <w:szCs w:val="22"/>
              </w:rPr>
              <w:t xml:space="preserve">The practitioner conducts the assurance engagement in accordance with the International Standard on Assurance Engagements (ISAE) 3000 (Revised) </w:t>
            </w:r>
            <w:r w:rsidRPr="004E1A17">
              <w:rPr>
                <w:rFonts w:cs="Arial"/>
                <w:i/>
                <w:color w:val="000000"/>
                <w:szCs w:val="22"/>
              </w:rPr>
              <w:t>Assurance Engagements Other Than Audits or Reviews of Historical Financial Information</w:t>
            </w:r>
            <w:r>
              <w:rPr>
                <w:rFonts w:cs="Arial"/>
                <w:color w:val="000000"/>
                <w:szCs w:val="22"/>
              </w:rPr>
              <w:t xml:space="preserve"> (ISAE 3000 (Revised));</w:t>
            </w:r>
          </w:p>
          <w:p w14:paraId="62C0CD1E" w14:textId="607320C8" w:rsidR="000C4A97" w:rsidRPr="00D31A6E" w:rsidRDefault="000C4A97" w:rsidP="000C4A97">
            <w:pPr>
              <w:pStyle w:val="ListParagraph"/>
              <w:numPr>
                <w:ilvl w:val="0"/>
                <w:numId w:val="4"/>
              </w:numPr>
              <w:ind w:right="532"/>
              <w:rPr>
                <w:rFonts w:cs="Arial"/>
                <w:color w:val="000000"/>
                <w:szCs w:val="22"/>
              </w:rPr>
            </w:pPr>
            <w:r>
              <w:rPr>
                <w:rFonts w:cs="Arial"/>
                <w:color w:val="000000"/>
                <w:szCs w:val="22"/>
              </w:rPr>
              <w:t xml:space="preserve">The subject matter of the engagement includes key performance indicators prepared in accordance with </w:t>
            </w:r>
            <w:r>
              <w:t>an entity</w:t>
            </w:r>
            <w:r>
              <w:rPr>
                <w:rFonts w:cs="Arial"/>
              </w:rPr>
              <w:t>'</w:t>
            </w:r>
            <w:r>
              <w:t>s reporting criteria, including</w:t>
            </w:r>
            <w:r>
              <w:rPr>
                <w:rFonts w:cs="Arial"/>
                <w:color w:val="000000"/>
                <w:szCs w:val="22"/>
              </w:rPr>
              <w:t xml:space="preserve"> the Global Reporting Initiative (GRI) Standards</w:t>
            </w:r>
            <w:r>
              <w:rPr>
                <w:rFonts w:cs="Arial"/>
              </w:rPr>
              <w:t xml:space="preserve">; </w:t>
            </w:r>
            <w:r>
              <w:rPr>
                <w:rFonts w:cs="Arial"/>
                <w:color w:val="000000"/>
                <w:szCs w:val="22"/>
              </w:rPr>
              <w:t>and</w:t>
            </w:r>
          </w:p>
          <w:p w14:paraId="1989D530" w14:textId="271A90A9" w:rsidR="000C4A97" w:rsidRPr="00B749C4" w:rsidRDefault="000C4A97" w:rsidP="000C4A97">
            <w:pPr>
              <w:pStyle w:val="ListParagraph"/>
              <w:numPr>
                <w:ilvl w:val="0"/>
                <w:numId w:val="4"/>
              </w:numPr>
              <w:ind w:right="532"/>
              <w:rPr>
                <w:rFonts w:cs="Arial"/>
                <w:color w:val="000000"/>
                <w:szCs w:val="22"/>
              </w:rPr>
            </w:pPr>
            <w:r>
              <w:rPr>
                <w:rFonts w:cs="Arial"/>
              </w:rPr>
              <w:t xml:space="preserve">Acknowledging in the guidance notes whether the illustrative assurance reports </w:t>
            </w:r>
            <w:r>
              <w:rPr>
                <w:rFonts w:cs="Arial"/>
              </w:rPr>
              <w:t>are '</w:t>
            </w:r>
            <w:r>
              <w:rPr>
                <w:rFonts w:cs="Arial"/>
              </w:rPr>
              <w:t>long-fo</w:t>
            </w:r>
            <w:r>
              <w:rPr>
                <w:rFonts w:cs="Arial"/>
              </w:rPr>
              <w:t>rm' or 'short-form'</w:t>
            </w:r>
            <w:r>
              <w:rPr>
                <w:rFonts w:cs="Arial"/>
              </w:rPr>
              <w:t xml:space="preserve"> in terms of ISAE 3000 (Revised), as well as including guidance notes on </w:t>
            </w:r>
            <w:r w:rsidRPr="00C77BD6">
              <w:rPr>
                <w:rFonts w:cs="Arial"/>
                <w:i/>
              </w:rPr>
              <w:t>Other Information</w:t>
            </w:r>
            <w:r>
              <w:rPr>
                <w:rFonts w:cs="Arial"/>
              </w:rPr>
              <w:t xml:space="preserve"> in terms of ISAE 3000 (Revised).</w:t>
            </w:r>
          </w:p>
          <w:p w14:paraId="57C44B62" w14:textId="77777777" w:rsidR="000C4A97" w:rsidRDefault="000C4A97" w:rsidP="000C4A97">
            <w:pPr>
              <w:autoSpaceDE w:val="0"/>
              <w:autoSpaceDN w:val="0"/>
              <w:spacing w:before="120" w:after="120"/>
              <w:ind w:right="539"/>
              <w:jc w:val="both"/>
              <w:rPr>
                <w:rFonts w:ascii="Arial" w:hAnsi="Arial" w:cs="Arial"/>
                <w:color w:val="000000"/>
                <w:sz w:val="22"/>
                <w:szCs w:val="22"/>
              </w:rPr>
            </w:pPr>
            <w:r w:rsidRPr="00DC3821">
              <w:rPr>
                <w:rFonts w:ascii="Arial" w:hAnsi="Arial" w:cs="Arial"/>
                <w:color w:val="000000"/>
                <w:sz w:val="22"/>
                <w:szCs w:val="22"/>
              </w:rPr>
              <w:t>The illustrative engagement letter</w:t>
            </w:r>
            <w:r>
              <w:rPr>
                <w:rFonts w:ascii="Arial" w:hAnsi="Arial" w:cs="Arial"/>
                <w:color w:val="000000"/>
                <w:sz w:val="22"/>
                <w:szCs w:val="22"/>
              </w:rPr>
              <w:t>s</w:t>
            </w:r>
            <w:r w:rsidRPr="00DC3821">
              <w:rPr>
                <w:rFonts w:ascii="Arial" w:hAnsi="Arial" w:cs="Arial"/>
                <w:color w:val="000000"/>
                <w:sz w:val="22"/>
                <w:szCs w:val="22"/>
              </w:rPr>
              <w:t xml:space="preserve"> and illustrative assurance report</w:t>
            </w:r>
            <w:r>
              <w:rPr>
                <w:rFonts w:ascii="Arial" w:hAnsi="Arial" w:cs="Arial"/>
                <w:color w:val="000000"/>
                <w:sz w:val="22"/>
                <w:szCs w:val="22"/>
              </w:rPr>
              <w:t>s</w:t>
            </w:r>
            <w:r w:rsidRPr="00DC3821">
              <w:rPr>
                <w:rFonts w:ascii="Arial" w:hAnsi="Arial" w:cs="Arial"/>
                <w:color w:val="000000"/>
                <w:sz w:val="22"/>
                <w:szCs w:val="22"/>
              </w:rPr>
              <w:t xml:space="preserve"> are effective for </w:t>
            </w:r>
            <w:r>
              <w:rPr>
                <w:rFonts w:ascii="Arial" w:hAnsi="Arial" w:cs="Arial"/>
                <w:color w:val="000000"/>
                <w:sz w:val="22"/>
                <w:szCs w:val="22"/>
              </w:rPr>
              <w:t>assurance engagements where the assurance report is dated on or after 31 December 2018. Early adoption is permitted.</w:t>
            </w:r>
          </w:p>
          <w:p w14:paraId="208CCA3E" w14:textId="2E9E1C31" w:rsidR="000C4A97" w:rsidRDefault="000C4A97" w:rsidP="000C4A97">
            <w:pPr>
              <w:pStyle w:val="NormalWeb"/>
              <w:spacing w:before="120" w:beforeAutospacing="0" w:after="120" w:afterAutospacing="0"/>
              <w:ind w:right="539"/>
              <w:jc w:val="both"/>
              <w:rPr>
                <w:rFonts w:ascii="Arial" w:hAnsi="Arial" w:cs="Arial"/>
                <w:sz w:val="22"/>
                <w:szCs w:val="22"/>
              </w:rPr>
            </w:pPr>
            <w:r>
              <w:rPr>
                <w:rFonts w:ascii="Arial" w:hAnsi="Arial" w:cs="Arial"/>
                <w:color w:val="000000"/>
                <w:sz w:val="22"/>
                <w:szCs w:val="22"/>
              </w:rPr>
              <w:t xml:space="preserve">The </w:t>
            </w:r>
            <w:r w:rsidRPr="008D311C">
              <w:rPr>
                <w:rFonts w:ascii="Arial" w:hAnsi="Arial" w:cs="Arial"/>
                <w:color w:val="000000"/>
                <w:sz w:val="22"/>
                <w:szCs w:val="22"/>
              </w:rPr>
              <w:t>illustrative engagement letter</w:t>
            </w:r>
            <w:r>
              <w:rPr>
                <w:rFonts w:ascii="Arial" w:hAnsi="Arial" w:cs="Arial"/>
                <w:color w:val="000000"/>
                <w:sz w:val="22"/>
                <w:szCs w:val="22"/>
              </w:rPr>
              <w:t>s</w:t>
            </w:r>
            <w:r w:rsidRPr="008D311C">
              <w:rPr>
                <w:rFonts w:ascii="Arial" w:hAnsi="Arial" w:cs="Arial"/>
                <w:color w:val="000000"/>
                <w:sz w:val="22"/>
                <w:szCs w:val="22"/>
              </w:rPr>
              <w:t xml:space="preserve"> and illustrative assurance report</w:t>
            </w:r>
            <w:r>
              <w:rPr>
                <w:rFonts w:ascii="Arial" w:hAnsi="Arial" w:cs="Arial"/>
                <w:color w:val="000000"/>
                <w:sz w:val="22"/>
                <w:szCs w:val="22"/>
              </w:rPr>
              <w:t>s</w:t>
            </w:r>
            <w:r w:rsidRPr="008D311C">
              <w:rPr>
                <w:rFonts w:ascii="Arial" w:hAnsi="Arial" w:cs="Arial"/>
                <w:sz w:val="22"/>
                <w:szCs w:val="22"/>
              </w:rPr>
              <w:t xml:space="preserve"> </w:t>
            </w:r>
            <w:r>
              <w:rPr>
                <w:rFonts w:ascii="Arial" w:hAnsi="Arial" w:cs="Arial"/>
                <w:sz w:val="22"/>
                <w:szCs w:val="22"/>
              </w:rPr>
              <w:t>are</w:t>
            </w:r>
            <w:r w:rsidRPr="008D311C">
              <w:rPr>
                <w:rFonts w:ascii="Arial" w:hAnsi="Arial" w:cs="Arial"/>
                <w:sz w:val="22"/>
                <w:szCs w:val="22"/>
              </w:rPr>
              <w:t xml:space="preserve"> available in both PDF and Word formats and may be downloaded</w:t>
            </w:r>
            <w:r>
              <w:rPr>
                <w:rFonts w:ascii="Arial" w:hAnsi="Arial" w:cs="Arial"/>
                <w:sz w:val="22"/>
                <w:szCs w:val="22"/>
              </w:rPr>
              <w:t xml:space="preserve"> from the </w:t>
            </w:r>
            <w:hyperlink r:id="rId5" w:history="1">
              <w:r w:rsidRPr="002B2719">
                <w:rPr>
                  <w:rStyle w:val="Hyperlink"/>
                  <w:rFonts w:ascii="Arial" w:hAnsi="Arial" w:cs="Arial"/>
                  <w:sz w:val="22"/>
                  <w:szCs w:val="22"/>
                </w:rPr>
                <w:t>IRBA Website</w:t>
              </w:r>
            </w:hyperlink>
            <w:r>
              <w:rPr>
                <w:rFonts w:ascii="Arial" w:hAnsi="Arial" w:cs="Arial"/>
                <w:sz w:val="22"/>
                <w:szCs w:val="22"/>
              </w:rPr>
              <w:t>.</w:t>
            </w:r>
          </w:p>
          <w:p w14:paraId="5437659E" w14:textId="77777777" w:rsidR="000C4A97" w:rsidRDefault="000C4A97" w:rsidP="000C4A97">
            <w:pPr>
              <w:pStyle w:val="NormalWeb"/>
              <w:spacing w:before="120" w:beforeAutospacing="0" w:after="120" w:afterAutospacing="0"/>
              <w:ind w:right="539"/>
              <w:jc w:val="both"/>
              <w:rPr>
                <w:rFonts w:ascii="Arial" w:hAnsi="Arial" w:cs="Arial"/>
                <w:sz w:val="22"/>
                <w:szCs w:val="22"/>
              </w:rPr>
            </w:pPr>
          </w:p>
          <w:p w14:paraId="6C4247F8" w14:textId="77777777" w:rsidR="000C4A97" w:rsidRDefault="000C4A97" w:rsidP="000C4A97">
            <w:pPr>
              <w:pStyle w:val="NormalWeb"/>
              <w:spacing w:before="120" w:beforeAutospacing="0" w:after="120" w:afterAutospacing="0"/>
              <w:ind w:right="539"/>
              <w:jc w:val="both"/>
              <w:rPr>
                <w:rFonts w:ascii="Arial" w:hAnsi="Arial" w:cs="Arial"/>
                <w:sz w:val="22"/>
                <w:szCs w:val="22"/>
              </w:rPr>
            </w:pPr>
            <w:r>
              <w:rPr>
                <w:rFonts w:ascii="Arial" w:hAnsi="Arial" w:cs="Arial"/>
                <w:sz w:val="22"/>
                <w:szCs w:val="22"/>
              </w:rPr>
              <w:t xml:space="preserve">Should you have any further queries please contact the Standards Department at +27 (0)87 </w:t>
            </w:r>
            <w:r>
              <w:rPr>
                <w:rFonts w:ascii="Arial" w:hAnsi="Arial" w:cs="Arial"/>
                <w:sz w:val="22"/>
                <w:szCs w:val="22"/>
              </w:rPr>
              <w:lastRenderedPageBreak/>
              <w:t xml:space="preserve">940 8800 or send an email to </w:t>
            </w:r>
            <w:hyperlink r:id="rId6" w:history="1">
              <w:r>
                <w:rPr>
                  <w:rStyle w:val="Hyperlink"/>
                  <w:rFonts w:ascii="Arial" w:hAnsi="Arial" w:cs="Arial"/>
                  <w:color w:val="3300CC"/>
                  <w:sz w:val="22"/>
                  <w:szCs w:val="22"/>
                </w:rPr>
                <w:t>standards@irba.co.za</w:t>
              </w:r>
            </w:hyperlink>
            <w:r>
              <w:rPr>
                <w:rFonts w:ascii="Arial" w:hAnsi="Arial" w:cs="Arial"/>
                <w:sz w:val="22"/>
                <w:szCs w:val="22"/>
              </w:rPr>
              <w:t>.</w:t>
            </w:r>
          </w:p>
          <w:p w14:paraId="45CFF2AC" w14:textId="77777777" w:rsidR="000C4A97" w:rsidRDefault="000C4A97" w:rsidP="000C4A97">
            <w:pPr>
              <w:spacing w:before="120" w:after="120"/>
              <w:ind w:right="539"/>
              <w:jc w:val="both"/>
              <w:textAlignment w:val="top"/>
              <w:rPr>
                <w:rFonts w:ascii="Arial" w:hAnsi="Arial" w:cs="Arial"/>
                <w:b/>
                <w:bCs/>
                <w:sz w:val="22"/>
                <w:szCs w:val="22"/>
                <w:lang w:val="en-GB"/>
              </w:rPr>
            </w:pPr>
          </w:p>
          <w:p w14:paraId="1A48C760" w14:textId="77777777" w:rsidR="000C4A97" w:rsidRDefault="000C4A97" w:rsidP="000C4A97">
            <w:pPr>
              <w:spacing w:before="120" w:after="120"/>
              <w:ind w:right="539"/>
              <w:jc w:val="both"/>
              <w:textAlignment w:val="top"/>
              <w:rPr>
                <w:rFonts w:ascii="Arial" w:hAnsi="Arial" w:cs="Arial"/>
                <w:b/>
                <w:bCs/>
                <w:sz w:val="22"/>
                <w:szCs w:val="22"/>
                <w:lang w:val="en-GB"/>
              </w:rPr>
            </w:pPr>
          </w:p>
          <w:p w14:paraId="75156EFC" w14:textId="77777777" w:rsidR="000C4A97" w:rsidRDefault="000C4A97" w:rsidP="000C4A97">
            <w:pPr>
              <w:jc w:val="both"/>
              <w:textAlignment w:val="top"/>
              <w:rPr>
                <w:rFonts w:ascii="Arial" w:hAnsi="Arial" w:cs="Arial"/>
                <w:b/>
                <w:bCs/>
                <w:sz w:val="22"/>
                <w:szCs w:val="22"/>
                <w:lang w:val="en-GB"/>
              </w:rPr>
            </w:pPr>
            <w:r>
              <w:rPr>
                <w:rFonts w:ascii="Arial" w:hAnsi="Arial" w:cs="Arial"/>
                <w:b/>
                <w:bCs/>
                <w:sz w:val="22"/>
                <w:szCs w:val="22"/>
                <w:lang w:val="en-GB"/>
              </w:rPr>
              <w:t>Imran Vanker</w:t>
            </w:r>
          </w:p>
          <w:p w14:paraId="524FB3D4" w14:textId="77777777" w:rsidR="000C4A97" w:rsidRDefault="000C4A97" w:rsidP="000C4A97">
            <w:pPr>
              <w:spacing w:after="120"/>
              <w:jc w:val="both"/>
              <w:rPr>
                <w:rFonts w:ascii="Arial" w:hAnsi="Arial" w:cs="Arial"/>
                <w:b/>
                <w:bCs/>
                <w:sz w:val="22"/>
                <w:szCs w:val="22"/>
                <w:lang w:val="en-GB"/>
              </w:rPr>
            </w:pPr>
            <w:r>
              <w:rPr>
                <w:rFonts w:ascii="Arial" w:hAnsi="Arial" w:cs="Arial"/>
                <w:b/>
                <w:bCs/>
                <w:sz w:val="22"/>
                <w:szCs w:val="22"/>
                <w:lang w:val="en-GB"/>
              </w:rPr>
              <w:t>Director: Standards</w:t>
            </w:r>
          </w:p>
          <w:p w14:paraId="56B2B6A3" w14:textId="77777777" w:rsidR="000C4A97" w:rsidRDefault="000C4A97" w:rsidP="000C4A97">
            <w:pPr>
              <w:spacing w:after="120"/>
              <w:jc w:val="both"/>
              <w:rPr>
                <w:rFonts w:ascii="Arial" w:hAnsi="Arial" w:cs="Arial"/>
                <w:b/>
                <w:bCs/>
                <w:i/>
                <w:iCs/>
                <w:sz w:val="22"/>
                <w:szCs w:val="22"/>
                <w:lang w:val="en-GB"/>
              </w:rPr>
            </w:pPr>
          </w:p>
          <w:p w14:paraId="21157743" w14:textId="77777777" w:rsidR="000C4A97" w:rsidRDefault="000C4A97" w:rsidP="000C4A97">
            <w:pPr>
              <w:spacing w:after="120"/>
              <w:jc w:val="both"/>
              <w:rPr>
                <w:rFonts w:ascii="Arial" w:hAnsi="Arial" w:cs="Arial"/>
                <w:b/>
                <w:bCs/>
                <w:i/>
                <w:iCs/>
                <w:sz w:val="22"/>
                <w:szCs w:val="22"/>
                <w:lang w:val="en-GB"/>
              </w:rPr>
            </w:pPr>
            <w:r>
              <w:rPr>
                <w:rFonts w:ascii="Arial" w:hAnsi="Arial" w:cs="Arial"/>
                <w:b/>
                <w:bCs/>
                <w:i/>
                <w:iCs/>
                <w:sz w:val="22"/>
                <w:szCs w:val="22"/>
                <w:lang w:val="en-GB"/>
              </w:rPr>
              <w:t>About the IRBA</w:t>
            </w:r>
          </w:p>
          <w:p w14:paraId="4F8D1C55" w14:textId="77777777" w:rsidR="000C4A97" w:rsidRPr="008E77AF" w:rsidRDefault="000C4A97" w:rsidP="000C4A97">
            <w:pPr>
              <w:spacing w:after="120"/>
              <w:jc w:val="both"/>
              <w:rPr>
                <w:rFonts w:ascii="Arial" w:hAnsi="Arial" w:cs="Arial"/>
                <w:sz w:val="20"/>
                <w:szCs w:val="20"/>
              </w:rPr>
            </w:pPr>
            <w:r w:rsidRPr="008E77AF">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3870E5D2" w14:textId="66C50C78" w:rsidR="000C4A97" w:rsidRDefault="000C4A97" w:rsidP="000C4A97">
            <w:pPr>
              <w:pStyle w:val="NormalWeb"/>
              <w:spacing w:before="0" w:beforeAutospacing="0" w:after="120" w:afterAutospacing="0"/>
              <w:jc w:val="both"/>
              <w:rPr>
                <w:rFonts w:ascii="Arial" w:hAnsi="Arial" w:cs="Arial"/>
              </w:rPr>
            </w:pPr>
            <w:r w:rsidRPr="008E77AF">
              <w:rPr>
                <w:rFonts w:ascii="Arial" w:hAnsi="Arial" w:cs="Arial"/>
                <w:i/>
                <w:iCs/>
                <w:sz w:val="20"/>
                <w:szCs w:val="20"/>
                <w:lang w:val="en-GB"/>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bookmarkStart w:id="0" w:name="_GoBack"/>
            <w:bookmarkEnd w:id="0"/>
          </w:p>
        </w:tc>
      </w:tr>
    </w:tbl>
    <w:p w14:paraId="728E3E5F" w14:textId="77777777" w:rsidR="00F76271" w:rsidRPr="00F76271" w:rsidRDefault="00F76271" w:rsidP="000C4A97">
      <w:pPr>
        <w:pStyle w:val="NormalWeb"/>
        <w:spacing w:before="0" w:beforeAutospacing="0" w:after="120" w:afterAutospacing="0"/>
        <w:jc w:val="both"/>
        <w:rPr>
          <w:rFonts w:ascii="Arial" w:hAnsi="Arial" w:cs="Arial"/>
          <w:sz w:val="22"/>
          <w:szCs w:val="22"/>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48856B6E"/>
    <w:multiLevelType w:val="hybridMultilevel"/>
    <w:tmpl w:val="3C54B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3728"/>
    <w:rsid w:val="00057600"/>
    <w:rsid w:val="000756AD"/>
    <w:rsid w:val="00091539"/>
    <w:rsid w:val="000B72E3"/>
    <w:rsid w:val="000C4A97"/>
    <w:rsid w:val="001C5A2A"/>
    <w:rsid w:val="001D01E7"/>
    <w:rsid w:val="00207557"/>
    <w:rsid w:val="00233943"/>
    <w:rsid w:val="00274A34"/>
    <w:rsid w:val="00287884"/>
    <w:rsid w:val="002969AA"/>
    <w:rsid w:val="002B2719"/>
    <w:rsid w:val="002F7096"/>
    <w:rsid w:val="00313F5A"/>
    <w:rsid w:val="003F3563"/>
    <w:rsid w:val="004C574F"/>
    <w:rsid w:val="004C7031"/>
    <w:rsid w:val="004E1A17"/>
    <w:rsid w:val="00513AEA"/>
    <w:rsid w:val="005B1665"/>
    <w:rsid w:val="005E7C99"/>
    <w:rsid w:val="00674FE9"/>
    <w:rsid w:val="006A2A11"/>
    <w:rsid w:val="006A2AF1"/>
    <w:rsid w:val="00751194"/>
    <w:rsid w:val="00783A5D"/>
    <w:rsid w:val="00794A42"/>
    <w:rsid w:val="007E25BA"/>
    <w:rsid w:val="008617E8"/>
    <w:rsid w:val="008D311C"/>
    <w:rsid w:val="008E77AF"/>
    <w:rsid w:val="00930018"/>
    <w:rsid w:val="009413CF"/>
    <w:rsid w:val="00977E9F"/>
    <w:rsid w:val="00981C35"/>
    <w:rsid w:val="00A0070F"/>
    <w:rsid w:val="00A3278B"/>
    <w:rsid w:val="00A3416C"/>
    <w:rsid w:val="00B57AF2"/>
    <w:rsid w:val="00B749C4"/>
    <w:rsid w:val="00C31A1B"/>
    <w:rsid w:val="00C45EB5"/>
    <w:rsid w:val="00C573AF"/>
    <w:rsid w:val="00CE54CB"/>
    <w:rsid w:val="00D03506"/>
    <w:rsid w:val="00D31A6E"/>
    <w:rsid w:val="00D9728A"/>
    <w:rsid w:val="00DA469C"/>
    <w:rsid w:val="00DC3821"/>
    <w:rsid w:val="00E76511"/>
    <w:rsid w:val="00F37488"/>
    <w:rsid w:val="00F6097D"/>
    <w:rsid w:val="00F76271"/>
    <w:rsid w:val="00F840C0"/>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EBBD"/>
  <w15:docId w15:val="{AA0C3FB1-610E-46B4-95D0-1F29B857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ListParagraph">
    <w:name w:val="List Paragraph"/>
    <w:basedOn w:val="Normal"/>
    <w:uiPriority w:val="34"/>
    <w:qFormat/>
    <w:rsid w:val="008617E8"/>
    <w:pPr>
      <w:numPr>
        <w:numId w:val="1"/>
      </w:numPr>
      <w:spacing w:after="120" w:line="271" w:lineRule="auto"/>
      <w:jc w:val="both"/>
    </w:pPr>
    <w:rPr>
      <w:rFonts w:ascii="Arial" w:hAnsi="Arial"/>
      <w:sz w:val="22"/>
      <w:lang w:val="en-ZA" w:eastAsia="en-ZA"/>
    </w:rPr>
  </w:style>
  <w:style w:type="character" w:styleId="FollowedHyperlink">
    <w:name w:val="FollowedHyperlink"/>
    <w:basedOn w:val="DefaultParagraphFont"/>
    <w:uiPriority w:val="99"/>
    <w:semiHidden/>
    <w:unhideWhenUsed/>
    <w:rsid w:val="008D311C"/>
    <w:rPr>
      <w:color w:val="800080" w:themeColor="followedHyperlink"/>
      <w:u w:val="single"/>
    </w:rPr>
  </w:style>
  <w:style w:type="character" w:styleId="CommentReference">
    <w:name w:val="annotation reference"/>
    <w:basedOn w:val="DefaultParagraphFont"/>
    <w:uiPriority w:val="99"/>
    <w:semiHidden/>
    <w:unhideWhenUsed/>
    <w:rsid w:val="008D311C"/>
    <w:rPr>
      <w:sz w:val="16"/>
      <w:szCs w:val="16"/>
    </w:rPr>
  </w:style>
  <w:style w:type="paragraph" w:styleId="CommentText">
    <w:name w:val="annotation text"/>
    <w:basedOn w:val="Normal"/>
    <w:link w:val="CommentTextChar"/>
    <w:uiPriority w:val="99"/>
    <w:semiHidden/>
    <w:unhideWhenUsed/>
    <w:rsid w:val="008D311C"/>
    <w:rPr>
      <w:sz w:val="20"/>
      <w:szCs w:val="20"/>
    </w:rPr>
  </w:style>
  <w:style w:type="character" w:customStyle="1" w:styleId="CommentTextChar">
    <w:name w:val="Comment Text Char"/>
    <w:basedOn w:val="DefaultParagraphFont"/>
    <w:link w:val="CommentText"/>
    <w:uiPriority w:val="99"/>
    <w:semiHidden/>
    <w:rsid w:val="008D311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311C"/>
    <w:rPr>
      <w:b/>
      <w:bCs/>
    </w:rPr>
  </w:style>
  <w:style w:type="character" w:customStyle="1" w:styleId="CommentSubjectChar">
    <w:name w:val="Comment Subject Char"/>
    <w:basedOn w:val="CommentTextChar"/>
    <w:link w:val="CommentSubject"/>
    <w:uiPriority w:val="99"/>
    <w:semiHidden/>
    <w:rsid w:val="008D311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D3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1C"/>
    <w:rPr>
      <w:rFonts w:ascii="Segoe UI" w:eastAsia="Times New Roman" w:hAnsi="Segoe UI" w:cs="Segoe UI"/>
      <w:sz w:val="18"/>
      <w:szCs w:val="18"/>
      <w:lang w:val="en-US"/>
    </w:rPr>
  </w:style>
  <w:style w:type="table" w:styleId="TableGrid">
    <w:name w:val="Table Grid"/>
    <w:basedOn w:val="TableNormal"/>
    <w:uiPriority w:val="59"/>
    <w:rsid w:val="002B2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hyperlink" Target="https://www.irba.co.za/guidance-for-ras/technical-guidance-for-ras/other-assurance/assurance-on-sustainability-re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cp:lastPrinted>2018-06-06T16:05:00Z</cp:lastPrinted>
  <dcterms:created xsi:type="dcterms:W3CDTF">2018-06-15T09:09:00Z</dcterms:created>
  <dcterms:modified xsi:type="dcterms:W3CDTF">2018-06-15T09:09:00Z</dcterms:modified>
</cp:coreProperties>
</file>